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Relationships xmlns="http://schemas.openxmlformats.org/package/2006/relationships"><Relationship Target="word/document.xml" Type="http://schemas.openxmlformats.org/officeDocument/2006/relationships/officeDocument" Id="rId1"></Relationship><Relationship Target="docProps/core.xml" Type="http://schemas.openxmlformats.org/package/2006/relationships/metadata/core-properties" Id="rId2"></Relationship><Relationship Target="docProps/app.xml" Type="http://schemas.openxmlformats.org/officeDocument/2006/relationships/extended-properties" Id="rId3"></Relationship><Relationship Target="docProps/custom.xml" Type="http://schemas.openxmlformats.org/officeDocument/2006/relationships/custom-properties" Id="rId4"></Relationship></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73A7" w:rsidRPr="000C1846" w:rsidRDefault="00EF73A7" w:rsidP="000C1846">
      <w:pPr>
        <w:widowControl w:val="0"/>
        <w:spacing w:after="0" w:line="240" w:lineRule="auto"/>
        <w:jc w:val="both"/>
        <w:rPr>
          <w:rFonts w:ascii="Arial" w:hAnsi="Arial" w:cs="Arial"/>
          <w:b/>
          <w:sz w:val="24"/>
          <w:szCs w:val="24"/>
        </w:rPr>
      </w:pPr>
      <w:r w:rsidRPr="000C1846">
        <w:rPr>
          <w:rFonts w:ascii="Arial" w:hAnsi="Arial" w:cs="Arial"/>
          <w:b/>
          <w:sz w:val="24"/>
          <w:szCs w:val="24"/>
        </w:rPr>
        <w:t>Án lệ số 12/2017/AL về xác định trường hợp đương sự được triệu tập hợp lệ lần thứ nhất sau khi Tòa án đã hoãn phiên tòa</w:t>
      </w:r>
    </w:p>
    <w:p w:rsidR="00EF73A7" w:rsidRPr="000C1846" w:rsidRDefault="00EF73A7" w:rsidP="000C1846">
      <w:pPr>
        <w:widowControl w:val="0"/>
        <w:spacing w:after="0" w:line="240" w:lineRule="auto"/>
        <w:jc w:val="both"/>
        <w:rPr>
          <w:rFonts w:ascii="Arial" w:hAnsi="Arial" w:cs="Arial"/>
          <w:b/>
          <w:i/>
          <w:sz w:val="24"/>
          <w:szCs w:val="24"/>
          <w:u w:val="single"/>
        </w:rPr>
      </w:pPr>
      <w:r w:rsidRPr="000C1846">
        <w:rPr>
          <w:rFonts w:ascii="Arial" w:hAnsi="Arial" w:cs="Arial"/>
          <w:i/>
          <w:sz w:val="24"/>
          <w:szCs w:val="24"/>
        </w:rPr>
        <w:t>Được Hội đồng Thẩm phán Tòa án nhân dân tối cao thông qua ngày 14</w:t>
      </w:r>
      <w:r w:rsidR="00626840" w:rsidRPr="000C1846">
        <w:rPr>
          <w:rFonts w:ascii="Arial" w:hAnsi="Arial" w:cs="Arial"/>
          <w:i/>
          <w:sz w:val="24"/>
          <w:szCs w:val="24"/>
        </w:rPr>
        <w:t xml:space="preserve"> </w:t>
      </w:r>
      <w:r w:rsidRPr="000C1846">
        <w:rPr>
          <w:rFonts w:ascii="Arial" w:hAnsi="Arial" w:cs="Arial"/>
          <w:i/>
          <w:sz w:val="24"/>
          <w:szCs w:val="24"/>
        </w:rPr>
        <w:t xml:space="preserve">tháng 12 năm 2017 và được công bố theo Quyết định số </w:t>
      </w:r>
      <w:r w:rsidR="00626840" w:rsidRPr="000C1846">
        <w:rPr>
          <w:rFonts w:ascii="Arial" w:hAnsi="Arial" w:cs="Arial"/>
          <w:i/>
          <w:sz w:val="24"/>
          <w:szCs w:val="24"/>
        </w:rPr>
        <w:t>299/</w:t>
      </w:r>
      <w:r w:rsidRPr="000C1846">
        <w:rPr>
          <w:rFonts w:ascii="Arial" w:hAnsi="Arial" w:cs="Arial"/>
          <w:i/>
          <w:sz w:val="24"/>
          <w:szCs w:val="24"/>
        </w:rPr>
        <w:t>QĐ-CA ngày</w:t>
      </w:r>
      <w:r w:rsidR="00626840" w:rsidRPr="000C1846">
        <w:rPr>
          <w:rFonts w:ascii="Arial" w:hAnsi="Arial" w:cs="Arial"/>
          <w:i/>
          <w:sz w:val="24"/>
          <w:szCs w:val="24"/>
        </w:rPr>
        <w:t xml:space="preserve"> 28 </w:t>
      </w:r>
      <w:r w:rsidRPr="000C1846">
        <w:rPr>
          <w:rFonts w:ascii="Arial" w:hAnsi="Arial" w:cs="Arial"/>
          <w:i/>
          <w:sz w:val="24"/>
          <w:szCs w:val="24"/>
        </w:rPr>
        <w:t xml:space="preserve">tháng </w:t>
      </w:r>
      <w:r w:rsidR="00626840" w:rsidRPr="000C1846">
        <w:rPr>
          <w:rFonts w:ascii="Arial" w:hAnsi="Arial" w:cs="Arial"/>
          <w:i/>
          <w:sz w:val="24"/>
          <w:szCs w:val="24"/>
        </w:rPr>
        <w:t xml:space="preserve">12 </w:t>
      </w:r>
      <w:r w:rsidRPr="000C1846">
        <w:rPr>
          <w:rFonts w:ascii="Arial" w:hAnsi="Arial" w:cs="Arial"/>
          <w:i/>
          <w:sz w:val="24"/>
          <w:szCs w:val="24"/>
        </w:rPr>
        <w:t xml:space="preserve">năm 2017 của Chánh án Tòa án nhân dân tối cao. </w:t>
      </w:r>
    </w:p>
    <w:p w:rsidR="00EF73A7" w:rsidRPr="000C1846" w:rsidRDefault="00EF73A7" w:rsidP="000C1846">
      <w:pPr>
        <w:widowControl w:val="0"/>
        <w:spacing w:after="0" w:line="240" w:lineRule="auto"/>
        <w:jc w:val="both"/>
        <w:rPr>
          <w:rFonts w:ascii="Arial" w:hAnsi="Arial" w:cs="Arial"/>
          <w:b/>
          <w:sz w:val="24"/>
          <w:szCs w:val="24"/>
        </w:rPr>
      </w:pPr>
      <w:r w:rsidRPr="000C1846">
        <w:rPr>
          <w:rFonts w:ascii="Arial" w:hAnsi="Arial" w:cs="Arial"/>
          <w:b/>
          <w:sz w:val="24"/>
          <w:szCs w:val="24"/>
        </w:rPr>
        <w:t>Nguồn án lệ:</w:t>
      </w:r>
    </w:p>
    <w:p w:rsidR="00EF73A7" w:rsidRPr="000C1846" w:rsidRDefault="00EF73A7" w:rsidP="000C1846">
      <w:pPr>
        <w:widowControl w:val="0"/>
        <w:spacing w:after="0" w:line="240" w:lineRule="auto"/>
        <w:jc w:val="both"/>
        <w:rPr>
          <w:rFonts w:ascii="Arial" w:hAnsi="Arial" w:cs="Arial"/>
          <w:bCs/>
          <w:i/>
          <w:noProof/>
          <w:spacing w:val="4"/>
          <w:sz w:val="24"/>
          <w:szCs w:val="24"/>
        </w:rPr>
      </w:pPr>
      <w:r w:rsidRPr="000C1846">
        <w:rPr>
          <w:rFonts w:ascii="Arial" w:hAnsi="Arial" w:cs="Arial"/>
          <w:spacing w:val="4"/>
          <w:sz w:val="24"/>
          <w:szCs w:val="24"/>
        </w:rPr>
        <w:t xml:space="preserve">Quyết định giám đốc thẩm số 14/2017/KDTM-GĐT ngày 06-6-2017 của Hội đồng Thẩm phán Tòa án nhân dân tối cao về vụ án kinh doanh, thương mại “Tranh chấp về hợp đồng mua bán hàng hoá” tại tỉnh Quảng Trị giữa </w:t>
      </w:r>
      <w:r w:rsidRPr="000C1846">
        <w:rPr>
          <w:rStyle w:val="BodytextItalic"/>
          <w:rFonts w:ascii="Arial" w:eastAsia="Calibri" w:hAnsi="Arial" w:cs="Arial"/>
          <w:i w:val="0"/>
          <w:spacing w:val="4"/>
          <w:sz w:val="24"/>
          <w:szCs w:val="24"/>
        </w:rPr>
        <w:t xml:space="preserve">nguyên đơn là Công ty cổ phần Q (người đại diện theo pháp luật là ông Đặng Công D, người đại diện theo ủy quyền là </w:t>
      </w:r>
      <w:r w:rsidR="00FD090D" w:rsidRPr="000C1846">
        <w:rPr>
          <w:rStyle w:val="BodytextItalic"/>
          <w:rFonts w:ascii="Arial" w:eastAsia="Calibri" w:hAnsi="Arial" w:cs="Arial"/>
          <w:i w:val="0"/>
          <w:spacing w:val="4"/>
          <w:sz w:val="24"/>
          <w:szCs w:val="24"/>
          <w:lang w:val="en-US"/>
        </w:rPr>
        <w:t xml:space="preserve">ông </w:t>
      </w:r>
      <w:r w:rsidRPr="000C1846">
        <w:rPr>
          <w:rStyle w:val="BodytextItalic"/>
          <w:rFonts w:ascii="Arial" w:eastAsia="Calibri" w:hAnsi="Arial" w:cs="Arial"/>
          <w:i w:val="0"/>
          <w:spacing w:val="4"/>
          <w:sz w:val="24"/>
          <w:szCs w:val="24"/>
        </w:rPr>
        <w:t xml:space="preserve">Hồ Nghĩa A) với bị đơn là Công ty trách nhiệm hữu hạn T (người đại diện theo pháp luật là </w:t>
      </w:r>
      <w:r w:rsidR="00FD090D" w:rsidRPr="000C1846">
        <w:rPr>
          <w:rStyle w:val="BodytextItalic"/>
          <w:rFonts w:ascii="Arial" w:eastAsia="Calibri" w:hAnsi="Arial" w:cs="Arial"/>
          <w:i w:val="0"/>
          <w:spacing w:val="4"/>
          <w:sz w:val="24"/>
          <w:szCs w:val="24"/>
          <w:lang w:val="en-US"/>
        </w:rPr>
        <w:t xml:space="preserve">ông </w:t>
      </w:r>
      <w:r w:rsidRPr="000C1846">
        <w:rPr>
          <w:rStyle w:val="BodytextItalic"/>
          <w:rFonts w:ascii="Arial" w:eastAsia="Calibri" w:hAnsi="Arial" w:cs="Arial"/>
          <w:i w:val="0"/>
          <w:spacing w:val="4"/>
          <w:sz w:val="24"/>
          <w:szCs w:val="24"/>
        </w:rPr>
        <w:t>Võ Văn T, người đại diện theo ủy quyền là</w:t>
      </w:r>
      <w:r w:rsidR="00FD090D" w:rsidRPr="000C1846">
        <w:rPr>
          <w:rStyle w:val="BodytextItalic"/>
          <w:rFonts w:ascii="Arial" w:eastAsia="Calibri" w:hAnsi="Arial" w:cs="Arial"/>
          <w:i w:val="0"/>
          <w:spacing w:val="4"/>
          <w:sz w:val="24"/>
          <w:szCs w:val="24"/>
          <w:lang w:val="en-US"/>
        </w:rPr>
        <w:t xml:space="preserve"> bà</w:t>
      </w:r>
      <w:r w:rsidRPr="000C1846">
        <w:rPr>
          <w:rStyle w:val="BodytextItalic"/>
          <w:rFonts w:ascii="Arial" w:eastAsia="Calibri" w:hAnsi="Arial" w:cs="Arial"/>
          <w:i w:val="0"/>
          <w:spacing w:val="4"/>
          <w:sz w:val="24"/>
          <w:szCs w:val="24"/>
        </w:rPr>
        <w:t xml:space="preserve"> Võ Thị T) </w:t>
      </w:r>
      <w:r w:rsidRPr="000C1846">
        <w:rPr>
          <w:rFonts w:ascii="Arial" w:hAnsi="Arial" w:cs="Arial"/>
          <w:bCs/>
          <w:i/>
          <w:noProof/>
          <w:spacing w:val="4"/>
          <w:sz w:val="24"/>
          <w:szCs w:val="24"/>
        </w:rPr>
        <w:t>.</w:t>
      </w:r>
    </w:p>
    <w:p w:rsidR="00EF73A7" w:rsidRPr="000C1846" w:rsidRDefault="00EF73A7" w:rsidP="000C1846">
      <w:pPr>
        <w:widowControl w:val="0"/>
        <w:spacing w:after="0" w:line="240" w:lineRule="auto"/>
        <w:jc w:val="both"/>
        <w:rPr>
          <w:rFonts w:ascii="Arial" w:hAnsi="Arial" w:cs="Arial"/>
          <w:b/>
          <w:bCs/>
          <w:noProof/>
          <w:sz w:val="24"/>
          <w:szCs w:val="24"/>
        </w:rPr>
      </w:pPr>
      <w:r w:rsidRPr="000C1846">
        <w:rPr>
          <w:rFonts w:ascii="Arial" w:hAnsi="Arial" w:cs="Arial"/>
          <w:b/>
          <w:bCs/>
          <w:noProof/>
          <w:sz w:val="24"/>
          <w:szCs w:val="24"/>
        </w:rPr>
        <w:t>Vị trí nội dung án lệ:</w:t>
      </w:r>
    </w:p>
    <w:p w:rsidR="00EF73A7" w:rsidRPr="000C1846" w:rsidRDefault="00EF73A7" w:rsidP="000C1846">
      <w:pPr>
        <w:widowControl w:val="0"/>
        <w:spacing w:after="0" w:line="240" w:lineRule="auto"/>
        <w:jc w:val="both"/>
        <w:rPr>
          <w:rFonts w:ascii="Arial" w:hAnsi="Arial" w:cs="Arial"/>
          <w:spacing w:val="-6"/>
          <w:sz w:val="24"/>
          <w:szCs w:val="24"/>
        </w:rPr>
      </w:pPr>
      <w:r w:rsidRPr="000C1846">
        <w:rPr>
          <w:rFonts w:ascii="Arial" w:hAnsi="Arial" w:cs="Arial"/>
          <w:spacing w:val="-6"/>
          <w:sz w:val="24"/>
          <w:szCs w:val="24"/>
        </w:rPr>
        <w:t>Đoạn 1 phần “Nhận định của Toà án”.</w:t>
      </w:r>
    </w:p>
    <w:p w:rsidR="00EF73A7" w:rsidRPr="000C1846" w:rsidRDefault="00EF73A7" w:rsidP="000C1846">
      <w:pPr>
        <w:widowControl w:val="0"/>
        <w:spacing w:after="0" w:line="240" w:lineRule="auto"/>
        <w:jc w:val="both"/>
        <w:rPr>
          <w:rFonts w:ascii="Arial" w:hAnsi="Arial" w:cs="Arial"/>
          <w:b/>
          <w:sz w:val="24"/>
          <w:szCs w:val="24"/>
        </w:rPr>
      </w:pPr>
      <w:r w:rsidRPr="000C1846">
        <w:rPr>
          <w:rFonts w:ascii="Arial" w:hAnsi="Arial" w:cs="Arial"/>
          <w:b/>
          <w:sz w:val="24"/>
          <w:szCs w:val="24"/>
        </w:rPr>
        <w:t>Khái quát nội dung của án lệ:</w:t>
      </w:r>
    </w:p>
    <w:p w:rsidR="00EF73A7" w:rsidRPr="000C1846" w:rsidRDefault="00EF73A7" w:rsidP="000C1846">
      <w:pPr>
        <w:widowControl w:val="0"/>
        <w:tabs>
          <w:tab w:val="left" w:pos="977"/>
        </w:tabs>
        <w:spacing w:after="0" w:line="240" w:lineRule="auto"/>
        <w:jc w:val="both"/>
        <w:rPr>
          <w:rStyle w:val="Bodytext5Tahoma"/>
          <w:rFonts w:ascii="Arial" w:hAnsi="Arial" w:cs="Arial"/>
          <w:i w:val="0"/>
          <w:sz w:val="24"/>
          <w:szCs w:val="24"/>
        </w:rPr>
      </w:pPr>
      <w:r w:rsidRPr="000C1846">
        <w:rPr>
          <w:rStyle w:val="Bodytext5Tahoma"/>
          <w:rFonts w:ascii="Arial" w:hAnsi="Arial" w:cs="Arial"/>
          <w:b/>
          <w:sz w:val="24"/>
          <w:szCs w:val="24"/>
        </w:rPr>
        <w:t>- Tình huống án lệ:</w:t>
      </w:r>
      <w:r w:rsidRPr="000C1846">
        <w:rPr>
          <w:rStyle w:val="Bodytext5Tahoma"/>
          <w:rFonts w:ascii="Arial" w:hAnsi="Arial" w:cs="Arial"/>
          <w:sz w:val="24"/>
          <w:szCs w:val="24"/>
        </w:rPr>
        <w:t xml:space="preserve"> </w:t>
      </w:r>
    </w:p>
    <w:p w:rsidR="00EF73A7" w:rsidRPr="000C1846" w:rsidRDefault="00331CAC" w:rsidP="000C1846">
      <w:pPr>
        <w:widowControl w:val="0"/>
        <w:spacing w:after="0" w:line="240" w:lineRule="auto"/>
        <w:jc w:val="both"/>
        <w:rPr>
          <w:rStyle w:val="Bodytext5Tahoma"/>
          <w:rFonts w:ascii="Arial" w:hAnsi="Arial" w:cs="Arial"/>
          <w:spacing w:val="2"/>
          <w:sz w:val="24"/>
          <w:szCs w:val="24"/>
        </w:rPr>
      </w:pPr>
      <w:r w:rsidRPr="000C1846">
        <w:rPr>
          <w:rStyle w:val="Bodytext5Tahoma"/>
          <w:rFonts w:ascii="Arial" w:hAnsi="Arial" w:cs="Arial"/>
          <w:i w:val="0"/>
          <w:spacing w:val="2"/>
          <w:sz w:val="24"/>
          <w:szCs w:val="24"/>
        </w:rPr>
        <w:t>Tòa án</w:t>
      </w:r>
      <w:r w:rsidR="0070022B" w:rsidRPr="000C1846">
        <w:rPr>
          <w:rStyle w:val="Bodytext5Tahoma"/>
          <w:rFonts w:ascii="Arial" w:hAnsi="Arial" w:cs="Arial"/>
          <w:i w:val="0"/>
          <w:spacing w:val="2"/>
          <w:sz w:val="24"/>
          <w:szCs w:val="24"/>
        </w:rPr>
        <w:t xml:space="preserve"> đã </w:t>
      </w:r>
      <w:r w:rsidRPr="000C1846">
        <w:rPr>
          <w:rStyle w:val="Bodytext5Tahoma"/>
          <w:rFonts w:ascii="Arial" w:hAnsi="Arial" w:cs="Arial"/>
          <w:i w:val="0"/>
          <w:spacing w:val="2"/>
          <w:sz w:val="24"/>
          <w:szCs w:val="24"/>
        </w:rPr>
        <w:t xml:space="preserve">quyết định </w:t>
      </w:r>
      <w:r w:rsidR="0070022B" w:rsidRPr="000C1846">
        <w:rPr>
          <w:rStyle w:val="Bodytext5Tahoma"/>
          <w:rFonts w:ascii="Arial" w:hAnsi="Arial" w:cs="Arial"/>
          <w:i w:val="0"/>
          <w:spacing w:val="2"/>
          <w:sz w:val="24"/>
          <w:szCs w:val="24"/>
        </w:rPr>
        <w:t>hoãn</w:t>
      </w:r>
      <w:r w:rsidRPr="000C1846">
        <w:rPr>
          <w:rStyle w:val="Bodytext5Tahoma"/>
          <w:rFonts w:ascii="Arial" w:hAnsi="Arial" w:cs="Arial"/>
          <w:i w:val="0"/>
          <w:spacing w:val="2"/>
          <w:sz w:val="24"/>
          <w:szCs w:val="24"/>
        </w:rPr>
        <w:t xml:space="preserve"> phiên tòa</w:t>
      </w:r>
      <w:r w:rsidR="0070022B" w:rsidRPr="000C1846">
        <w:rPr>
          <w:rStyle w:val="Bodytext5Tahoma"/>
          <w:rFonts w:ascii="Arial" w:hAnsi="Arial" w:cs="Arial"/>
          <w:i w:val="0"/>
          <w:spacing w:val="2"/>
          <w:sz w:val="24"/>
          <w:szCs w:val="24"/>
        </w:rPr>
        <w:t xml:space="preserve"> </w:t>
      </w:r>
      <w:r w:rsidR="00EF73A7" w:rsidRPr="000C1846">
        <w:rPr>
          <w:rStyle w:val="Bodytext5Tahoma"/>
          <w:rFonts w:ascii="Arial" w:hAnsi="Arial" w:cs="Arial"/>
          <w:i w:val="0"/>
          <w:spacing w:val="2"/>
          <w:sz w:val="24"/>
          <w:szCs w:val="24"/>
        </w:rPr>
        <w:t xml:space="preserve">và </w:t>
      </w:r>
      <w:r w:rsidR="00C62CED" w:rsidRPr="000C1846">
        <w:rPr>
          <w:rStyle w:val="Bodytext5Tahoma"/>
          <w:rFonts w:ascii="Arial" w:hAnsi="Arial" w:cs="Arial"/>
          <w:i w:val="0"/>
          <w:spacing w:val="2"/>
          <w:sz w:val="24"/>
          <w:szCs w:val="24"/>
        </w:rPr>
        <w:t xml:space="preserve">lý do </w:t>
      </w:r>
      <w:r w:rsidR="00EF73A7" w:rsidRPr="000C1846">
        <w:rPr>
          <w:rStyle w:val="Bodytext5Tahoma"/>
          <w:rFonts w:ascii="Arial" w:hAnsi="Arial" w:cs="Arial"/>
          <w:i w:val="0"/>
          <w:spacing w:val="2"/>
          <w:sz w:val="24"/>
          <w:szCs w:val="24"/>
        </w:rPr>
        <w:t xml:space="preserve">hoãn phiên tòa </w:t>
      </w:r>
      <w:r w:rsidR="00C62CED" w:rsidRPr="000C1846">
        <w:rPr>
          <w:rStyle w:val="Bodytext5Tahoma"/>
          <w:rFonts w:ascii="Arial" w:hAnsi="Arial" w:cs="Arial"/>
          <w:i w:val="0"/>
          <w:spacing w:val="2"/>
          <w:sz w:val="24"/>
          <w:szCs w:val="24"/>
        </w:rPr>
        <w:t>không phả</w:t>
      </w:r>
      <w:r w:rsidR="0070022B" w:rsidRPr="000C1846">
        <w:rPr>
          <w:rStyle w:val="Bodytext5Tahoma"/>
          <w:rFonts w:ascii="Arial" w:hAnsi="Arial" w:cs="Arial"/>
          <w:i w:val="0"/>
          <w:spacing w:val="2"/>
          <w:sz w:val="24"/>
          <w:szCs w:val="24"/>
        </w:rPr>
        <w:t xml:space="preserve">i do lỗi của </w:t>
      </w:r>
      <w:r w:rsidR="00C62CED" w:rsidRPr="000C1846">
        <w:rPr>
          <w:rStyle w:val="Bodytext5Tahoma"/>
          <w:rFonts w:ascii="Arial" w:hAnsi="Arial" w:cs="Arial"/>
          <w:i w:val="0"/>
          <w:spacing w:val="2"/>
          <w:sz w:val="24"/>
          <w:szCs w:val="24"/>
        </w:rPr>
        <w:t>đương sự (nguyên đơn, bị đơn, người có quyền lợi</w:t>
      </w:r>
      <w:r w:rsidR="005B2BA2" w:rsidRPr="000C1846">
        <w:rPr>
          <w:rStyle w:val="Bodytext5Tahoma"/>
          <w:rFonts w:ascii="Arial" w:hAnsi="Arial" w:cs="Arial"/>
          <w:i w:val="0"/>
          <w:spacing w:val="2"/>
          <w:sz w:val="24"/>
          <w:szCs w:val="24"/>
        </w:rPr>
        <w:t>,</w:t>
      </w:r>
      <w:r w:rsidR="00C62CED" w:rsidRPr="000C1846">
        <w:rPr>
          <w:rStyle w:val="Bodytext5Tahoma"/>
          <w:rFonts w:ascii="Arial" w:hAnsi="Arial" w:cs="Arial"/>
          <w:i w:val="0"/>
          <w:spacing w:val="2"/>
          <w:sz w:val="24"/>
          <w:szCs w:val="24"/>
        </w:rPr>
        <w:t xml:space="preserve"> nghĩa vụ liên quan</w:t>
      </w:r>
      <w:r w:rsidR="00911C69" w:rsidRPr="000C1846">
        <w:rPr>
          <w:rStyle w:val="Bodytext5Tahoma"/>
          <w:rFonts w:ascii="Arial" w:hAnsi="Arial" w:cs="Arial"/>
          <w:i w:val="0"/>
          <w:spacing w:val="2"/>
          <w:sz w:val="24"/>
          <w:szCs w:val="24"/>
        </w:rPr>
        <w:t>)</w:t>
      </w:r>
      <w:r w:rsidR="00F07A73" w:rsidRPr="000C1846">
        <w:rPr>
          <w:rStyle w:val="Bodytext5Tahoma"/>
          <w:rFonts w:ascii="Arial" w:hAnsi="Arial" w:cs="Arial"/>
          <w:i w:val="0"/>
          <w:spacing w:val="2"/>
          <w:sz w:val="24"/>
          <w:szCs w:val="24"/>
        </w:rPr>
        <w:t xml:space="preserve"> </w:t>
      </w:r>
      <w:r w:rsidR="00C62CED" w:rsidRPr="000C1846">
        <w:rPr>
          <w:rFonts w:ascii="Arial" w:hAnsi="Arial" w:cs="Arial"/>
          <w:spacing w:val="2"/>
          <w:sz w:val="24"/>
          <w:szCs w:val="24"/>
        </w:rPr>
        <w:t>hoặc người đại diện, người bảo vệ quyền và lợi ích hợp pháp của đương sự</w:t>
      </w:r>
      <w:r w:rsidR="00EF73A7" w:rsidRPr="000C1846">
        <w:rPr>
          <w:rStyle w:val="Bodytext5Tahoma"/>
          <w:rFonts w:ascii="Arial" w:hAnsi="Arial" w:cs="Arial"/>
          <w:i w:val="0"/>
          <w:spacing w:val="2"/>
          <w:sz w:val="24"/>
          <w:szCs w:val="24"/>
        </w:rPr>
        <w:t>. Phiên tòa</w:t>
      </w:r>
      <w:r w:rsidR="00EF73A7" w:rsidRPr="000C1846">
        <w:rPr>
          <w:rFonts w:ascii="Arial" w:hAnsi="Arial" w:cs="Arial"/>
          <w:i/>
          <w:spacing w:val="2"/>
          <w:sz w:val="24"/>
          <w:szCs w:val="24"/>
        </w:rPr>
        <w:t xml:space="preserve"> </w:t>
      </w:r>
      <w:r w:rsidR="00EF73A7" w:rsidRPr="000C1846">
        <w:rPr>
          <w:rFonts w:ascii="Arial" w:hAnsi="Arial" w:cs="Arial"/>
          <w:spacing w:val="2"/>
          <w:sz w:val="24"/>
          <w:szCs w:val="24"/>
        </w:rPr>
        <w:t xml:space="preserve">được mở lại nhưng có đương sự hoặc người đại diện, người bảo vệ quyền và lợi ích hợp pháp của đương sự được triệu tập hợp lệ vắng mặt. </w:t>
      </w:r>
    </w:p>
    <w:p w:rsidR="00EF73A7" w:rsidRPr="000C1846" w:rsidRDefault="00EF73A7" w:rsidP="000C1846">
      <w:pPr>
        <w:widowControl w:val="0"/>
        <w:tabs>
          <w:tab w:val="left" w:pos="977"/>
        </w:tabs>
        <w:spacing w:after="0" w:line="240" w:lineRule="auto"/>
        <w:jc w:val="both"/>
        <w:rPr>
          <w:rStyle w:val="Bodytext5Tahoma"/>
          <w:rFonts w:ascii="Arial" w:hAnsi="Arial" w:cs="Arial"/>
          <w:b/>
          <w:sz w:val="24"/>
          <w:szCs w:val="24"/>
        </w:rPr>
      </w:pPr>
      <w:r w:rsidRPr="000C1846">
        <w:rPr>
          <w:rStyle w:val="Bodytext5Tahoma"/>
          <w:rFonts w:ascii="Arial" w:hAnsi="Arial" w:cs="Arial"/>
          <w:b/>
          <w:sz w:val="24"/>
          <w:szCs w:val="24"/>
        </w:rPr>
        <w:t>- Giải pháp pháp lý:</w:t>
      </w:r>
    </w:p>
    <w:p w:rsidR="00EF73A7" w:rsidRPr="000C1846" w:rsidRDefault="00EF73A7" w:rsidP="000C1846">
      <w:pPr>
        <w:widowControl w:val="0"/>
        <w:spacing w:after="0" w:line="240" w:lineRule="auto"/>
        <w:jc w:val="both"/>
        <w:rPr>
          <w:rFonts w:ascii="Arial" w:hAnsi="Arial" w:cs="Arial"/>
          <w:sz w:val="24"/>
          <w:szCs w:val="24"/>
        </w:rPr>
      </w:pPr>
      <w:r w:rsidRPr="000C1846">
        <w:rPr>
          <w:rFonts w:ascii="Arial" w:hAnsi="Arial" w:cs="Arial"/>
          <w:sz w:val="24"/>
          <w:szCs w:val="24"/>
        </w:rPr>
        <w:t>Tòa án phải xác định đây là trường hợp đương sự hoặc người đại diện, người bảo vệ quyền và lợi ích hợp pháp của đương sự được triệu tập hợp lệ lần thứ nhất vắng mặt tại phiên tòa.</w:t>
      </w:r>
    </w:p>
    <w:p w:rsidR="00EF73A7" w:rsidRPr="000C1846" w:rsidRDefault="00EF73A7" w:rsidP="000C1846">
      <w:pPr>
        <w:widowControl w:val="0"/>
        <w:spacing w:after="0" w:line="240" w:lineRule="auto"/>
        <w:jc w:val="both"/>
        <w:rPr>
          <w:rFonts w:ascii="Arial" w:hAnsi="Arial" w:cs="Arial"/>
          <w:b/>
          <w:sz w:val="24"/>
          <w:szCs w:val="24"/>
        </w:rPr>
      </w:pPr>
      <w:r w:rsidRPr="000C1846">
        <w:rPr>
          <w:rFonts w:ascii="Arial" w:hAnsi="Arial" w:cs="Arial"/>
          <w:b/>
          <w:sz w:val="24"/>
          <w:szCs w:val="24"/>
        </w:rPr>
        <w:t>Quy định của pháp luật liên quan đến án lệ:</w:t>
      </w:r>
    </w:p>
    <w:p w:rsidR="00EF73A7" w:rsidRPr="000C1846" w:rsidRDefault="00EF73A7" w:rsidP="000C1846">
      <w:pPr>
        <w:widowControl w:val="0"/>
        <w:spacing w:after="0" w:line="240" w:lineRule="auto"/>
        <w:jc w:val="both"/>
        <w:rPr>
          <w:rFonts w:ascii="Arial" w:hAnsi="Arial" w:cs="Arial"/>
          <w:spacing w:val="6"/>
          <w:sz w:val="24"/>
          <w:szCs w:val="24"/>
        </w:rPr>
      </w:pPr>
      <w:r w:rsidRPr="000C1846">
        <w:rPr>
          <w:rFonts w:ascii="Arial" w:hAnsi="Arial" w:cs="Arial"/>
          <w:spacing w:val="6"/>
          <w:sz w:val="24"/>
          <w:szCs w:val="24"/>
        </w:rPr>
        <w:t>Khoản 1 Điều 199, Điều 202</w:t>
      </w:r>
      <w:r w:rsidR="00A47E45" w:rsidRPr="000C1846">
        <w:rPr>
          <w:rFonts w:ascii="Arial" w:hAnsi="Arial" w:cs="Arial"/>
          <w:spacing w:val="6"/>
          <w:sz w:val="24"/>
          <w:szCs w:val="24"/>
        </w:rPr>
        <w:t>, khoản 2 Điều 266</w:t>
      </w:r>
      <w:r w:rsidRPr="000C1846">
        <w:rPr>
          <w:rFonts w:ascii="Arial" w:hAnsi="Arial" w:cs="Arial"/>
          <w:spacing w:val="6"/>
          <w:sz w:val="24"/>
          <w:szCs w:val="24"/>
        </w:rPr>
        <w:t xml:space="preserve"> Bộ luật </w:t>
      </w:r>
      <w:r w:rsidR="00362F28" w:rsidRPr="000C1846">
        <w:rPr>
          <w:rFonts w:ascii="Arial" w:hAnsi="Arial" w:cs="Arial"/>
          <w:spacing w:val="6"/>
          <w:sz w:val="24"/>
          <w:szCs w:val="24"/>
        </w:rPr>
        <w:t>T</w:t>
      </w:r>
      <w:r w:rsidRPr="000C1846">
        <w:rPr>
          <w:rFonts w:ascii="Arial" w:hAnsi="Arial" w:cs="Arial"/>
          <w:spacing w:val="6"/>
          <w:sz w:val="24"/>
          <w:szCs w:val="24"/>
        </w:rPr>
        <w:t>ố tụng dân sự năm 2004 (</w:t>
      </w:r>
      <w:r w:rsidR="006C77E5" w:rsidRPr="000C1846">
        <w:rPr>
          <w:rFonts w:ascii="Arial" w:hAnsi="Arial" w:cs="Arial"/>
          <w:spacing w:val="6"/>
          <w:sz w:val="24"/>
          <w:szCs w:val="24"/>
        </w:rPr>
        <w:t>k</w:t>
      </w:r>
      <w:r w:rsidRPr="000C1846">
        <w:rPr>
          <w:rFonts w:ascii="Arial" w:hAnsi="Arial" w:cs="Arial"/>
          <w:spacing w:val="6"/>
          <w:sz w:val="24"/>
          <w:szCs w:val="24"/>
        </w:rPr>
        <w:t>hoản 1 Điều 227, Điều 228</w:t>
      </w:r>
      <w:r w:rsidR="00A47E45" w:rsidRPr="000C1846">
        <w:rPr>
          <w:rFonts w:ascii="Arial" w:hAnsi="Arial" w:cs="Arial"/>
          <w:spacing w:val="6"/>
          <w:sz w:val="24"/>
          <w:szCs w:val="24"/>
        </w:rPr>
        <w:t xml:space="preserve">, </w:t>
      </w:r>
      <w:r w:rsidR="006C77E5" w:rsidRPr="000C1846">
        <w:rPr>
          <w:rFonts w:ascii="Arial" w:hAnsi="Arial" w:cs="Arial"/>
          <w:spacing w:val="6"/>
          <w:sz w:val="24"/>
          <w:szCs w:val="24"/>
        </w:rPr>
        <w:t>k</w:t>
      </w:r>
      <w:r w:rsidR="00A47E45" w:rsidRPr="000C1846">
        <w:rPr>
          <w:rFonts w:ascii="Arial" w:hAnsi="Arial" w:cs="Arial"/>
          <w:spacing w:val="6"/>
          <w:sz w:val="24"/>
          <w:szCs w:val="24"/>
        </w:rPr>
        <w:t>hoản 2 Điều 296</w:t>
      </w:r>
      <w:r w:rsidRPr="000C1846">
        <w:rPr>
          <w:rFonts w:ascii="Arial" w:hAnsi="Arial" w:cs="Arial"/>
          <w:spacing w:val="6"/>
          <w:sz w:val="24"/>
          <w:szCs w:val="24"/>
        </w:rPr>
        <w:t xml:space="preserve"> Bộ luật </w:t>
      </w:r>
      <w:r w:rsidR="00362F28" w:rsidRPr="000C1846">
        <w:rPr>
          <w:rFonts w:ascii="Arial" w:hAnsi="Arial" w:cs="Arial"/>
          <w:spacing w:val="6"/>
          <w:sz w:val="24"/>
          <w:szCs w:val="24"/>
        </w:rPr>
        <w:t>T</w:t>
      </w:r>
      <w:r w:rsidRPr="000C1846">
        <w:rPr>
          <w:rFonts w:ascii="Arial" w:hAnsi="Arial" w:cs="Arial"/>
          <w:spacing w:val="6"/>
          <w:sz w:val="24"/>
          <w:szCs w:val="24"/>
        </w:rPr>
        <w:t>ố tụng dân sự</w:t>
      </w:r>
      <w:r w:rsidR="000E2268">
        <w:rPr>
          <w:rFonts w:ascii="Arial" w:hAnsi="Arial" w:cs="Arial"/>
          <w:spacing w:val="6"/>
          <w:sz w:val="24"/>
          <w:szCs w:val="24"/>
        </w:rPr>
        <w:t xml:space="preserve"> </w:t>
      </w:r>
      <w:bookmarkStart w:id="0" w:name="_GoBack"/>
      <w:bookmarkEnd w:id="0"/>
      <w:r w:rsidRPr="000C1846">
        <w:rPr>
          <w:rFonts w:ascii="Arial" w:hAnsi="Arial" w:cs="Arial"/>
          <w:spacing w:val="6"/>
          <w:sz w:val="24"/>
          <w:szCs w:val="24"/>
        </w:rPr>
        <w:t>năm 2015)</w:t>
      </w:r>
      <w:r w:rsidR="00F827A1" w:rsidRPr="000C1846">
        <w:rPr>
          <w:rFonts w:ascii="Arial" w:hAnsi="Arial" w:cs="Arial"/>
          <w:spacing w:val="6"/>
          <w:sz w:val="24"/>
          <w:szCs w:val="24"/>
        </w:rPr>
        <w:t>.</w:t>
      </w:r>
    </w:p>
    <w:p w:rsidR="00EF73A7" w:rsidRPr="000C1846" w:rsidRDefault="00EF73A7" w:rsidP="000C1846">
      <w:pPr>
        <w:widowControl w:val="0"/>
        <w:spacing w:after="0" w:line="240" w:lineRule="auto"/>
        <w:jc w:val="both"/>
        <w:rPr>
          <w:rFonts w:ascii="Arial" w:hAnsi="Arial" w:cs="Arial"/>
          <w:b/>
          <w:bCs/>
          <w:noProof/>
          <w:sz w:val="24"/>
          <w:szCs w:val="24"/>
        </w:rPr>
      </w:pPr>
      <w:r w:rsidRPr="000C1846">
        <w:rPr>
          <w:rFonts w:ascii="Arial" w:hAnsi="Arial" w:cs="Arial"/>
          <w:b/>
          <w:bCs/>
          <w:noProof/>
          <w:sz w:val="24"/>
          <w:szCs w:val="24"/>
        </w:rPr>
        <w:t>Từ khóa của án lệ:</w:t>
      </w:r>
    </w:p>
    <w:p w:rsidR="00960C15" w:rsidRPr="000C1846" w:rsidRDefault="00EF73A7" w:rsidP="000C1846">
      <w:pPr>
        <w:spacing w:after="0" w:line="240" w:lineRule="auto"/>
        <w:jc w:val="both"/>
        <w:rPr>
          <w:rFonts w:ascii="Arial" w:hAnsi="Arial" w:cs="Arial"/>
          <w:bCs/>
          <w:sz w:val="24"/>
          <w:szCs w:val="24"/>
        </w:rPr>
      </w:pPr>
      <w:r w:rsidRPr="000C1846">
        <w:rPr>
          <w:rFonts w:ascii="Arial" w:hAnsi="Arial" w:cs="Arial"/>
          <w:bCs/>
          <w:sz w:val="24"/>
          <w:szCs w:val="24"/>
        </w:rPr>
        <w:t xml:space="preserve">“Triệu tập hợp lệ”; </w:t>
      </w:r>
      <w:r w:rsidR="00F827A1" w:rsidRPr="000C1846">
        <w:rPr>
          <w:rFonts w:ascii="Arial" w:hAnsi="Arial" w:cs="Arial"/>
          <w:bCs/>
          <w:sz w:val="24"/>
          <w:szCs w:val="24"/>
        </w:rPr>
        <w:t xml:space="preserve">“Triệu tập hợp lệ lần thứ nhất”; </w:t>
      </w:r>
      <w:r w:rsidRPr="000C1846">
        <w:rPr>
          <w:rFonts w:ascii="Arial" w:hAnsi="Arial" w:cs="Arial"/>
          <w:bCs/>
          <w:sz w:val="24"/>
          <w:szCs w:val="24"/>
        </w:rPr>
        <w:t>“Đương sự vắng mặt tạ</w:t>
      </w:r>
      <w:r w:rsidR="00F827A1" w:rsidRPr="000C1846">
        <w:rPr>
          <w:rFonts w:ascii="Arial" w:hAnsi="Arial" w:cs="Arial"/>
          <w:bCs/>
          <w:sz w:val="24"/>
          <w:szCs w:val="24"/>
        </w:rPr>
        <w:t>i phiên tòa”; “Hoãn phiên tòa”.</w:t>
      </w:r>
      <w:r w:rsidRPr="000C1846">
        <w:rPr>
          <w:rFonts w:ascii="Arial" w:hAnsi="Arial" w:cs="Arial"/>
          <w:bCs/>
          <w:sz w:val="24"/>
          <w:szCs w:val="24"/>
        </w:rPr>
        <w:t xml:space="preserve"> </w:t>
      </w:r>
    </w:p>
    <w:p w:rsidR="00EF73A7" w:rsidRPr="000C1846" w:rsidRDefault="00EF73A7" w:rsidP="000C1846">
      <w:pPr>
        <w:tabs>
          <w:tab w:val="num" w:pos="2268"/>
        </w:tabs>
        <w:spacing w:after="0" w:line="240" w:lineRule="auto"/>
        <w:jc w:val="center"/>
        <w:rPr>
          <w:rFonts w:ascii="Arial" w:hAnsi="Arial" w:cs="Arial"/>
          <w:b/>
          <w:bCs/>
          <w:sz w:val="24"/>
          <w:szCs w:val="24"/>
        </w:rPr>
      </w:pPr>
      <w:r w:rsidRPr="000C1846">
        <w:rPr>
          <w:rFonts w:ascii="Arial" w:hAnsi="Arial" w:cs="Arial"/>
          <w:b/>
          <w:bCs/>
          <w:sz w:val="24"/>
          <w:szCs w:val="24"/>
        </w:rPr>
        <w:t>NỘI DUNG VỤ ÁN:</w:t>
      </w:r>
    </w:p>
    <w:p w:rsidR="00EF73A7" w:rsidRPr="000C1846" w:rsidRDefault="00EF73A7" w:rsidP="000C1846">
      <w:pPr>
        <w:tabs>
          <w:tab w:val="left" w:pos="709"/>
        </w:tabs>
        <w:spacing w:after="0" w:line="240" w:lineRule="auto"/>
        <w:jc w:val="both"/>
        <w:rPr>
          <w:rFonts w:ascii="Arial" w:hAnsi="Arial" w:cs="Arial"/>
          <w:sz w:val="24"/>
          <w:szCs w:val="24"/>
        </w:rPr>
      </w:pPr>
      <w:r w:rsidRPr="000C1846">
        <w:rPr>
          <w:rFonts w:ascii="Arial" w:hAnsi="Arial" w:cs="Arial"/>
          <w:i/>
          <w:sz w:val="24"/>
          <w:szCs w:val="24"/>
        </w:rPr>
        <w:t>Tại Đơn khởi kiện đề ngày 05-11-2012; Đơn sửa đổi, bổ sung đơn khởi kiện đề ngày 26-5-2013 và các lời khai tại Tòa án, nguyên đơn là Công ty cổ phần Q trình bày</w:t>
      </w:r>
      <w:r w:rsidRPr="000C1846">
        <w:rPr>
          <w:rFonts w:ascii="Arial" w:hAnsi="Arial" w:cs="Arial"/>
          <w:sz w:val="24"/>
          <w:szCs w:val="24"/>
        </w:rPr>
        <w:t>:</w:t>
      </w:r>
    </w:p>
    <w:p w:rsidR="00EF73A7" w:rsidRPr="000C1846" w:rsidRDefault="00EF73A7" w:rsidP="000C1846">
      <w:pPr>
        <w:tabs>
          <w:tab w:val="left" w:pos="709"/>
        </w:tabs>
        <w:spacing w:after="0" w:line="240" w:lineRule="auto"/>
        <w:jc w:val="both"/>
        <w:rPr>
          <w:rFonts w:ascii="Arial" w:hAnsi="Arial" w:cs="Arial"/>
          <w:sz w:val="24"/>
          <w:szCs w:val="24"/>
        </w:rPr>
      </w:pPr>
      <w:r w:rsidRPr="000C1846">
        <w:rPr>
          <w:rFonts w:ascii="Arial" w:hAnsi="Arial" w:cs="Arial"/>
          <w:sz w:val="24"/>
          <w:szCs w:val="24"/>
        </w:rPr>
        <w:t>Ngày 03-01-2011, Công ty cổ phần Q (sau đây viết tắt là Công ty Q) và Công ty trách nhiệm hữu hạn T (sau đây viết tắt là Công ty T) ký kết Hợp đồng mua bán cây giống cao su số 011/2011/HĐKT; ngày 23-02-2011, hai bên tiếp tục ký Hợp đồng số 021/2011/HĐKT với cùng nội dung. Tổng số lượng cây của hai hợp đồng là 400.000 cây cao su giống bầu 02 tầng lá có giá trị 2.800.000.000 Kíp Lào (mỗi hợp đồng 200.000 cây, trị giá 1.400.000.000 Kíp Lào). Sau khi ký hợp đồng, Công ty Q đã tạm ứng cho Công ty T 930.000.000 Kíp Lào (tương đương với 2.511.000.000 đồng).</w:t>
      </w:r>
    </w:p>
    <w:p w:rsidR="00EF73A7" w:rsidRPr="000C1846" w:rsidRDefault="00EF73A7" w:rsidP="000C1846">
      <w:pPr>
        <w:tabs>
          <w:tab w:val="left" w:pos="709"/>
        </w:tabs>
        <w:spacing w:after="0" w:line="240" w:lineRule="auto"/>
        <w:jc w:val="both"/>
        <w:rPr>
          <w:rFonts w:ascii="Arial" w:hAnsi="Arial" w:cs="Arial"/>
          <w:sz w:val="24"/>
          <w:szCs w:val="24"/>
        </w:rPr>
      </w:pPr>
      <w:r w:rsidRPr="000C1846">
        <w:rPr>
          <w:rFonts w:ascii="Arial" w:hAnsi="Arial" w:cs="Arial"/>
          <w:sz w:val="24"/>
          <w:szCs w:val="24"/>
        </w:rPr>
        <w:t xml:space="preserve">Quá trình thực hiện hợp đồng, Công ty T đề nghị mượn 449.455 cây Stump trần và được Công ty Q chấp nhận, số cây này Công ty Q ký hợp đồng mua của Công ty V với giá 6.500 đồng/cây. Công ty T đã trả cho Công ty Q 40.600 cây, hiện còn nợ 408.855 cây. Đợt 1, Công ty T chỉ giao được 79.924 cây sau đó không thực hiện hợp đồng. Công ty Q đã nhiều lần mời Công ty T đến để giải quyết, nhưng Công ty T không đến. Ngày 05-10-2011, </w:t>
      </w:r>
      <w:r w:rsidR="00362F28" w:rsidRPr="000C1846">
        <w:rPr>
          <w:rFonts w:ascii="Arial" w:hAnsi="Arial" w:cs="Arial"/>
          <w:sz w:val="24"/>
          <w:szCs w:val="24"/>
        </w:rPr>
        <w:t xml:space="preserve">ông </w:t>
      </w:r>
      <w:r w:rsidRPr="000C1846">
        <w:rPr>
          <w:rFonts w:ascii="Arial" w:hAnsi="Arial" w:cs="Arial"/>
          <w:sz w:val="24"/>
          <w:szCs w:val="24"/>
        </w:rPr>
        <w:t xml:space="preserve">Võ Văn T mới cử con gái là </w:t>
      </w:r>
      <w:r w:rsidR="00362F28" w:rsidRPr="000C1846">
        <w:rPr>
          <w:rFonts w:ascii="Arial" w:hAnsi="Arial" w:cs="Arial"/>
          <w:sz w:val="24"/>
          <w:szCs w:val="24"/>
        </w:rPr>
        <w:t xml:space="preserve">bà </w:t>
      </w:r>
      <w:r w:rsidRPr="000C1846">
        <w:rPr>
          <w:rFonts w:ascii="Arial" w:hAnsi="Arial" w:cs="Arial"/>
          <w:sz w:val="24"/>
          <w:szCs w:val="24"/>
        </w:rPr>
        <w:t xml:space="preserve">Võ Thị T đến làm việc. Để hạn chế thiệt hại xảy ra, Công ty Q đã tiến hành kiểm kê toàn bộ số lượng cây hiện có. Tính đến ngày 14-9-2011, tổng cộng có 194.776 cây, nhưng đây chỉ là </w:t>
      </w:r>
      <w:r w:rsidRPr="000C1846">
        <w:rPr>
          <w:rFonts w:ascii="Arial" w:hAnsi="Arial" w:cs="Arial"/>
          <w:sz w:val="24"/>
          <w:szCs w:val="24"/>
        </w:rPr>
        <w:lastRenderedPageBreak/>
        <w:t>số lượng kiểm kê chứ không phải số lượng giao nhận. Nếu kết thúc ở thời điểm giao nhận tháng 9-2011 thì số lượng cây giao nhận chỉ đạt 20% trên tổng số tiền là 76% mà Công ty T đã nhận ứng trước của Công ty Q. Do đó, Công ty Q đã thống nhất với</w:t>
      </w:r>
      <w:r w:rsidR="00362F28" w:rsidRPr="000C1846">
        <w:rPr>
          <w:rFonts w:ascii="Arial" w:hAnsi="Arial" w:cs="Arial"/>
          <w:sz w:val="24"/>
          <w:szCs w:val="24"/>
        </w:rPr>
        <w:t xml:space="preserve"> bà</w:t>
      </w:r>
      <w:r w:rsidRPr="000C1846">
        <w:rPr>
          <w:rFonts w:ascii="Arial" w:hAnsi="Arial" w:cs="Arial"/>
          <w:sz w:val="24"/>
          <w:szCs w:val="24"/>
        </w:rPr>
        <w:t xml:space="preserve"> Võ Thị T để Công ty Q cử công nhân đến tận dụng và bứng tiếp đợt 2 là 117.833 cây, nâng tổng số cây giao nhận lên 197.757 cây Stump, tương ứng tổng trị giá 3.623.897</w:t>
      </w:r>
      <w:r w:rsidRPr="000C1846">
        <w:rPr>
          <w:rFonts w:ascii="Arial" w:hAnsi="Arial" w:cs="Arial"/>
          <w:sz w:val="24"/>
          <w:szCs w:val="24"/>
          <w:vertAlign w:val="subscript"/>
        </w:rPr>
        <w:t>.</w:t>
      </w:r>
      <w:r w:rsidRPr="000C1846">
        <w:rPr>
          <w:rFonts w:ascii="Arial" w:hAnsi="Arial" w:cs="Arial"/>
          <w:sz w:val="24"/>
          <w:szCs w:val="24"/>
        </w:rPr>
        <w:t>000 đồng.</w:t>
      </w:r>
    </w:p>
    <w:p w:rsidR="00EF73A7" w:rsidRPr="000C1846" w:rsidRDefault="00EF73A7" w:rsidP="000C1846">
      <w:pPr>
        <w:tabs>
          <w:tab w:val="left" w:pos="709"/>
        </w:tabs>
        <w:spacing w:after="0" w:line="240" w:lineRule="auto"/>
        <w:jc w:val="both"/>
        <w:rPr>
          <w:rFonts w:ascii="Arial" w:hAnsi="Arial" w:cs="Arial"/>
          <w:sz w:val="24"/>
          <w:szCs w:val="24"/>
        </w:rPr>
      </w:pPr>
      <w:r w:rsidRPr="000C1846">
        <w:rPr>
          <w:rFonts w:ascii="Arial" w:hAnsi="Arial" w:cs="Arial"/>
          <w:sz w:val="24"/>
          <w:szCs w:val="24"/>
        </w:rPr>
        <w:t>Ngoài ra, Công ty Q còn cho Công ty T mượn các loại vật tư, phân bón với tổng giá trị là 243.913.21l đồng, nhưng đến nay Công ty T vẫn chưa trả lại.</w:t>
      </w:r>
    </w:p>
    <w:p w:rsidR="00EF73A7" w:rsidRPr="000C1846" w:rsidRDefault="00EF73A7" w:rsidP="000C1846">
      <w:pPr>
        <w:tabs>
          <w:tab w:val="left" w:pos="709"/>
        </w:tabs>
        <w:spacing w:after="0" w:line="240" w:lineRule="auto"/>
        <w:jc w:val="both"/>
        <w:rPr>
          <w:rFonts w:ascii="Arial" w:hAnsi="Arial" w:cs="Arial"/>
          <w:spacing w:val="-4"/>
          <w:sz w:val="24"/>
          <w:szCs w:val="24"/>
        </w:rPr>
      </w:pPr>
      <w:r w:rsidRPr="000C1846">
        <w:rPr>
          <w:rFonts w:ascii="Arial" w:hAnsi="Arial" w:cs="Arial"/>
          <w:spacing w:val="-4"/>
          <w:sz w:val="24"/>
          <w:szCs w:val="24"/>
        </w:rPr>
        <w:t>Công ty T đã giao cho Công ty Q 163.376 bầu đất gia công, trị giá 39.414.000 Kíp Lào, tương đương 105.629.500 đồng; vườn gỗ nhân trị giá 20.491.200 Kíp Lào, tương đương 54.916.000 đồng và 18.096.000 đồng; tổng cộng là 178.641.500 đồng. Nay Công ty Q yêu cầu Tòa án giải quyết:</w:t>
      </w:r>
    </w:p>
    <w:p w:rsidR="00EF73A7" w:rsidRPr="000C1846" w:rsidRDefault="00EF73A7" w:rsidP="000C1846">
      <w:pPr>
        <w:tabs>
          <w:tab w:val="left" w:pos="709"/>
        </w:tabs>
        <w:spacing w:after="0" w:line="240" w:lineRule="auto"/>
        <w:jc w:val="both"/>
        <w:rPr>
          <w:rFonts w:ascii="Arial" w:hAnsi="Arial" w:cs="Arial"/>
          <w:spacing w:val="-4"/>
          <w:sz w:val="24"/>
          <w:szCs w:val="24"/>
        </w:rPr>
      </w:pPr>
      <w:r w:rsidRPr="000C1846">
        <w:rPr>
          <w:rFonts w:ascii="Arial" w:hAnsi="Arial" w:cs="Arial"/>
          <w:b/>
          <w:spacing w:val="-4"/>
          <w:sz w:val="24"/>
          <w:szCs w:val="24"/>
        </w:rPr>
        <w:t xml:space="preserve">- </w:t>
      </w:r>
      <w:r w:rsidRPr="000C1846">
        <w:rPr>
          <w:rFonts w:ascii="Arial" w:hAnsi="Arial" w:cs="Arial"/>
          <w:sz w:val="24"/>
          <w:szCs w:val="24"/>
        </w:rPr>
        <w:t>Buộc Công ty T</w:t>
      </w:r>
      <w:r w:rsidRPr="000C1846">
        <w:rPr>
          <w:rStyle w:val="Bodytext14pt"/>
          <w:rFonts w:ascii="Arial" w:eastAsia="Calibri" w:hAnsi="Arial" w:cs="Arial"/>
          <w:sz w:val="24"/>
          <w:szCs w:val="24"/>
        </w:rPr>
        <w:t xml:space="preserve"> </w:t>
      </w:r>
      <w:r w:rsidRPr="000C1846">
        <w:rPr>
          <w:rFonts w:ascii="Arial" w:hAnsi="Arial" w:cs="Arial"/>
          <w:sz w:val="24"/>
          <w:szCs w:val="24"/>
        </w:rPr>
        <w:t>bồi thường thiệt hại do vi phạm nghĩa vụ thực hiện hai hợp đồng nêu trên với tổng số cây giống chưa giao đủ là 202.243 cây (trị giá thành tiền là 3.706.102.975 đồng). Theo hợp đồng hai bên đã có thỏa thuận nếu vi phạm còn phải chịu phạt gấp 05 lần giá trị số cây chưa giao đủ là 18.530.514.875 đồng;</w:t>
      </w:r>
    </w:p>
    <w:p w:rsidR="00EF73A7" w:rsidRPr="000C1846" w:rsidRDefault="00EF73A7" w:rsidP="000C1846">
      <w:pPr>
        <w:tabs>
          <w:tab w:val="left" w:pos="709"/>
        </w:tabs>
        <w:spacing w:after="0" w:line="240" w:lineRule="auto"/>
        <w:jc w:val="both"/>
        <w:rPr>
          <w:rFonts w:ascii="Arial" w:hAnsi="Arial" w:cs="Arial"/>
          <w:spacing w:val="-4"/>
          <w:sz w:val="24"/>
          <w:szCs w:val="24"/>
        </w:rPr>
      </w:pPr>
      <w:r w:rsidRPr="000C1846">
        <w:rPr>
          <w:rFonts w:ascii="Arial" w:hAnsi="Arial" w:cs="Arial"/>
          <w:b/>
          <w:spacing w:val="-4"/>
          <w:sz w:val="24"/>
          <w:szCs w:val="24"/>
        </w:rPr>
        <w:t xml:space="preserve">- </w:t>
      </w:r>
      <w:r w:rsidRPr="000C1846">
        <w:rPr>
          <w:rStyle w:val="Bodytext10135pt"/>
          <w:rFonts w:ascii="Arial" w:eastAsia="Courier New" w:hAnsi="Arial" w:cs="Arial"/>
          <w:sz w:val="24"/>
          <w:szCs w:val="24"/>
        </w:rPr>
        <w:t xml:space="preserve">Buộc Công ty T phải trả </w:t>
      </w:r>
      <w:r w:rsidRPr="000C1846">
        <w:rPr>
          <w:rFonts w:ascii="Arial" w:eastAsia="Courier New" w:hAnsi="Arial" w:cs="Arial"/>
          <w:sz w:val="24"/>
          <w:szCs w:val="24"/>
        </w:rPr>
        <w:t>408.855 cây</w:t>
      </w:r>
      <w:r w:rsidRPr="000C1846">
        <w:rPr>
          <w:rStyle w:val="Bodytext10135pt"/>
          <w:rFonts w:ascii="Arial" w:eastAsia="Courier New" w:hAnsi="Arial" w:cs="Arial"/>
          <w:sz w:val="24"/>
          <w:szCs w:val="24"/>
        </w:rPr>
        <w:t xml:space="preserve"> giống Stump trần đã mượn của Công ty Q</w:t>
      </w:r>
      <w:r w:rsidRPr="000C1846">
        <w:rPr>
          <w:rFonts w:ascii="Arial" w:eastAsia="Courier New" w:hAnsi="Arial" w:cs="Arial"/>
          <w:sz w:val="24"/>
          <w:szCs w:val="24"/>
        </w:rPr>
        <w:t>, trị giá thành tiền là 2.657.557.500 đồng;</w:t>
      </w:r>
    </w:p>
    <w:p w:rsidR="00EF73A7" w:rsidRPr="000C1846" w:rsidRDefault="00EF73A7" w:rsidP="000C1846">
      <w:pPr>
        <w:spacing w:after="0" w:line="240" w:lineRule="auto"/>
        <w:jc w:val="both"/>
        <w:rPr>
          <w:rFonts w:ascii="Arial" w:hAnsi="Arial" w:cs="Arial"/>
          <w:b/>
          <w:spacing w:val="-6"/>
          <w:sz w:val="24"/>
          <w:szCs w:val="24"/>
        </w:rPr>
      </w:pPr>
      <w:r w:rsidRPr="000C1846">
        <w:rPr>
          <w:rFonts w:ascii="Arial" w:hAnsi="Arial" w:cs="Arial"/>
          <w:b/>
          <w:spacing w:val="-4"/>
          <w:sz w:val="24"/>
          <w:szCs w:val="24"/>
        </w:rPr>
        <w:t xml:space="preserve">- </w:t>
      </w:r>
      <w:r w:rsidRPr="000C1846">
        <w:rPr>
          <w:rFonts w:ascii="Arial" w:hAnsi="Arial" w:cs="Arial"/>
          <w:spacing w:val="-6"/>
          <w:sz w:val="24"/>
          <w:szCs w:val="24"/>
        </w:rPr>
        <w:t>Buộc Công ty T phải trả các loại vật tư đã mượn của Công ty Q bao gồm: Túi bầ</w:t>
      </w:r>
      <w:r w:rsidR="00362F28" w:rsidRPr="000C1846">
        <w:rPr>
          <w:rFonts w:ascii="Arial" w:hAnsi="Arial" w:cs="Arial"/>
          <w:spacing w:val="-6"/>
          <w:sz w:val="24"/>
          <w:szCs w:val="24"/>
        </w:rPr>
        <w:t>u PE (18 x 40) 5.170</w:t>
      </w:r>
      <w:r w:rsidRPr="000C1846">
        <w:rPr>
          <w:rFonts w:ascii="Arial" w:hAnsi="Arial" w:cs="Arial"/>
          <w:spacing w:val="-6"/>
          <w:sz w:val="24"/>
          <w:szCs w:val="24"/>
        </w:rPr>
        <w:t>kg, phân Kali 500kg, phân DAP 1.000kg, phân lân 2.800kg với tổng trị giá 91.212.392 Kíp Lào, tương đương 243.913.21l đồng.</w:t>
      </w:r>
    </w:p>
    <w:p w:rsidR="00EF73A7" w:rsidRPr="000C1846" w:rsidRDefault="00EF73A7" w:rsidP="000C1846">
      <w:pPr>
        <w:spacing w:after="0" w:line="240" w:lineRule="auto"/>
        <w:jc w:val="both"/>
        <w:rPr>
          <w:rFonts w:ascii="Arial" w:hAnsi="Arial" w:cs="Arial"/>
          <w:b/>
          <w:spacing w:val="-4"/>
          <w:sz w:val="24"/>
          <w:szCs w:val="24"/>
        </w:rPr>
      </w:pPr>
      <w:r w:rsidRPr="000C1846">
        <w:rPr>
          <w:rFonts w:ascii="Arial" w:hAnsi="Arial" w:cs="Arial"/>
          <w:spacing w:val="-4"/>
          <w:sz w:val="24"/>
          <w:szCs w:val="24"/>
        </w:rPr>
        <w:t>Tại phiên tòa, Công ty Q chỉ yêu cầu phạt vi phạm hợp đồng 8% đối với giá trị số cây chưa giao đủ là 296.488.000 đồng. Tổng cộng Công ty T phải trả cho Công ty Q 3.088.822.500 đồng. Sau khi đối trừ số tiền Công ty Q phải thanh toán cho Công ty T là 1.367.934.000 đồng thì Công ty T còn phải trả cho Công ty Q số tiền là 1.720.888.500 đồng.</w:t>
      </w:r>
    </w:p>
    <w:p w:rsidR="00EF73A7" w:rsidRPr="000C1846" w:rsidRDefault="00EF73A7" w:rsidP="000C1846">
      <w:pPr>
        <w:spacing w:after="0" w:line="240" w:lineRule="auto"/>
        <w:jc w:val="both"/>
        <w:rPr>
          <w:rFonts w:ascii="Arial" w:hAnsi="Arial" w:cs="Arial"/>
          <w:b/>
          <w:spacing w:val="-4"/>
          <w:sz w:val="24"/>
          <w:szCs w:val="24"/>
        </w:rPr>
      </w:pPr>
      <w:r w:rsidRPr="000C1846">
        <w:rPr>
          <w:rFonts w:ascii="Arial" w:hAnsi="Arial" w:cs="Arial"/>
          <w:i/>
          <w:sz w:val="24"/>
          <w:szCs w:val="24"/>
        </w:rPr>
        <w:t>Bị đơn là Công ty trách nhiệm hữu hạn T trình bày</w:t>
      </w:r>
      <w:r w:rsidRPr="000C1846">
        <w:rPr>
          <w:rFonts w:ascii="Arial" w:hAnsi="Arial" w:cs="Arial"/>
          <w:sz w:val="24"/>
          <w:szCs w:val="24"/>
        </w:rPr>
        <w:t>:</w:t>
      </w:r>
    </w:p>
    <w:p w:rsidR="00EF73A7" w:rsidRPr="000C1846" w:rsidRDefault="00EF73A7" w:rsidP="000C1846">
      <w:pPr>
        <w:spacing w:after="0" w:line="240" w:lineRule="auto"/>
        <w:jc w:val="both"/>
        <w:rPr>
          <w:rFonts w:ascii="Arial" w:hAnsi="Arial" w:cs="Arial"/>
          <w:sz w:val="24"/>
          <w:szCs w:val="24"/>
        </w:rPr>
      </w:pPr>
      <w:r w:rsidRPr="000C1846">
        <w:rPr>
          <w:rFonts w:ascii="Arial" w:hAnsi="Arial" w:cs="Arial"/>
          <w:sz w:val="24"/>
          <w:szCs w:val="24"/>
        </w:rPr>
        <w:t>Xác nhận nội dung hợp đồng như Công ty Q đã trình bày. Công ty T đã thực hiện đúng hợp đồng, nhưng khi đến thời hạn giao cây thì Công ty Q trì hoãn không nhận cây với lý do chưa đủ công nhân, chưa có phương tiện vận chuyển cây đi. Đại diện của Công ty Q cho biết do kế hoạch trồng cây cao su của Công ty tại thời điểm đó so với năm trước đã bị cắt giảm diện tích trồng nên không biết nhận cây xong sẽ trồng ở đâu. Do đó, đến ngày 19-7-2011, Công ty Q mới chịu nhận đợt 1 là 79.924 cây và đến ngày 21-9-2011 mới vận chuyển hết số cây nói trên. Công ty T đã nhiều lần yêu cầu Công ty Q nhận số cây còn lại nhưng Công ty Q không đến nhận. Đến đầu tháng 9-2011, Công ty Q hẹn Công ty T vào ngày 14-9-2011 sẽ cử nhân viên kỹ thuật đến kiểm tra số cây còn lại, nếu sử dụng được thì đếm nhận và xin để nhờ tại vườn ươm của Công ty T, đến khi nào có kế hoạch sẽ trồng. Số cây mà Công ty Q đếm vào ngày 14-9-2011 là 194.766 cây, cộng với số cây nhận đợt 1 là 79.924 cây, tổng cộng Công ty Q đã nhận 274.690 cây. Số cây quá thời hạn mà Công ty Q không nhận dẫn đến bị chết là 125.310 cây. Như vậy, đối với số lượng 400.000 cây của hai hợp đồng thì Công ty T đã cung cấp đủ. Lỗi không nhận cây dẫn đến số cây bị chết là do Công ty Q. Nghĩa vụ thực hiện việc giao cây từ hai hợp đồng đã được Công ty T thực hiện xong. Số tiền còn lại từ hai hợp đồng Công ty T đã nhiều lần yêu cầu thanh toán nhưng Công ty Q không chịu trả.</w:t>
      </w:r>
    </w:p>
    <w:p w:rsidR="00EF73A7" w:rsidRPr="000C1846" w:rsidRDefault="00EF73A7" w:rsidP="000C1846">
      <w:pPr>
        <w:spacing w:after="0" w:line="240" w:lineRule="auto"/>
        <w:jc w:val="both"/>
        <w:rPr>
          <w:rFonts w:ascii="Arial" w:hAnsi="Arial" w:cs="Arial"/>
          <w:b/>
          <w:spacing w:val="-4"/>
          <w:sz w:val="24"/>
          <w:szCs w:val="24"/>
        </w:rPr>
      </w:pPr>
      <w:r w:rsidRPr="000C1846">
        <w:rPr>
          <w:rFonts w:ascii="Arial" w:hAnsi="Arial" w:cs="Arial"/>
          <w:sz w:val="24"/>
          <w:szCs w:val="24"/>
        </w:rPr>
        <w:t xml:space="preserve">Công ty Q đã ứng tiền cho Công ty T theo hai </w:t>
      </w:r>
      <w:r w:rsidR="00362F28" w:rsidRPr="000C1846">
        <w:rPr>
          <w:rFonts w:ascii="Arial" w:hAnsi="Arial" w:cs="Arial"/>
          <w:sz w:val="24"/>
          <w:szCs w:val="24"/>
        </w:rPr>
        <w:t>h</w:t>
      </w:r>
      <w:r w:rsidRPr="000C1846">
        <w:rPr>
          <w:rFonts w:ascii="Arial" w:hAnsi="Arial" w:cs="Arial"/>
          <w:sz w:val="24"/>
          <w:szCs w:val="24"/>
        </w:rPr>
        <w:t>ợp đồng là 930.000.000 Kíp Lào, tương ứng với 2.511.000.000 đồng. Số phân bón, vật tư mà Công ty Q cho Công ty T mượn là 91.212.392 Kíp Lào. Tổng cộng số tiền Công ty T phải trả cho Công ty Q là 1.021.212.392 Kíp Lào, tương đương 2.757.273.454 đồng.</w:t>
      </w:r>
    </w:p>
    <w:p w:rsidR="00EF73A7" w:rsidRPr="000C1846" w:rsidRDefault="00EF73A7" w:rsidP="000C1846">
      <w:pPr>
        <w:spacing w:after="0" w:line="240" w:lineRule="auto"/>
        <w:jc w:val="both"/>
        <w:rPr>
          <w:rFonts w:ascii="Arial" w:hAnsi="Arial" w:cs="Arial"/>
          <w:b/>
          <w:spacing w:val="4"/>
          <w:sz w:val="24"/>
          <w:szCs w:val="24"/>
        </w:rPr>
      </w:pPr>
      <w:r w:rsidRPr="000C1846">
        <w:rPr>
          <w:rFonts w:ascii="Arial" w:hAnsi="Arial" w:cs="Arial"/>
          <w:spacing w:val="4"/>
          <w:sz w:val="24"/>
          <w:szCs w:val="24"/>
        </w:rPr>
        <w:t xml:space="preserve">Tổng giá trị của hai hợp đồng mà Công ty T đã thực hiện xong là 2.800.000.000 Kíp Lào. Công ty Q đã nhận vườn gỗ nhân của Công ty T trị giá 20.491.200 Kíp </w:t>
      </w:r>
      <w:r w:rsidRPr="000C1846">
        <w:rPr>
          <w:rFonts w:ascii="Arial" w:hAnsi="Arial" w:cs="Arial"/>
          <w:spacing w:val="4"/>
          <w:sz w:val="24"/>
          <w:szCs w:val="24"/>
        </w:rPr>
        <w:lastRenderedPageBreak/>
        <w:t>Lào và 18.096.000 đồng. Túi bầu PE mà Công ty Q đã nhận của Công ty T đợt 1 là 32.865.000 Kíp Lào, đợt 2 là 7.875.000 Kíp Lào, tiền gia công vào đất bầu là 39.406.291 Kíp Lào. Như vậy, tổng số tiền mà Công ty Q phải có nghĩa vụ trả cho Công ty T là 2.900.637.491 Kíp Lào tương đương 7.831.721.225 đồng. Sau khi đối trừ nghĩa vụ của các bên, Công ty T phản tố yêu cầu Công ty Q phải thanh toán số tiền 1.879.425.009 Kíp Lào (tương đương 5.074.447.767 đồ</w:t>
      </w:r>
      <w:r w:rsidR="00362F28" w:rsidRPr="000C1846">
        <w:rPr>
          <w:rFonts w:ascii="Arial" w:hAnsi="Arial" w:cs="Arial"/>
          <w:spacing w:val="4"/>
          <w:sz w:val="24"/>
          <w:szCs w:val="24"/>
        </w:rPr>
        <w:t xml:space="preserve">ng) và </w:t>
      </w:r>
      <w:r w:rsidRPr="000C1846">
        <w:rPr>
          <w:rFonts w:ascii="Arial" w:hAnsi="Arial" w:cs="Arial"/>
          <w:spacing w:val="4"/>
          <w:sz w:val="24"/>
          <w:szCs w:val="24"/>
        </w:rPr>
        <w:t>18.096.000 đồng. Tổng cộng là 5.092.543.767 đồng.</w:t>
      </w:r>
    </w:p>
    <w:p w:rsidR="00EF73A7" w:rsidRPr="000C1846" w:rsidRDefault="00EF73A7" w:rsidP="000C1846">
      <w:pPr>
        <w:spacing w:after="0" w:line="240" w:lineRule="auto"/>
        <w:jc w:val="both"/>
        <w:rPr>
          <w:rFonts w:ascii="Arial" w:hAnsi="Arial" w:cs="Arial"/>
          <w:b/>
          <w:spacing w:val="-4"/>
          <w:sz w:val="24"/>
          <w:szCs w:val="24"/>
        </w:rPr>
      </w:pPr>
      <w:r w:rsidRPr="000C1846">
        <w:rPr>
          <w:rFonts w:ascii="Arial" w:hAnsi="Arial" w:cs="Arial"/>
          <w:sz w:val="24"/>
          <w:szCs w:val="24"/>
        </w:rPr>
        <w:t>Tại phiên tòa, Công ty T chỉ yêu cầu thanh toán các khoản sau:</w:t>
      </w:r>
    </w:p>
    <w:p w:rsidR="00EF73A7" w:rsidRPr="000C1846" w:rsidRDefault="00EF73A7" w:rsidP="000C1846">
      <w:pPr>
        <w:spacing w:after="0" w:line="240" w:lineRule="auto"/>
        <w:jc w:val="both"/>
        <w:rPr>
          <w:rFonts w:ascii="Arial" w:hAnsi="Arial" w:cs="Arial"/>
          <w:b/>
          <w:spacing w:val="-4"/>
          <w:sz w:val="24"/>
          <w:szCs w:val="24"/>
        </w:rPr>
      </w:pPr>
      <w:r w:rsidRPr="000C1846">
        <w:rPr>
          <w:rFonts w:ascii="Arial" w:hAnsi="Arial" w:cs="Arial"/>
          <w:sz w:val="24"/>
          <w:szCs w:val="24"/>
        </w:rPr>
        <w:t>- Giá trị 400.000 cây giống đã thực hiện theo hợp đồng là 1.870.000.000 Kíp Lào (sau khi đã trừ số tiền Công ty Q ứng là 930.000.000 Kíp Lào), tương đương 4.895.288.000 đồng;</w:t>
      </w:r>
    </w:p>
    <w:p w:rsidR="00EF73A7" w:rsidRPr="000C1846" w:rsidRDefault="00EF73A7" w:rsidP="000C1846">
      <w:pPr>
        <w:spacing w:after="0" w:line="240" w:lineRule="auto"/>
        <w:jc w:val="both"/>
        <w:rPr>
          <w:rFonts w:ascii="Arial" w:hAnsi="Arial" w:cs="Arial"/>
          <w:b/>
          <w:spacing w:val="-4"/>
          <w:sz w:val="24"/>
          <w:szCs w:val="24"/>
        </w:rPr>
      </w:pPr>
      <w:r w:rsidRPr="000C1846">
        <w:rPr>
          <w:rFonts w:ascii="Arial" w:hAnsi="Arial" w:cs="Arial"/>
          <w:sz w:val="24"/>
          <w:szCs w:val="24"/>
        </w:rPr>
        <w:t>- Giá trị vườn gỗ nhân là 20.491.200 Kíp Lào, tương đương 53.642.000 đồng và 18.096.000 đồng;</w:t>
      </w:r>
    </w:p>
    <w:p w:rsidR="00EF73A7" w:rsidRPr="000C1846" w:rsidRDefault="00EF73A7" w:rsidP="000C1846">
      <w:pPr>
        <w:spacing w:after="0" w:line="240" w:lineRule="auto"/>
        <w:jc w:val="both"/>
        <w:rPr>
          <w:rFonts w:ascii="Arial" w:hAnsi="Arial" w:cs="Arial"/>
          <w:b/>
          <w:sz w:val="24"/>
          <w:szCs w:val="24"/>
        </w:rPr>
      </w:pPr>
      <w:r w:rsidRPr="000C1846">
        <w:rPr>
          <w:rFonts w:ascii="Arial" w:hAnsi="Arial" w:cs="Arial"/>
          <w:sz w:val="24"/>
          <w:szCs w:val="24"/>
        </w:rPr>
        <w:t>- Giá trị 163.376 bầu đất là 39.414.000 Kíp Lào, tương đương 103.158.000 đồng. Tổng cộng Công ty T yêu cầu Công ty Q phải thanh toán là 4.967.026.000 đồng;</w:t>
      </w:r>
    </w:p>
    <w:p w:rsidR="00EF73A7" w:rsidRPr="000C1846" w:rsidRDefault="00EF73A7" w:rsidP="000C1846">
      <w:pPr>
        <w:spacing w:after="0" w:line="240" w:lineRule="auto"/>
        <w:jc w:val="both"/>
        <w:rPr>
          <w:rStyle w:val="Bodytext9"/>
          <w:rFonts w:ascii="Arial" w:eastAsia="Calibri" w:hAnsi="Arial" w:cs="Arial"/>
          <w:sz w:val="24"/>
          <w:szCs w:val="24"/>
        </w:rPr>
      </w:pPr>
      <w:r w:rsidRPr="000C1846">
        <w:rPr>
          <w:rFonts w:ascii="Arial" w:hAnsi="Arial" w:cs="Arial"/>
          <w:sz w:val="24"/>
          <w:szCs w:val="24"/>
        </w:rPr>
        <w:t>- Đối với 449</w:t>
      </w:r>
      <w:r w:rsidR="00362F28" w:rsidRPr="000C1846">
        <w:rPr>
          <w:rFonts w:ascii="Arial" w:hAnsi="Arial" w:cs="Arial"/>
          <w:sz w:val="24"/>
          <w:szCs w:val="24"/>
        </w:rPr>
        <w:t>.</w:t>
      </w:r>
      <w:r w:rsidRPr="000C1846">
        <w:rPr>
          <w:rFonts w:ascii="Arial" w:hAnsi="Arial" w:cs="Arial"/>
          <w:sz w:val="24"/>
          <w:szCs w:val="24"/>
        </w:rPr>
        <w:t>455 cây Công ty T mượn của Công ty Q, đã trả 40.600 cây, còn lại 408.855 cây, Công ty T đồng ý trả bằng hiện vật, không chấp nhận trả bằng tiền.</w:t>
      </w:r>
    </w:p>
    <w:p w:rsidR="00EF73A7" w:rsidRPr="000C1846" w:rsidRDefault="00EF73A7" w:rsidP="000C1846">
      <w:pPr>
        <w:spacing w:after="0" w:line="240" w:lineRule="auto"/>
        <w:jc w:val="both"/>
        <w:rPr>
          <w:rFonts w:ascii="Arial" w:hAnsi="Arial" w:cs="Arial"/>
          <w:sz w:val="24"/>
          <w:szCs w:val="24"/>
        </w:rPr>
      </w:pPr>
      <w:r w:rsidRPr="000C1846">
        <w:rPr>
          <w:rFonts w:ascii="Arial" w:hAnsi="Arial" w:cs="Arial"/>
          <w:sz w:val="24"/>
          <w:szCs w:val="24"/>
        </w:rPr>
        <w:t>Tại Bản án kinh doanh, thương mại sơ thẩm số 08/2013/KDTM-ST ngày 04-9-2013, Tòa án nhân dân tỉnh Quảng Trị quyết định:</w:t>
      </w:r>
    </w:p>
    <w:p w:rsidR="00EF73A7" w:rsidRPr="000C1846" w:rsidRDefault="00EF73A7" w:rsidP="000C1846">
      <w:pPr>
        <w:spacing w:after="0" w:line="240" w:lineRule="auto"/>
        <w:jc w:val="both"/>
        <w:rPr>
          <w:rFonts w:ascii="Arial" w:hAnsi="Arial" w:cs="Arial"/>
          <w:b/>
          <w:spacing w:val="-4"/>
          <w:sz w:val="24"/>
          <w:szCs w:val="24"/>
        </w:rPr>
      </w:pPr>
      <w:r w:rsidRPr="000C1846">
        <w:rPr>
          <w:rFonts w:ascii="Arial" w:hAnsi="Arial" w:cs="Arial"/>
          <w:i/>
          <w:sz w:val="24"/>
          <w:szCs w:val="24"/>
        </w:rPr>
        <w:t xml:space="preserve">Áp dụng khoản 1 Điều 34, khoản 1 Điều 35, khoản 1 Điều 37, Điều 54, 55, 56, 300, 301 của Luật Thương mại; khoản 1 Điều 131 của Bộ luật </w:t>
      </w:r>
      <w:r w:rsidR="00362F28" w:rsidRPr="000C1846">
        <w:rPr>
          <w:rFonts w:ascii="Arial" w:hAnsi="Arial" w:cs="Arial"/>
          <w:i/>
          <w:sz w:val="24"/>
          <w:szCs w:val="24"/>
        </w:rPr>
        <w:t>T</w:t>
      </w:r>
      <w:r w:rsidRPr="000C1846">
        <w:rPr>
          <w:rFonts w:ascii="Arial" w:hAnsi="Arial" w:cs="Arial"/>
          <w:i/>
          <w:sz w:val="24"/>
          <w:szCs w:val="24"/>
        </w:rPr>
        <w:t xml:space="preserve">ố tụng dân sự; khoản 4, khoản 5 Điều 27 Pháp lệnh </w:t>
      </w:r>
      <w:r w:rsidR="00362F28" w:rsidRPr="000C1846">
        <w:rPr>
          <w:rFonts w:ascii="Arial" w:hAnsi="Arial" w:cs="Arial"/>
          <w:i/>
          <w:sz w:val="24"/>
          <w:szCs w:val="24"/>
        </w:rPr>
        <w:t>Á</w:t>
      </w:r>
      <w:r w:rsidRPr="000C1846">
        <w:rPr>
          <w:rFonts w:ascii="Arial" w:hAnsi="Arial" w:cs="Arial"/>
          <w:i/>
          <w:sz w:val="24"/>
          <w:szCs w:val="24"/>
        </w:rPr>
        <w:t>n phí, lệ phí Tòa án</w:t>
      </w:r>
      <w:r w:rsidR="000B03AA" w:rsidRPr="000C1846">
        <w:rPr>
          <w:rFonts w:ascii="Arial" w:hAnsi="Arial" w:cs="Arial"/>
          <w:i/>
          <w:sz w:val="24"/>
          <w:szCs w:val="24"/>
        </w:rPr>
        <w:t>,</w:t>
      </w:r>
      <w:r w:rsidRPr="000C1846">
        <w:rPr>
          <w:rFonts w:ascii="Arial" w:hAnsi="Arial" w:cs="Arial"/>
          <w:i/>
          <w:sz w:val="24"/>
          <w:szCs w:val="24"/>
        </w:rPr>
        <w:t xml:space="preserve"> xử:</w:t>
      </w:r>
    </w:p>
    <w:p w:rsidR="00EF73A7" w:rsidRPr="000C1846" w:rsidRDefault="00EF73A7" w:rsidP="000C1846">
      <w:pPr>
        <w:spacing w:after="0" w:line="240" w:lineRule="auto"/>
        <w:jc w:val="both"/>
        <w:rPr>
          <w:rFonts w:ascii="Arial" w:hAnsi="Arial" w:cs="Arial"/>
          <w:b/>
          <w:spacing w:val="-4"/>
          <w:sz w:val="24"/>
          <w:szCs w:val="24"/>
        </w:rPr>
      </w:pPr>
      <w:r w:rsidRPr="000C1846">
        <w:rPr>
          <w:rFonts w:ascii="Arial" w:hAnsi="Arial" w:cs="Arial"/>
          <w:b/>
          <w:spacing w:val="-4"/>
          <w:sz w:val="24"/>
          <w:szCs w:val="24"/>
        </w:rPr>
        <w:t xml:space="preserve">- </w:t>
      </w:r>
      <w:r w:rsidRPr="000C1846">
        <w:rPr>
          <w:rFonts w:ascii="Arial" w:hAnsi="Arial" w:cs="Arial"/>
          <w:i/>
          <w:sz w:val="24"/>
          <w:szCs w:val="24"/>
        </w:rPr>
        <w:t>Chấp nhận yêu cầu khởi kiện của nguyên đơn: Buộc bị đơn Công ty</w:t>
      </w:r>
      <w:r w:rsidR="00362F28" w:rsidRPr="000C1846">
        <w:rPr>
          <w:rFonts w:ascii="Arial" w:hAnsi="Arial" w:cs="Arial"/>
          <w:i/>
          <w:sz w:val="24"/>
          <w:szCs w:val="24"/>
        </w:rPr>
        <w:t xml:space="preserve"> trách nhiệm hữu hạn</w:t>
      </w:r>
      <w:r w:rsidRPr="000C1846">
        <w:rPr>
          <w:rFonts w:ascii="Arial" w:hAnsi="Arial" w:cs="Arial"/>
          <w:i/>
          <w:sz w:val="24"/>
          <w:szCs w:val="24"/>
        </w:rPr>
        <w:t xml:space="preserve"> T phải thanh toán cho nguyên đơn Công ty cổ phần Q số tiền 1.720.888.500 đồng.</w:t>
      </w:r>
    </w:p>
    <w:p w:rsidR="00EF73A7" w:rsidRPr="000C1846" w:rsidRDefault="00EF73A7" w:rsidP="000C1846">
      <w:pPr>
        <w:spacing w:after="0" w:line="240" w:lineRule="auto"/>
        <w:jc w:val="both"/>
        <w:rPr>
          <w:rFonts w:ascii="Arial" w:hAnsi="Arial" w:cs="Arial"/>
          <w:b/>
          <w:spacing w:val="4"/>
          <w:sz w:val="24"/>
          <w:szCs w:val="24"/>
        </w:rPr>
      </w:pPr>
      <w:r w:rsidRPr="000C1846">
        <w:rPr>
          <w:rFonts w:ascii="Arial" w:hAnsi="Arial" w:cs="Arial"/>
          <w:b/>
          <w:spacing w:val="4"/>
          <w:sz w:val="24"/>
          <w:szCs w:val="24"/>
        </w:rPr>
        <w:t xml:space="preserve">- </w:t>
      </w:r>
      <w:r w:rsidRPr="000C1846">
        <w:rPr>
          <w:rFonts w:ascii="Arial" w:hAnsi="Arial" w:cs="Arial"/>
          <w:i/>
          <w:spacing w:val="4"/>
          <w:sz w:val="24"/>
          <w:szCs w:val="24"/>
        </w:rPr>
        <w:t xml:space="preserve">Không chấp nhận yêu cầu phản tố </w:t>
      </w:r>
      <w:r w:rsidRPr="000C1846">
        <w:rPr>
          <w:rStyle w:val="Bodytext5Tahoma"/>
          <w:rFonts w:ascii="Arial" w:hAnsi="Arial" w:cs="Arial"/>
          <w:spacing w:val="4"/>
          <w:sz w:val="24"/>
          <w:szCs w:val="24"/>
        </w:rPr>
        <w:t>của</w:t>
      </w:r>
      <w:r w:rsidRPr="000C1846">
        <w:rPr>
          <w:rStyle w:val="Bodytext5Tahoma"/>
          <w:rFonts w:ascii="Arial" w:hAnsi="Arial" w:cs="Arial"/>
          <w:b/>
          <w:spacing w:val="4"/>
          <w:sz w:val="24"/>
          <w:szCs w:val="24"/>
        </w:rPr>
        <w:t xml:space="preserve"> </w:t>
      </w:r>
      <w:r w:rsidRPr="000C1846">
        <w:rPr>
          <w:rFonts w:ascii="Arial" w:hAnsi="Arial" w:cs="Arial"/>
          <w:i/>
          <w:spacing w:val="4"/>
          <w:sz w:val="24"/>
          <w:szCs w:val="24"/>
        </w:rPr>
        <w:t>bị đơn đối với số tiền 3.602.837.000 đồng.</w:t>
      </w:r>
    </w:p>
    <w:p w:rsidR="00EF73A7" w:rsidRPr="000C1846" w:rsidRDefault="00EF73A7" w:rsidP="000C1846">
      <w:pPr>
        <w:spacing w:after="0" w:line="240" w:lineRule="auto"/>
        <w:jc w:val="both"/>
        <w:rPr>
          <w:rFonts w:ascii="Arial" w:hAnsi="Arial" w:cs="Arial"/>
          <w:sz w:val="24"/>
          <w:szCs w:val="24"/>
        </w:rPr>
      </w:pPr>
      <w:r w:rsidRPr="000C1846">
        <w:rPr>
          <w:rFonts w:ascii="Arial" w:hAnsi="Arial" w:cs="Arial"/>
          <w:sz w:val="24"/>
          <w:szCs w:val="24"/>
        </w:rPr>
        <w:t>Tòa án cấp sơ thẩm còn quyết định về án phí và quyền kháng cáo của các đương sự.</w:t>
      </w:r>
    </w:p>
    <w:p w:rsidR="00EF73A7" w:rsidRPr="000C1846" w:rsidRDefault="00EF73A7" w:rsidP="000C1846">
      <w:pPr>
        <w:spacing w:after="0" w:line="240" w:lineRule="auto"/>
        <w:jc w:val="both"/>
        <w:rPr>
          <w:rFonts w:ascii="Arial" w:hAnsi="Arial" w:cs="Arial"/>
          <w:sz w:val="24"/>
          <w:szCs w:val="24"/>
        </w:rPr>
      </w:pPr>
      <w:r w:rsidRPr="000C1846">
        <w:rPr>
          <w:rFonts w:ascii="Arial" w:hAnsi="Arial" w:cs="Arial"/>
          <w:sz w:val="24"/>
          <w:szCs w:val="24"/>
        </w:rPr>
        <w:t xml:space="preserve">Ngày 04-9-2013, Công ty T có đơn kháng cáo toàn bộ </w:t>
      </w:r>
      <w:r w:rsidR="00362F28" w:rsidRPr="000C1846">
        <w:rPr>
          <w:rFonts w:ascii="Arial" w:hAnsi="Arial" w:cs="Arial"/>
          <w:sz w:val="24"/>
          <w:szCs w:val="24"/>
        </w:rPr>
        <w:t>b</w:t>
      </w:r>
      <w:r w:rsidRPr="000C1846">
        <w:rPr>
          <w:rFonts w:ascii="Arial" w:hAnsi="Arial" w:cs="Arial"/>
          <w:sz w:val="24"/>
          <w:szCs w:val="24"/>
        </w:rPr>
        <w:t>ản án sơ thẩm.</w:t>
      </w:r>
    </w:p>
    <w:p w:rsidR="00EF73A7" w:rsidRPr="000C1846" w:rsidRDefault="00EF73A7" w:rsidP="000C1846">
      <w:pPr>
        <w:spacing w:after="0" w:line="240" w:lineRule="auto"/>
        <w:jc w:val="both"/>
        <w:rPr>
          <w:rFonts w:ascii="Arial" w:hAnsi="Arial" w:cs="Arial"/>
          <w:i/>
          <w:sz w:val="24"/>
          <w:szCs w:val="24"/>
        </w:rPr>
      </w:pPr>
      <w:r w:rsidRPr="000C1846">
        <w:rPr>
          <w:rFonts w:ascii="Arial" w:hAnsi="Arial" w:cs="Arial"/>
          <w:sz w:val="24"/>
          <w:szCs w:val="24"/>
        </w:rPr>
        <w:t>Ngày 01-10-2013, Viện trưởng Viện kiểm sát nhân dân tỉnh Quảng Trị có Quyết định kháng nghị số 2110/QĐKNPT-P12 kháng nghị Bản án kinh doanh, thương mại sơ thẩm số 08/2013/KDTM-ST ngày 04-9-2013 của Tòa án nhân dân tỉnh Quảng Trị.</w:t>
      </w:r>
    </w:p>
    <w:p w:rsidR="00EF73A7" w:rsidRPr="000C1846" w:rsidRDefault="00EF73A7" w:rsidP="000C1846">
      <w:pPr>
        <w:spacing w:after="0" w:line="240" w:lineRule="auto"/>
        <w:jc w:val="both"/>
        <w:rPr>
          <w:rStyle w:val="Bodytext9"/>
          <w:rFonts w:ascii="Arial" w:eastAsia="Calibri" w:hAnsi="Arial" w:cs="Arial"/>
          <w:spacing w:val="-2"/>
          <w:sz w:val="24"/>
          <w:szCs w:val="24"/>
        </w:rPr>
      </w:pPr>
      <w:r w:rsidRPr="000C1846">
        <w:rPr>
          <w:rStyle w:val="Bodytext9"/>
          <w:rFonts w:ascii="Arial" w:eastAsia="Calibri" w:hAnsi="Arial" w:cs="Arial"/>
          <w:spacing w:val="-2"/>
          <w:sz w:val="24"/>
          <w:szCs w:val="24"/>
        </w:rPr>
        <w:t>Tại Bản án kinh doanh, thương mại phúc thẩm số 19/2014/KDTM-PT ngày 26-02-2014, Tòa Phúc thẩm Tòa án nhân dân tối cao tại Đà Nẵng quyết định:</w:t>
      </w:r>
    </w:p>
    <w:p w:rsidR="00EF73A7" w:rsidRPr="000C1846" w:rsidRDefault="00EF73A7" w:rsidP="000C1846">
      <w:pPr>
        <w:spacing w:after="0" w:line="240" w:lineRule="auto"/>
        <w:jc w:val="both"/>
        <w:rPr>
          <w:rFonts w:ascii="Arial" w:hAnsi="Arial" w:cs="Arial"/>
          <w:sz w:val="24"/>
          <w:szCs w:val="24"/>
        </w:rPr>
      </w:pPr>
      <w:r w:rsidRPr="000C1846">
        <w:rPr>
          <w:rFonts w:ascii="Arial" w:hAnsi="Arial" w:cs="Arial"/>
          <w:i/>
          <w:sz w:val="24"/>
          <w:szCs w:val="24"/>
        </w:rPr>
        <w:t>- Đình chỉ xét xử phúc thẩm đối với kháng cáo của bị đơn Công ty</w:t>
      </w:r>
      <w:r w:rsidR="00362F28" w:rsidRPr="000C1846">
        <w:rPr>
          <w:rFonts w:ascii="Arial" w:hAnsi="Arial" w:cs="Arial"/>
          <w:i/>
          <w:sz w:val="24"/>
          <w:szCs w:val="24"/>
        </w:rPr>
        <w:t xml:space="preserve"> trách nhiệm hữu hạn</w:t>
      </w:r>
      <w:r w:rsidRPr="000C1846">
        <w:rPr>
          <w:rFonts w:ascii="Arial" w:hAnsi="Arial" w:cs="Arial"/>
          <w:i/>
          <w:sz w:val="24"/>
          <w:szCs w:val="24"/>
        </w:rPr>
        <w:t xml:space="preserve"> T.</w:t>
      </w:r>
    </w:p>
    <w:p w:rsidR="00EF73A7" w:rsidRPr="000C1846" w:rsidRDefault="00EF73A7" w:rsidP="000C1846">
      <w:pPr>
        <w:spacing w:after="0" w:line="240" w:lineRule="auto"/>
        <w:jc w:val="both"/>
        <w:rPr>
          <w:rFonts w:ascii="Arial" w:hAnsi="Arial" w:cs="Arial"/>
          <w:i/>
          <w:spacing w:val="-6"/>
          <w:sz w:val="24"/>
          <w:szCs w:val="24"/>
        </w:rPr>
      </w:pPr>
      <w:r w:rsidRPr="000C1846">
        <w:rPr>
          <w:rFonts w:ascii="Arial" w:hAnsi="Arial" w:cs="Arial"/>
          <w:i/>
          <w:spacing w:val="-6"/>
          <w:sz w:val="24"/>
          <w:szCs w:val="24"/>
        </w:rPr>
        <w:t>- Không chấp nhận Kháng nghị số 2110/QĐKNPT-P12 ngày 01-10-2013 của Viện trưởng Viện kiểm sát nhân dân tỉnh Quảng Trị. Giữ nguyên bản án sơ thẩm.</w:t>
      </w:r>
    </w:p>
    <w:p w:rsidR="00EF73A7" w:rsidRPr="000C1846" w:rsidRDefault="00EF73A7" w:rsidP="000C1846">
      <w:pPr>
        <w:spacing w:after="0" w:line="240" w:lineRule="auto"/>
        <w:jc w:val="both"/>
        <w:rPr>
          <w:rFonts w:ascii="Arial" w:hAnsi="Arial" w:cs="Arial"/>
          <w:b/>
          <w:spacing w:val="-4"/>
          <w:sz w:val="24"/>
          <w:szCs w:val="24"/>
        </w:rPr>
      </w:pPr>
      <w:r w:rsidRPr="000C1846">
        <w:rPr>
          <w:rStyle w:val="Bodytext9"/>
          <w:rFonts w:ascii="Arial" w:eastAsia="Calibri" w:hAnsi="Arial" w:cs="Arial"/>
          <w:sz w:val="24"/>
          <w:szCs w:val="24"/>
        </w:rPr>
        <w:t xml:space="preserve">Sau khi xét xử phúc thẩm, Công ty T có đơn đề nghị giám đốc thẩm đối với </w:t>
      </w:r>
      <w:r w:rsidR="00362F28" w:rsidRPr="000C1846">
        <w:rPr>
          <w:rStyle w:val="Bodytext9"/>
          <w:rFonts w:ascii="Arial" w:eastAsia="Calibri" w:hAnsi="Arial" w:cs="Arial"/>
          <w:sz w:val="24"/>
          <w:szCs w:val="24"/>
          <w:lang w:val="en-US"/>
        </w:rPr>
        <w:t>b</w:t>
      </w:r>
      <w:r w:rsidRPr="000C1846">
        <w:rPr>
          <w:rStyle w:val="Bodytext9"/>
          <w:rFonts w:ascii="Arial" w:eastAsia="Calibri" w:hAnsi="Arial" w:cs="Arial"/>
          <w:sz w:val="24"/>
          <w:szCs w:val="24"/>
        </w:rPr>
        <w:t>ản án kinh doanh thương mại phúc thẩm nêu trên.</w:t>
      </w:r>
    </w:p>
    <w:p w:rsidR="00EF73A7" w:rsidRPr="000C1846" w:rsidRDefault="00EF73A7" w:rsidP="000C1846">
      <w:pPr>
        <w:spacing w:after="0" w:line="240" w:lineRule="auto"/>
        <w:jc w:val="both"/>
        <w:rPr>
          <w:rFonts w:ascii="Arial" w:hAnsi="Arial" w:cs="Arial"/>
          <w:sz w:val="24"/>
          <w:szCs w:val="24"/>
        </w:rPr>
      </w:pPr>
      <w:r w:rsidRPr="000C1846">
        <w:rPr>
          <w:rFonts w:ascii="Arial" w:hAnsi="Arial" w:cs="Arial"/>
          <w:sz w:val="24"/>
          <w:szCs w:val="24"/>
        </w:rPr>
        <w:t>Tại Kháng nghị giám đốc thẩm số 01/2017/KN-KDTM ngày 24-02-2017, Chánh án Tòa án nhân dân tối cao kháng nghị</w:t>
      </w:r>
      <w:r w:rsidRPr="000C1846">
        <w:rPr>
          <w:rStyle w:val="Bodytext9"/>
          <w:rFonts w:ascii="Arial" w:eastAsia="Calibri" w:hAnsi="Arial" w:cs="Arial"/>
          <w:sz w:val="24"/>
          <w:szCs w:val="24"/>
        </w:rPr>
        <w:t xml:space="preserve"> Bản án kinh doanh, thương mại phúc thẩm số 19/2014/KDTM-PT ngày 26-02-2014 của Tòa Phúc thẩm Tòa án nhân dân tối cao tại Đà Nẵng,</w:t>
      </w:r>
      <w:r w:rsidRPr="000C1846">
        <w:rPr>
          <w:rFonts w:ascii="Arial" w:hAnsi="Arial" w:cs="Arial"/>
          <w:sz w:val="24"/>
          <w:szCs w:val="24"/>
        </w:rPr>
        <w:t xml:space="preserve"> đề nghị Hội đồng Thẩm phán Tòa án nhân dân tối cao hủy </w:t>
      </w:r>
      <w:r w:rsidR="00362F28" w:rsidRPr="000C1846">
        <w:rPr>
          <w:rFonts w:ascii="Arial" w:hAnsi="Arial" w:cs="Arial"/>
          <w:sz w:val="24"/>
          <w:szCs w:val="24"/>
        </w:rPr>
        <w:t>b</w:t>
      </w:r>
      <w:r w:rsidRPr="000C1846">
        <w:rPr>
          <w:rFonts w:ascii="Arial" w:hAnsi="Arial" w:cs="Arial"/>
          <w:sz w:val="24"/>
          <w:szCs w:val="24"/>
        </w:rPr>
        <w:t>ản án kinh doanh, thương mại phúc thẩm nêu trên và Bản án kinh doanh, thương mại sơ thẩm số 08/2013/KDTM-ST ngày 04-9-2013 của Tòa án nhân dân tỉnh Quảng Trị; giao hồ sơ vụ án cho Tòa án nhân dân tỉnh Quảng Trị xét xử lại theo thủ tục sơ thẩm đúng quy định của pháp luật.</w:t>
      </w:r>
    </w:p>
    <w:p w:rsidR="00EF73A7" w:rsidRPr="000C1846" w:rsidRDefault="00EF73A7" w:rsidP="000C1846">
      <w:pPr>
        <w:spacing w:after="0" w:line="240" w:lineRule="auto"/>
        <w:jc w:val="both"/>
        <w:rPr>
          <w:rFonts w:ascii="Arial" w:hAnsi="Arial" w:cs="Arial"/>
          <w:sz w:val="24"/>
          <w:szCs w:val="24"/>
        </w:rPr>
      </w:pPr>
      <w:r w:rsidRPr="000C1846">
        <w:rPr>
          <w:rFonts w:ascii="Arial" w:hAnsi="Arial" w:cs="Arial"/>
          <w:sz w:val="24"/>
          <w:szCs w:val="24"/>
        </w:rPr>
        <w:lastRenderedPageBreak/>
        <w:t>Tại phiên tòa giám đốc thẩm, đại diện Viện kiểm sát nhân dân tối cao đề nghị Hội đồng Thẩm phán Tòa án nhân dân tối cao chấp nhận kháng nghị của Chánh án Tòa án nhân dân tối cao.</w:t>
      </w:r>
    </w:p>
    <w:p w:rsidR="00EF73A7" w:rsidRPr="000C1846" w:rsidRDefault="00EF73A7" w:rsidP="000C1846">
      <w:pPr>
        <w:spacing w:after="0" w:line="240" w:lineRule="auto"/>
        <w:jc w:val="center"/>
        <w:rPr>
          <w:rFonts w:ascii="Arial" w:hAnsi="Arial" w:cs="Arial"/>
          <w:b/>
          <w:bCs/>
          <w:sz w:val="24"/>
          <w:szCs w:val="24"/>
        </w:rPr>
      </w:pPr>
      <w:r w:rsidRPr="000C1846">
        <w:rPr>
          <w:rFonts w:ascii="Arial" w:hAnsi="Arial" w:cs="Arial"/>
          <w:b/>
          <w:spacing w:val="-6"/>
          <w:sz w:val="24"/>
          <w:szCs w:val="24"/>
        </w:rPr>
        <w:t>NHẬN ĐỊNH CỦA TÒA ÁN:</w:t>
      </w:r>
    </w:p>
    <w:p w:rsidR="00EF73A7" w:rsidRPr="000C1846" w:rsidRDefault="00EF73A7" w:rsidP="000C1846">
      <w:pPr>
        <w:pStyle w:val="NormalWeb"/>
        <w:shd w:val="clear" w:color="auto" w:fill="FFFFFF"/>
        <w:spacing w:before="0" w:beforeAutospacing="0" w:after="0" w:afterAutospacing="0"/>
        <w:jc w:val="both"/>
        <w:rPr>
          <w:rFonts w:ascii="Arial" w:hAnsi="Arial" w:cs="Arial"/>
        </w:rPr>
      </w:pPr>
      <w:r w:rsidRPr="000C1846">
        <w:rPr>
          <w:rFonts w:ascii="Arial" w:hAnsi="Arial" w:cs="Arial"/>
        </w:rPr>
        <w:t>[</w:t>
      </w:r>
      <w:r w:rsidRPr="000C1846">
        <w:rPr>
          <w:rFonts w:ascii="Arial" w:hAnsi="Arial" w:cs="Arial"/>
          <w:spacing w:val="-2"/>
        </w:rPr>
        <w:t xml:space="preserve">1] Về tố tụng: Theo Biên bản phiên tòa phúc thẩm ngày 26-11-2013 thì tại phiên tòa các đương sự có mặt đầy đủ theo giấy triệu tập của Tòa án. Tuy nhiên, Hội đồng xét xử đã quyết định hoãn phiên tòa để các đương sự cung cấp thêm chứng cứ. Tại phiên tòa phúc thẩm được mở lại vào ngày 26-02-2014, bị đơn và luật sư </w:t>
      </w:r>
      <w:r w:rsidRPr="000C1846">
        <w:rPr>
          <w:rFonts w:ascii="Arial" w:hAnsi="Arial" w:cs="Arial"/>
        </w:rPr>
        <w:t xml:space="preserve">bảo vệ quyền và lợi ích hợp pháp của bị đơn vắng mặt. Trường hợp Hội đồng xét xử đã quyết định hoãn phiên tòa và việc hoãn phiên tòa là do Tòa án, tại phiên tòa được mở lại đương sự hoặc người đại diện, người bảo vệ quyền và lợi ích hợp pháp của đương sự vắng mặt thì được coi là vắng mặt lần thứ nhất. Lẽ ra, Tòa án cấp phúc thẩm phải xác định là bị đơn và luật sư bảo vệ quyền và lợi ích hợp pháp của bị đơn được Tòa án triệu tập hợp lệ lần thứ nhất vắng mặt tại phiên tòa theo quy định tại khoản 1 Điều 199, khoản 2 Điều 266 Bộ luật </w:t>
      </w:r>
      <w:r w:rsidR="00362F28" w:rsidRPr="000C1846">
        <w:rPr>
          <w:rFonts w:ascii="Arial" w:hAnsi="Arial" w:cs="Arial"/>
        </w:rPr>
        <w:t>T</w:t>
      </w:r>
      <w:r w:rsidRPr="000C1846">
        <w:rPr>
          <w:rFonts w:ascii="Arial" w:hAnsi="Arial" w:cs="Arial"/>
        </w:rPr>
        <w:t xml:space="preserve">ố tụng dân sự để hoãn phiên tòa. Tòa án cấp phúc thẩm nhận định tại phiên tòa phúc thẩm bị đơn và luật sư bảo vệ quyền và lợi ích hợp pháp của bị đơn đã được Tòa án triệu tập hợp lệ lần thứ hai vắng mặt tại phiên tòa, từ đó đình chỉ xét xử phúc thẩm đối với yêu cầu kháng cáo của bị đơn là không đúng quy định tại Điều 199, 202, 266 Bộ luật </w:t>
      </w:r>
      <w:r w:rsidR="00362F28" w:rsidRPr="000C1846">
        <w:rPr>
          <w:rFonts w:ascii="Arial" w:hAnsi="Arial" w:cs="Arial"/>
        </w:rPr>
        <w:t>T</w:t>
      </w:r>
      <w:r w:rsidRPr="000C1846">
        <w:rPr>
          <w:rFonts w:ascii="Arial" w:hAnsi="Arial" w:cs="Arial"/>
        </w:rPr>
        <w:t>ố tụng dân sự, làm mất quyền kháng cáo, ảnh hưởng đến quyền và lợi ích hợp pháp của bị đơn.</w:t>
      </w:r>
    </w:p>
    <w:p w:rsidR="00EF73A7" w:rsidRPr="000C1846" w:rsidRDefault="00EF73A7" w:rsidP="000C1846">
      <w:pPr>
        <w:pStyle w:val="NormalWeb"/>
        <w:shd w:val="clear" w:color="auto" w:fill="FFFFFF"/>
        <w:spacing w:before="0" w:beforeAutospacing="0" w:after="0" w:afterAutospacing="0"/>
        <w:jc w:val="both"/>
        <w:rPr>
          <w:rFonts w:ascii="Arial" w:hAnsi="Arial" w:cs="Arial"/>
        </w:rPr>
      </w:pPr>
      <w:r w:rsidRPr="000C1846">
        <w:rPr>
          <w:rFonts w:ascii="Arial" w:hAnsi="Arial" w:cs="Arial"/>
          <w:spacing w:val="-2"/>
        </w:rPr>
        <w:t xml:space="preserve">[2] Về xác định lỗi của các bên: Theo Điều 3 Hợp đồng mua bán cây giống cao su ngày 03-01-2011, các bên thỏa thuận chậm nhất đến ngày 31-7-2011, Bên B (Công ty T) phải giao đủ số lượng 200.000 cây đạt tiêu chuẩn chất lượng cho Bên A (Công ty Q). Tại Biên bản làm việc ngày 15-7-2011 giữa ông Hồ Duy L là nhân viên Phòng Kỹ thuật nông nghiệp Công ty Q và </w:t>
      </w:r>
      <w:r w:rsidR="00362F28" w:rsidRPr="000C1846">
        <w:rPr>
          <w:rFonts w:ascii="Arial" w:hAnsi="Arial" w:cs="Arial"/>
          <w:spacing w:val="-2"/>
        </w:rPr>
        <w:t xml:space="preserve">bà </w:t>
      </w:r>
      <w:r w:rsidRPr="000C1846">
        <w:rPr>
          <w:rFonts w:ascii="Arial" w:hAnsi="Arial" w:cs="Arial"/>
          <w:spacing w:val="-2"/>
        </w:rPr>
        <w:t xml:space="preserve">Võ Thị T đại diện Công ty T về </w:t>
      </w:r>
      <w:r w:rsidRPr="000C1846">
        <w:rPr>
          <w:rFonts w:ascii="Arial" w:hAnsi="Arial" w:cs="Arial"/>
        </w:rPr>
        <w:t xml:space="preserve">việc tiến hành kiểm tra và đánh giá chất lượng cây giống tại bãi tập kết đến hết ngày 15-7-2011 ghi nhận kết quả: </w:t>
      </w:r>
      <w:r w:rsidRPr="000C1846">
        <w:rPr>
          <w:rFonts w:ascii="Arial" w:hAnsi="Arial" w:cs="Arial"/>
          <w:i/>
        </w:rPr>
        <w:t>“Stump bầu tầng lá chuyển ra bãi 15.550 bầu; Stump bầu tầng lá chuyển ra bãi đạt từ 2-3 tầng lá trở lên; tầng lá ổn định, chất lượng Stump bầu tầng lá tốt”.</w:t>
      </w:r>
      <w:r w:rsidRPr="000C1846">
        <w:rPr>
          <w:rFonts w:ascii="Arial" w:hAnsi="Arial" w:cs="Arial"/>
        </w:rPr>
        <w:t xml:space="preserve"> Từ ngày 15-7-2011 đến ngày 31-7-2011 (ngày cuối cùng thực hiện việc giao nhận cây theo hợp đồng) hai bên không giao nhận cây và cũng không có văn bản thỏa thuận gia hạn hay kéo dài thời hạn giao nhận cây. Công ty Q cho rằng ngày 15-7-2011 Công ty T mới có 15.550 cây đạt chất lượng thì đến ngày 31-7-2011 không thể có đủ 400.000 cây để giao nên đã vi phạm hợp đồng, còn Công ty T cho rằng cho đến hết ngày 31-7-2011 thì Công ty Q mới chỉ nhận 3.268 cây (dù Công ty T đã có 15.550 cây để giao), nên Công ty Q đã vi phạm hợp đồng.</w:t>
      </w:r>
    </w:p>
    <w:p w:rsidR="00EF73A7" w:rsidRPr="000C1846" w:rsidRDefault="00EF73A7" w:rsidP="000C1846">
      <w:pPr>
        <w:spacing w:after="0" w:line="240" w:lineRule="auto"/>
        <w:jc w:val="both"/>
        <w:rPr>
          <w:rFonts w:ascii="Arial" w:hAnsi="Arial" w:cs="Arial"/>
          <w:spacing w:val="-2"/>
          <w:sz w:val="24"/>
          <w:szCs w:val="24"/>
        </w:rPr>
      </w:pPr>
      <w:r w:rsidRPr="000C1846">
        <w:rPr>
          <w:rFonts w:ascii="Arial" w:hAnsi="Arial" w:cs="Arial"/>
          <w:spacing w:val="-2"/>
          <w:sz w:val="24"/>
          <w:szCs w:val="24"/>
        </w:rPr>
        <w:t>[3] Tại Biên bản phiên tòa phúc thẩm ngày 26-11-2013, Công ty Q giải thích lý do: đến ngày 31-7-2011 (ngày cuối cùng thực hiện việc giao nhận cây theo hợp đồng), Công ty Q không lập biên bản về việc giao nhận cây và đến tháng 9-2011 lại tiếp tục thực hiện hợp đồng nhận cây vì Công ty Q đã kiểm tra nhưng Công ty T chỉ giao được hơn 79.000 cây. Số cây còn lại không đủ tiêu chuẩn theo hợp đồng để gi</w:t>
      </w:r>
      <w:r w:rsidRPr="000C1846">
        <w:rPr>
          <w:rFonts w:ascii="Arial" w:hAnsi="Arial" w:cs="Arial"/>
          <w:sz w:val="24"/>
          <w:szCs w:val="24"/>
        </w:rPr>
        <w:t>ao nên Công ty Q đã đồng ý cho kéo dài thời gian giao nhận cây để trừ nợ và cho phép Công ty T tiếp tục chăm sóc cây để đủ điều kiện giao cây. Đồng thời, ông H (Trưởng Phòng Kỹ thuật nông nghiệp Công ty Q - là người làm chứng) đã giải thích lý do đến ngày 31-7-2011 Công ty Q chỉ nhận 3.000 cây là do Công ty Q chỉ có 03 xe ô tô (02 xe Kazma và 01 xe Isuzu), thời điểm này ở Lào mưa, đường xá lầy lội, bà T có điện thoại lên Công ty Q bảo lấy cây nhưng do khó khăn nên Công ty Q không lấy kịp.</w:t>
      </w:r>
    </w:p>
    <w:p w:rsidR="00EF73A7" w:rsidRPr="000C1846" w:rsidRDefault="00EF73A7" w:rsidP="000C1846">
      <w:pPr>
        <w:spacing w:after="0" w:line="240" w:lineRule="auto"/>
        <w:jc w:val="both"/>
        <w:rPr>
          <w:rFonts w:ascii="Arial" w:hAnsi="Arial" w:cs="Arial"/>
          <w:spacing w:val="-2"/>
          <w:sz w:val="24"/>
          <w:szCs w:val="24"/>
        </w:rPr>
      </w:pPr>
      <w:r w:rsidRPr="000C1846">
        <w:rPr>
          <w:rFonts w:ascii="Arial" w:hAnsi="Arial" w:cs="Arial"/>
          <w:spacing w:val="-2"/>
          <w:sz w:val="24"/>
          <w:szCs w:val="24"/>
        </w:rPr>
        <w:t xml:space="preserve">[4] </w:t>
      </w:r>
      <w:r w:rsidRPr="000C1846">
        <w:rPr>
          <w:rFonts w:ascii="Arial" w:hAnsi="Arial" w:cs="Arial"/>
          <w:spacing w:val="4"/>
          <w:sz w:val="24"/>
          <w:szCs w:val="24"/>
        </w:rPr>
        <w:t xml:space="preserve">Với diễn biến sự việc như trên, có thể xác định hai bên đã ký hợp đồng quy định thời gian giao nhận cây từ ngày 30-6-2011 đến ngày 31-7-2011 với số lượng 200.000 cây (tổng phải giao theo 02 hợp đồng là 400.000 cây). Mặc dù đến ngày 15-7-2011, Công ty T đã có 15.500 cây để giao, nhưng Công ty Q chỉ nhận 3.200 cây do trời mưa, đường xá lầy lội và chỉ có 03 xe vận chuyển. Tuy không thể hiện </w:t>
      </w:r>
      <w:r w:rsidRPr="000C1846">
        <w:rPr>
          <w:rFonts w:ascii="Arial" w:hAnsi="Arial" w:cs="Arial"/>
          <w:spacing w:val="4"/>
          <w:sz w:val="24"/>
          <w:szCs w:val="24"/>
        </w:rPr>
        <w:lastRenderedPageBreak/>
        <w:t>bằng văn bản, nhưng cho đến ngày 05-10-2011 thì Công ty Q đã chấp nhận kéo dài thời gian giao nhận cây và tiếp tục cam kết sẽ nhận hết cây trong vòng 12 ngày. Tính đến ngày 21-9-2011, Công ty Q đã nhận 79.924 cây và đến ngày 24-10-2011 hai bên vẫn tiến hành giao nhận cây (theo Biên bản giao nhận cây giống ngày 24-10-2011, trong đó xác định từ ngày 06-10-2011 đến ngày 24-10-2011 đã tiến hành giao nhận 83.867 cây giống PB260 chủng loại bầu 2 tầng lá, chất lượng cây giống tốt). Do đó, có căn cứ xác định cả hai bên Công ty T và Công ty Q đều có lỗi trong việc giao cây và nhận cây. Tòa án cấp sơ thẩm và Tòa án cấp phúc thẩm xác định lỗi hoàn toàn của Công ty T và áp dụng mức phạt cao nhất theo Điều 301 Luật Thương mại (8%) đối với Công ty T là không phù hợp; cần phải xác định lại mức độ lỗi của các bên để quyết định mức phạt cho đúng.</w:t>
      </w:r>
    </w:p>
    <w:p w:rsidR="00EF73A7" w:rsidRPr="000C1846" w:rsidRDefault="00EF73A7" w:rsidP="000C1846">
      <w:pPr>
        <w:pStyle w:val="NormalWeb"/>
        <w:shd w:val="clear" w:color="auto" w:fill="FFFFFF"/>
        <w:spacing w:before="0" w:beforeAutospacing="0" w:after="0" w:afterAutospacing="0"/>
        <w:jc w:val="both"/>
        <w:rPr>
          <w:rFonts w:ascii="Arial" w:hAnsi="Arial" w:cs="Arial"/>
        </w:rPr>
      </w:pPr>
      <w:r w:rsidRPr="000C1846">
        <w:rPr>
          <w:rFonts w:ascii="Arial" w:hAnsi="Arial" w:cs="Arial"/>
          <w:spacing w:val="-4"/>
        </w:rPr>
        <w:t xml:space="preserve">[5] Về số cây mượn: Hồ sơ vụ án thể hiện 2 bên không có văn bản về việc mượn cây, nhưng cả 2 bên đều xác nhận Công ty Q cho Công ty T mượn 449.455 cây, Công ty T đã trả 40.600 cây, còn nợ 408.855 cây. Công ty T cho rằng đã có đủ cây để trả và </w:t>
      </w:r>
      <w:r w:rsidRPr="000C1846">
        <w:rPr>
          <w:rFonts w:ascii="Arial" w:hAnsi="Arial" w:cs="Arial"/>
        </w:rPr>
        <w:t xml:space="preserve">đồng ý trả bằng cây, không chấp nhận quy đổi trả bằng tiền. Còn Công ty Q cho rằng do Công ty T không có khả năng trả bằng cây nên yêu cầu trả bằng tiền. Căn cứ Điều 471 và Điều 474 Bộ luật </w:t>
      </w:r>
      <w:r w:rsidR="00362F28" w:rsidRPr="000C1846">
        <w:rPr>
          <w:rFonts w:ascii="Arial" w:hAnsi="Arial" w:cs="Arial"/>
        </w:rPr>
        <w:t>D</w:t>
      </w:r>
      <w:r w:rsidRPr="000C1846">
        <w:rPr>
          <w:rFonts w:ascii="Arial" w:hAnsi="Arial" w:cs="Arial"/>
        </w:rPr>
        <w:t xml:space="preserve">ân sự 2005 về </w:t>
      </w:r>
      <w:r w:rsidR="00362F28" w:rsidRPr="000C1846">
        <w:rPr>
          <w:rFonts w:ascii="Arial" w:hAnsi="Arial" w:cs="Arial"/>
        </w:rPr>
        <w:t>h</w:t>
      </w:r>
      <w:r w:rsidRPr="000C1846">
        <w:rPr>
          <w:rFonts w:ascii="Arial" w:hAnsi="Arial" w:cs="Arial"/>
        </w:rPr>
        <w:t xml:space="preserve">ợp đồng vay tài sản; Điều 514 Bộ luật </w:t>
      </w:r>
      <w:r w:rsidR="00362F28" w:rsidRPr="000C1846">
        <w:rPr>
          <w:rFonts w:ascii="Arial" w:hAnsi="Arial" w:cs="Arial"/>
        </w:rPr>
        <w:t>D</w:t>
      </w:r>
      <w:r w:rsidRPr="000C1846">
        <w:rPr>
          <w:rFonts w:ascii="Arial" w:hAnsi="Arial" w:cs="Arial"/>
        </w:rPr>
        <w:t xml:space="preserve">ân sự 2005 về </w:t>
      </w:r>
      <w:r w:rsidR="00362F28" w:rsidRPr="000C1846">
        <w:rPr>
          <w:rFonts w:ascii="Arial" w:hAnsi="Arial" w:cs="Arial"/>
        </w:rPr>
        <w:t>h</w:t>
      </w:r>
      <w:r w:rsidRPr="000C1846">
        <w:rPr>
          <w:rFonts w:ascii="Arial" w:hAnsi="Arial" w:cs="Arial"/>
        </w:rPr>
        <w:t>ợp đồng mượn tài sản đều quy định về nghĩa vụ trả nợ là bên vay (mượn) phải hoàn trả cho bên cho vay (cho mượn) tài sản cùng loại, nhưng Tòa án cấp sơ thẩm và Tòa án cấp phúc thẩm chưa xem xét việc Công ty T có đủ khả năng trả cây cùng loại hay không là không phù hợp quy định của pháp luật. Nếu Công ty T không đủ khả năng để trả bằng cây cùng loại thì mới buộc trả bằng tiền.</w:t>
      </w:r>
    </w:p>
    <w:p w:rsidR="00EF73A7" w:rsidRPr="000C1846" w:rsidRDefault="00EF73A7" w:rsidP="000C1846">
      <w:pPr>
        <w:pStyle w:val="NormalWeb"/>
        <w:shd w:val="clear" w:color="auto" w:fill="FFFFFF"/>
        <w:spacing w:before="0" w:beforeAutospacing="0" w:after="0" w:afterAutospacing="0"/>
        <w:jc w:val="both"/>
        <w:rPr>
          <w:rFonts w:ascii="Arial" w:hAnsi="Arial" w:cs="Arial"/>
          <w:spacing w:val="-2"/>
        </w:rPr>
      </w:pPr>
      <w:r w:rsidRPr="000C1846">
        <w:rPr>
          <w:rFonts w:ascii="Arial" w:hAnsi="Arial" w:cs="Arial"/>
          <w:spacing w:val="-2"/>
        </w:rPr>
        <w:t>Vì các lẽ trên,</w:t>
      </w:r>
    </w:p>
    <w:p w:rsidR="00EF73A7" w:rsidRPr="000C1846" w:rsidRDefault="00EF73A7" w:rsidP="000C1846">
      <w:pPr>
        <w:tabs>
          <w:tab w:val="left" w:pos="2507"/>
        </w:tabs>
        <w:spacing w:after="0" w:line="240" w:lineRule="auto"/>
        <w:jc w:val="center"/>
        <w:rPr>
          <w:rFonts w:ascii="Arial" w:hAnsi="Arial" w:cs="Arial"/>
          <w:b/>
          <w:bCs/>
          <w:spacing w:val="-2"/>
          <w:sz w:val="24"/>
          <w:szCs w:val="24"/>
        </w:rPr>
      </w:pPr>
      <w:r w:rsidRPr="000C1846">
        <w:rPr>
          <w:rFonts w:ascii="Arial" w:hAnsi="Arial" w:cs="Arial"/>
          <w:b/>
          <w:bCs/>
          <w:spacing w:val="-2"/>
          <w:sz w:val="24"/>
          <w:szCs w:val="24"/>
        </w:rPr>
        <w:t>QUYẾT ĐỊNH:</w:t>
      </w:r>
    </w:p>
    <w:p w:rsidR="00EF73A7" w:rsidRPr="000C1846" w:rsidRDefault="00EF73A7" w:rsidP="000C1846">
      <w:pPr>
        <w:tabs>
          <w:tab w:val="left" w:pos="709"/>
          <w:tab w:val="left" w:pos="2507"/>
        </w:tabs>
        <w:spacing w:after="0" w:line="240" w:lineRule="auto"/>
        <w:jc w:val="both"/>
        <w:rPr>
          <w:rFonts w:ascii="Arial" w:hAnsi="Arial" w:cs="Arial"/>
          <w:spacing w:val="-2"/>
          <w:sz w:val="24"/>
          <w:szCs w:val="24"/>
        </w:rPr>
      </w:pPr>
      <w:r w:rsidRPr="000C1846">
        <w:rPr>
          <w:rFonts w:ascii="Arial" w:hAnsi="Arial" w:cs="Arial"/>
          <w:bCs/>
          <w:spacing w:val="-2"/>
          <w:sz w:val="24"/>
          <w:szCs w:val="24"/>
        </w:rPr>
        <w:t xml:space="preserve">Căn cứ vào khoản 2 Điều 337, khoản 3 Điều 343, Điều 345 của Bộ luật </w:t>
      </w:r>
      <w:r w:rsidR="00362F28" w:rsidRPr="000C1846">
        <w:rPr>
          <w:rFonts w:ascii="Arial" w:hAnsi="Arial" w:cs="Arial"/>
          <w:bCs/>
          <w:spacing w:val="-2"/>
          <w:sz w:val="24"/>
          <w:szCs w:val="24"/>
        </w:rPr>
        <w:t>T</w:t>
      </w:r>
      <w:r w:rsidRPr="000C1846">
        <w:rPr>
          <w:rFonts w:ascii="Arial" w:hAnsi="Arial" w:cs="Arial"/>
          <w:bCs/>
          <w:spacing w:val="-2"/>
          <w:sz w:val="24"/>
          <w:szCs w:val="24"/>
        </w:rPr>
        <w:t>ố tụng dân sự năm 2015; Nghị quyết số 103/2015/QH13 ngày 25-11-2015 của Quốc hội về việc thi hành Bộ luậ</w:t>
      </w:r>
      <w:r w:rsidR="0069461B" w:rsidRPr="000C1846">
        <w:rPr>
          <w:rFonts w:ascii="Arial" w:hAnsi="Arial" w:cs="Arial"/>
          <w:bCs/>
          <w:spacing w:val="-2"/>
          <w:sz w:val="24"/>
          <w:szCs w:val="24"/>
        </w:rPr>
        <w:t>t T</w:t>
      </w:r>
      <w:r w:rsidRPr="000C1846">
        <w:rPr>
          <w:rFonts w:ascii="Arial" w:hAnsi="Arial" w:cs="Arial"/>
          <w:bCs/>
          <w:spacing w:val="-2"/>
          <w:sz w:val="24"/>
          <w:szCs w:val="24"/>
        </w:rPr>
        <w:t xml:space="preserve">ố </w:t>
      </w:r>
      <w:r w:rsidR="0069461B" w:rsidRPr="000C1846">
        <w:rPr>
          <w:rFonts w:ascii="Arial" w:hAnsi="Arial" w:cs="Arial"/>
          <w:bCs/>
          <w:spacing w:val="-2"/>
          <w:sz w:val="24"/>
          <w:szCs w:val="24"/>
        </w:rPr>
        <w:t>t</w:t>
      </w:r>
      <w:r w:rsidRPr="000C1846">
        <w:rPr>
          <w:rFonts w:ascii="Arial" w:hAnsi="Arial" w:cs="Arial"/>
          <w:bCs/>
          <w:spacing w:val="-2"/>
          <w:sz w:val="24"/>
          <w:szCs w:val="24"/>
        </w:rPr>
        <w:t>ụng dân sự.</w:t>
      </w:r>
    </w:p>
    <w:p w:rsidR="00EF73A7" w:rsidRPr="000C1846" w:rsidRDefault="00EF73A7" w:rsidP="000C1846">
      <w:pPr>
        <w:spacing w:after="0" w:line="240" w:lineRule="auto"/>
        <w:jc w:val="both"/>
        <w:rPr>
          <w:rFonts w:ascii="Arial" w:hAnsi="Arial" w:cs="Arial"/>
          <w:spacing w:val="-2"/>
          <w:sz w:val="24"/>
          <w:szCs w:val="24"/>
        </w:rPr>
      </w:pPr>
      <w:r w:rsidRPr="000C1846">
        <w:rPr>
          <w:rFonts w:ascii="Arial" w:hAnsi="Arial" w:cs="Arial"/>
          <w:spacing w:val="-2"/>
          <w:sz w:val="24"/>
          <w:szCs w:val="24"/>
        </w:rPr>
        <w:t>1. Chấp nhận Kháng nghị giám đốc thẩm số 01/2017/KN-KDTM ngày 24-02-2017 của Chánh án Tòa án nhân dân tối cao đối với Bản án kinh doanh, thương mại phúc thẩm số 19/2014/KDTM-PT ngày 26-02-2014 của Tòa Phúc thẩm Tòa án nhân dân tối cao tại Đà Nẵng về vụ án kinh doanh, thương mại “Tranh chấp về hợp đồng mua bán hàng hóa” giữa nguyên đơn là Công ty cổ phần Q với bị đơn là Công ty trách nhiệm hữu hạn T.</w:t>
      </w:r>
    </w:p>
    <w:p w:rsidR="00EF73A7" w:rsidRPr="000C1846" w:rsidRDefault="00EF73A7" w:rsidP="000C1846">
      <w:pPr>
        <w:spacing w:after="0" w:line="240" w:lineRule="auto"/>
        <w:jc w:val="both"/>
        <w:rPr>
          <w:rFonts w:ascii="Arial" w:hAnsi="Arial" w:cs="Arial"/>
          <w:spacing w:val="-2"/>
          <w:sz w:val="24"/>
          <w:szCs w:val="24"/>
        </w:rPr>
      </w:pPr>
      <w:r w:rsidRPr="000C1846">
        <w:rPr>
          <w:rFonts w:ascii="Arial" w:hAnsi="Arial" w:cs="Arial"/>
          <w:spacing w:val="-2"/>
          <w:sz w:val="24"/>
          <w:szCs w:val="24"/>
        </w:rPr>
        <w:t>2. Hủy Bản án kinh doanh, thương mại phúc thẩm số 19/2014/KDTM-PT ngày 26-02-2014 của Tòa Phúc thẩm Tòa án nhân dân tối cao tại Đà Nẵng và Bản án kinh doanh, thương mại sơ thẩm số 08/2013/KDTM-ST ngày 04-9-2013 của Tòa án nhân dân tỉnh Quảng Trị.</w:t>
      </w:r>
    </w:p>
    <w:p w:rsidR="00EF73A7" w:rsidRPr="000C1846" w:rsidRDefault="00EF73A7" w:rsidP="000C1846">
      <w:pPr>
        <w:spacing w:after="0" w:line="240" w:lineRule="auto"/>
        <w:jc w:val="both"/>
        <w:rPr>
          <w:rFonts w:ascii="Arial" w:hAnsi="Arial" w:cs="Arial"/>
          <w:spacing w:val="-2"/>
          <w:sz w:val="24"/>
          <w:szCs w:val="24"/>
        </w:rPr>
      </w:pPr>
      <w:r w:rsidRPr="000C1846">
        <w:rPr>
          <w:rFonts w:ascii="Arial" w:hAnsi="Arial" w:cs="Arial"/>
          <w:spacing w:val="-2"/>
          <w:sz w:val="24"/>
          <w:szCs w:val="24"/>
        </w:rPr>
        <w:t>3. Giao hồ sơ vụ án cho Tòa án nhân dân tỉnh Quảng Trị để xét xử lại theo thủ tục sơ thẩm đúng quy định của pháp luật.</w:t>
      </w:r>
    </w:p>
    <w:p w:rsidR="00EF73A7" w:rsidRPr="000C1846" w:rsidRDefault="00EF73A7" w:rsidP="000C1846">
      <w:pPr>
        <w:tabs>
          <w:tab w:val="left" w:pos="709"/>
        </w:tabs>
        <w:spacing w:after="0" w:line="240" w:lineRule="auto"/>
        <w:jc w:val="center"/>
        <w:rPr>
          <w:rFonts w:ascii="Arial" w:hAnsi="Arial" w:cs="Arial"/>
          <w:b/>
          <w:sz w:val="24"/>
          <w:szCs w:val="24"/>
        </w:rPr>
      </w:pPr>
      <w:r w:rsidRPr="000C1846">
        <w:rPr>
          <w:rFonts w:ascii="Arial" w:hAnsi="Arial" w:cs="Arial"/>
          <w:b/>
          <w:sz w:val="24"/>
          <w:szCs w:val="24"/>
        </w:rPr>
        <w:t>NỘI DUNG ÁN LỆ</w:t>
      </w:r>
    </w:p>
    <w:p w:rsidR="00EF73A7" w:rsidRPr="000C1846" w:rsidRDefault="00EF73A7" w:rsidP="000C1846">
      <w:pPr>
        <w:spacing w:after="0" w:line="240" w:lineRule="auto"/>
        <w:jc w:val="both"/>
        <w:rPr>
          <w:rFonts w:ascii="Arial" w:hAnsi="Arial" w:cs="Arial"/>
          <w:b/>
          <w:bCs/>
          <w:i/>
          <w:sz w:val="24"/>
          <w:szCs w:val="24"/>
        </w:rPr>
      </w:pPr>
      <w:r w:rsidRPr="000C1846">
        <w:rPr>
          <w:rFonts w:ascii="Arial" w:hAnsi="Arial" w:cs="Arial"/>
          <w:i/>
          <w:sz w:val="24"/>
          <w:szCs w:val="24"/>
        </w:rPr>
        <w:t xml:space="preserve">“[1] </w:t>
      </w:r>
      <w:r w:rsidRPr="000C1846">
        <w:rPr>
          <w:rFonts w:ascii="Arial" w:hAnsi="Arial" w:cs="Arial"/>
          <w:i/>
          <w:spacing w:val="-2"/>
          <w:sz w:val="24"/>
          <w:szCs w:val="24"/>
        </w:rPr>
        <w:t xml:space="preserve">Về tố tụng: Theo Biên bản phiên tòa phúc thẩm ngày 26-11-2013 thì tại phiên tòa các đương sự có mặt đầy đủ theo giấy triệu tập của Tòa án. Tuy nhiên, Hội đồng xét xử đã quyết định hoãn phiên tòa để các đương sự cung cấp thêm chứng cứ. Tại phiên tòa phúc thẩm được mở lại vào ngày 26-02-2014, bị đơn và luật sư bảo vệ quyền và lợi ích hợp pháp của bị đơn vắng mặt. Trường hợp Hội đồng xét xử đã quyết định hoãn phiên tòa và việc hoãn phiên tòa là do Tòa án, tại phiên tòa được mở lại đương sự hoặc người đại diện, người bảo vệ quyền và lợi ích hợp pháp của đương sự vắng mặt thì được coi là vắng mặt lần thứ nhất. Lẽ ra, Tòa án cấp phúc thẩm phải xác định là bị đơn và luật sư bảo vệ quyền và lợi ích hợp pháp của bị đơn được Tòa án triệu tập hợp lệ lần thứ nhất vắng mặt tại phiên tòa theo quy định tại khoản 1 Điều 199, khoản 2 Điều 266 Bộ luật </w:t>
      </w:r>
      <w:r w:rsidR="00362F28" w:rsidRPr="000C1846">
        <w:rPr>
          <w:rFonts w:ascii="Arial" w:hAnsi="Arial" w:cs="Arial"/>
          <w:i/>
          <w:spacing w:val="-2"/>
          <w:sz w:val="24"/>
          <w:szCs w:val="24"/>
        </w:rPr>
        <w:t>T</w:t>
      </w:r>
      <w:r w:rsidRPr="000C1846">
        <w:rPr>
          <w:rFonts w:ascii="Arial" w:hAnsi="Arial" w:cs="Arial"/>
          <w:i/>
          <w:spacing w:val="-2"/>
          <w:sz w:val="24"/>
          <w:szCs w:val="24"/>
        </w:rPr>
        <w:t xml:space="preserve">ố tụng dân sự để hoãn phiên tòa. Tòa án cấp phúc thẩm nhận định </w:t>
      </w:r>
      <w:r w:rsidRPr="000C1846">
        <w:rPr>
          <w:rFonts w:ascii="Arial" w:hAnsi="Arial" w:cs="Arial"/>
          <w:i/>
          <w:spacing w:val="-2"/>
          <w:sz w:val="24"/>
          <w:szCs w:val="24"/>
        </w:rPr>
        <w:lastRenderedPageBreak/>
        <w:t xml:space="preserve">tại phiên tòa phúc thẩm bị đơn và luật sư bảo vệ quyền và lợi ích hợp pháp của bị đơn đã được Tòa án triệu tập hợp lệ lần thứ hai vắng mặt tại phiên tòa, từ đó đình chỉ xét xử phúc thẩm đối với yêu cầu kháng cáo của bị đơn là không đúng quy định tại Điều 199, 202, 266 Bộ luật </w:t>
      </w:r>
      <w:r w:rsidR="00362F28" w:rsidRPr="000C1846">
        <w:rPr>
          <w:rFonts w:ascii="Arial" w:hAnsi="Arial" w:cs="Arial"/>
          <w:i/>
          <w:spacing w:val="-2"/>
          <w:sz w:val="24"/>
          <w:szCs w:val="24"/>
        </w:rPr>
        <w:t>T</w:t>
      </w:r>
      <w:r w:rsidRPr="000C1846">
        <w:rPr>
          <w:rFonts w:ascii="Arial" w:hAnsi="Arial" w:cs="Arial"/>
          <w:i/>
          <w:spacing w:val="-2"/>
          <w:sz w:val="24"/>
          <w:szCs w:val="24"/>
        </w:rPr>
        <w:t>ố tụng dân sự, làm mất quyền kháng cáo, ảnh hưởng đến quyền và lợi ích hợp pháp của bị đơn.</w:t>
      </w:r>
      <w:r w:rsidRPr="000C1846">
        <w:rPr>
          <w:rFonts w:ascii="Arial" w:hAnsi="Arial" w:cs="Arial"/>
          <w:i/>
          <w:spacing w:val="-4"/>
          <w:sz w:val="24"/>
          <w:szCs w:val="24"/>
        </w:rPr>
        <w:t>”</w:t>
      </w:r>
    </w:p>
    <w:p w:rsidR="00EF73A7" w:rsidRPr="000C1846" w:rsidRDefault="00EF73A7" w:rsidP="000C1846">
      <w:pPr>
        <w:spacing w:after="0" w:line="240" w:lineRule="auto"/>
        <w:jc w:val="both"/>
        <w:rPr>
          <w:rFonts w:ascii="Arial" w:hAnsi="Arial" w:cs="Arial"/>
          <w:sz w:val="24"/>
          <w:szCs w:val="24"/>
        </w:rPr>
      </w:pPr>
    </w:p>
    <w:p w:rsidR="00437522" w:rsidRPr="000C1846" w:rsidRDefault="00437522" w:rsidP="000C1846">
      <w:pPr>
        <w:spacing w:after="0" w:line="240" w:lineRule="auto"/>
        <w:jc w:val="both"/>
        <w:rPr>
          <w:rFonts w:ascii="Arial" w:hAnsi="Arial" w:cs="Arial"/>
          <w:sz w:val="24"/>
          <w:szCs w:val="24"/>
        </w:rPr>
      </w:pPr>
    </w:p>
    <w:sectPr w:rsidR="00437522" w:rsidRPr="000C1846" w:rsidSect="00960C15">
      <w:footerReference w:type="default" r:id="rId7"/>
      <w:pgSz w:w="11907" w:h="16840"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069E" w:rsidRDefault="009D069E" w:rsidP="0019775B">
      <w:pPr>
        <w:spacing w:after="0" w:line="240" w:lineRule="auto"/>
      </w:pPr>
      <w:r>
        <w:separator/>
      </w:r>
    </w:p>
  </w:endnote>
  <w:endnote w:type="continuationSeparator" w:id="0">
    <w:p w:rsidR="009D069E" w:rsidRDefault="009D069E" w:rsidP="001977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340976"/>
      <w:docPartObj>
        <w:docPartGallery w:val="Page Numbers (Bottom of Page)"/>
        <w:docPartUnique/>
      </w:docPartObj>
    </w:sdtPr>
    <w:sdtEndPr/>
    <w:sdtContent>
      <w:p w:rsidR="0019775B" w:rsidRDefault="007C4FEA">
        <w:pPr>
          <w:pStyle w:val="Footer"/>
          <w:jc w:val="center"/>
        </w:pPr>
        <w:r>
          <w:rPr>
            <w:noProof/>
          </w:rPr>
          <w:fldChar w:fldCharType="begin"/>
        </w:r>
        <w:r>
          <w:rPr>
            <w:noProof/>
          </w:rPr>
          <w:instrText xml:space="preserve"> PAGE   \* MERGEFORMAT </w:instrText>
        </w:r>
        <w:r>
          <w:rPr>
            <w:noProof/>
          </w:rPr>
          <w:fldChar w:fldCharType="separate"/>
        </w:r>
        <w:r w:rsidR="00221CBB">
          <w:rPr>
            <w:noProof/>
          </w:rPr>
          <w:t>7</w:t>
        </w:r>
        <w:r>
          <w:rPr>
            <w:noProof/>
          </w:rPr>
          <w:fldChar w:fldCharType="end"/>
        </w:r>
      </w:p>
    </w:sdtContent>
  </w:sdt>
  <w:p w:rsidR="0019775B" w:rsidRDefault="001977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069E" w:rsidRDefault="009D069E" w:rsidP="0019775B">
      <w:pPr>
        <w:spacing w:after="0" w:line="240" w:lineRule="auto"/>
      </w:pPr>
      <w:r>
        <w:separator/>
      </w:r>
    </w:p>
  </w:footnote>
  <w:footnote w:type="continuationSeparator" w:id="0">
    <w:p w:rsidR="009D069E" w:rsidRDefault="009D069E" w:rsidP="0019775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F73A7"/>
    <w:rsid w:val="000B03AA"/>
    <w:rsid w:val="000C1846"/>
    <w:rsid w:val="000E2268"/>
    <w:rsid w:val="0019775B"/>
    <w:rsid w:val="001A29DE"/>
    <w:rsid w:val="00221CBB"/>
    <w:rsid w:val="00331CAC"/>
    <w:rsid w:val="00362F28"/>
    <w:rsid w:val="00431401"/>
    <w:rsid w:val="00437522"/>
    <w:rsid w:val="0058075D"/>
    <w:rsid w:val="005B2BA2"/>
    <w:rsid w:val="00626840"/>
    <w:rsid w:val="0066247F"/>
    <w:rsid w:val="0068783B"/>
    <w:rsid w:val="0069461B"/>
    <w:rsid w:val="006C77E5"/>
    <w:rsid w:val="006F44A1"/>
    <w:rsid w:val="0070022B"/>
    <w:rsid w:val="00706538"/>
    <w:rsid w:val="00772F8D"/>
    <w:rsid w:val="007A6774"/>
    <w:rsid w:val="007C4FEA"/>
    <w:rsid w:val="007D3D4E"/>
    <w:rsid w:val="00887A11"/>
    <w:rsid w:val="00911C69"/>
    <w:rsid w:val="0095196D"/>
    <w:rsid w:val="00953F66"/>
    <w:rsid w:val="00960C15"/>
    <w:rsid w:val="00973FB2"/>
    <w:rsid w:val="009D069E"/>
    <w:rsid w:val="00A47E45"/>
    <w:rsid w:val="00A5186B"/>
    <w:rsid w:val="00B06AFC"/>
    <w:rsid w:val="00B37AF5"/>
    <w:rsid w:val="00C0509D"/>
    <w:rsid w:val="00C45396"/>
    <w:rsid w:val="00C62CED"/>
    <w:rsid w:val="00C932F1"/>
    <w:rsid w:val="00C9461B"/>
    <w:rsid w:val="00CB02E8"/>
    <w:rsid w:val="00D70B1C"/>
    <w:rsid w:val="00D7387F"/>
    <w:rsid w:val="00E0600E"/>
    <w:rsid w:val="00EF73A7"/>
    <w:rsid w:val="00F07A73"/>
    <w:rsid w:val="00F827A1"/>
    <w:rsid w:val="00FA050E"/>
    <w:rsid w:val="00FD090D"/>
    <w:rsid w:val="00FE2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FB41E"/>
  <w15:docId w15:val="{76018068-9A96-4CE4-9989-555D7F340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75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Italic">
    <w:name w:val="Body text + Italic"/>
    <w:aliases w:val="Body text + Small Caps,Picture caption + Italic"/>
    <w:basedOn w:val="DefaultParagraphFont"/>
    <w:rsid w:val="00EF73A7"/>
    <w:rPr>
      <w:rFonts w:ascii="Times New Roman" w:eastAsia="Times New Roman" w:hAnsi="Times New Roman" w:cs="Times New Roman"/>
      <w:b w:val="0"/>
      <w:bCs w:val="0"/>
      <w:i/>
      <w:iCs/>
      <w:smallCaps w:val="0"/>
      <w:strike w:val="0"/>
      <w:color w:val="000000"/>
      <w:spacing w:val="0"/>
      <w:w w:val="100"/>
      <w:position w:val="0"/>
      <w:sz w:val="25"/>
      <w:szCs w:val="25"/>
      <w:u w:val="none"/>
      <w:lang w:val="vi-VN"/>
    </w:rPr>
  </w:style>
  <w:style w:type="character" w:customStyle="1" w:styleId="Bodytext5Tahoma">
    <w:name w:val="Body text (5) + Tahoma"/>
    <w:aliases w:val="10.5 pt,Italic,Body text (4) + 12 pt,Bold,Body text + 12 pt,Not Italic,Picture caption + 11.5 pt,Spacing 0 pt Exact,Body text (4) + 13 pt,Body text (100) + Tahoma,6.5 pt,Body text + 10 pt,Body text + 12.5 pt,Body text + 9.5 pt"/>
    <w:basedOn w:val="DefaultParagraphFont"/>
    <w:rsid w:val="00EF73A7"/>
    <w:rPr>
      <w:rFonts w:ascii="Tahoma" w:eastAsia="Tahoma" w:hAnsi="Tahoma" w:cs="Tahoma"/>
      <w:b w:val="0"/>
      <w:bCs w:val="0"/>
      <w:i/>
      <w:iCs/>
      <w:smallCaps w:val="0"/>
      <w:strike w:val="0"/>
      <w:color w:val="000000"/>
      <w:spacing w:val="0"/>
      <w:w w:val="100"/>
      <w:position w:val="0"/>
      <w:sz w:val="21"/>
      <w:szCs w:val="21"/>
      <w:u w:val="none"/>
    </w:rPr>
  </w:style>
  <w:style w:type="paragraph" w:styleId="NormalWeb">
    <w:name w:val="Normal (Web)"/>
    <w:basedOn w:val="Normal"/>
    <w:uiPriority w:val="99"/>
    <w:unhideWhenUsed/>
    <w:rsid w:val="00EF73A7"/>
    <w:pPr>
      <w:spacing w:before="100" w:beforeAutospacing="1" w:after="100" w:afterAutospacing="1" w:line="240" w:lineRule="auto"/>
    </w:pPr>
    <w:rPr>
      <w:rFonts w:eastAsia="Times New Roman" w:cs="Times New Roman"/>
      <w:sz w:val="24"/>
      <w:szCs w:val="24"/>
    </w:rPr>
  </w:style>
  <w:style w:type="character" w:customStyle="1" w:styleId="Bodytext9">
    <w:name w:val="Body text (9)"/>
    <w:basedOn w:val="DefaultParagraphFont"/>
    <w:rsid w:val="00EF73A7"/>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rPr>
  </w:style>
  <w:style w:type="character" w:customStyle="1" w:styleId="Bodytext14pt">
    <w:name w:val="Body text + 14 pt"/>
    <w:basedOn w:val="DefaultParagraphFont"/>
    <w:rsid w:val="00EF73A7"/>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FFFFFF"/>
      <w:lang w:val="vi-VN"/>
    </w:rPr>
  </w:style>
  <w:style w:type="character" w:customStyle="1" w:styleId="Bodytext10135pt">
    <w:name w:val="Body text (10) + 13.5 pt"/>
    <w:basedOn w:val="DefaultParagraphFont"/>
    <w:rsid w:val="00EF73A7"/>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style>
  <w:style w:type="paragraph" w:styleId="Header">
    <w:name w:val="header"/>
    <w:basedOn w:val="Normal"/>
    <w:link w:val="HeaderChar"/>
    <w:uiPriority w:val="99"/>
    <w:semiHidden/>
    <w:unhideWhenUsed/>
    <w:rsid w:val="0019775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9775B"/>
  </w:style>
  <w:style w:type="paragraph" w:styleId="Footer">
    <w:name w:val="footer"/>
    <w:basedOn w:val="Normal"/>
    <w:link w:val="FooterChar"/>
    <w:uiPriority w:val="99"/>
    <w:unhideWhenUsed/>
    <w:rsid w:val="001977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77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Relationships xmlns="http://schemas.openxmlformats.org/package/2006/relationships"><Relationship Target="fontTable.xml" Type="http://schemas.openxmlformats.org/officeDocument/2006/relationships/fontTable" Id="rId8"></Relationship><Relationship Target="settings.xml" Type="http://schemas.openxmlformats.org/officeDocument/2006/relationships/settings" Id="rId3"></Relationship><Relationship Target="footer1.xml" Type="http://schemas.openxmlformats.org/officeDocument/2006/relationships/footer" Id="rId7"></Relationship><Relationship Target="styles.xml" Type="http://schemas.openxmlformats.org/officeDocument/2006/relationships/styles" Id="rId2"></Relationship><Relationship Target="../customXml/item1.xml" Type="http://schemas.openxmlformats.org/officeDocument/2006/relationships/customXml" Id="rId1"></Relationship><Relationship Target="endnotes.xml" Type="http://schemas.openxmlformats.org/officeDocument/2006/relationships/endnotes" Id="rId6"></Relationship><Relationship Target="footnotes.xml" Type="http://schemas.openxmlformats.org/officeDocument/2006/relationships/footnotes" Id="rId5"></Relationship><Relationship Target="webSettings.xml" Type="http://schemas.openxmlformats.org/officeDocument/2006/relationships/webSettings" Id="rId4"></Relationship><Relationship Target="theme/theme1.xml" Type="http://schemas.openxmlformats.org/officeDocument/2006/relationships/theme" Id="rId9"></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081C8EB-DD8F-4F2B-82F3-514B55B6F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6</Pages>
  <Words>2701</Words>
  <Characters>15402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NguyenTienHiep</cp:lastModifiedBy>
  <cp:revision>47</cp:revision>
  <cp:lastPrinted>2017-12-28T01:27:00Z</cp:lastPrinted>
  <dcterms:created xsi:type="dcterms:W3CDTF">2017-12-19T03:47:00Z</dcterms:created>
  <dcterms:modified xsi:type="dcterms:W3CDTF">2018-09-06T07:49:00Z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9" name="DISdDocName">
    <vt:lpwstr>TAND014316</vt:lpwstr>
  </property>
  <property fmtid="{D5CDD505-2E9C-101B-9397-08002B2CF9AE}" pid="10" name="DISProperties">
    <vt:lpwstr>DISdDocName,DIScgiUrl,DISdUser,DISdID,DISidcName,DISTaskPaneUrl</vt:lpwstr>
  </property>
  <property fmtid="{D5CDD505-2E9C-101B-9397-08002B2CF9AE}" pid="11" name="DIScgiUrl">
    <vt:lpwstr>http://dc-content-01:16200/cs/idcplg</vt:lpwstr>
  </property>
  <property fmtid="{D5CDD505-2E9C-101B-9397-08002B2CF9AE}" pid="12" name="DISdUser">
    <vt:lpwstr>anonymous</vt:lpwstr>
  </property>
  <property fmtid="{D5CDD505-2E9C-101B-9397-08002B2CF9AE}" pid="13" name="DISdID">
    <vt:lpwstr>160594</vt:lpwstr>
  </property>
  <property fmtid="{D5CDD505-2E9C-101B-9397-08002B2CF9AE}" pid="14" name="DISidcName">
    <vt:lpwstr>dcwcc</vt:lpwstr>
  </property>
  <property fmtid="{D5CDD505-2E9C-101B-9397-08002B2CF9AE}" pid="15" name="DISTaskPaneUrl">
    <vt:lpwstr>http://dc-content-01:16200/cs/idcplg?IdcService=DESKTOP_DOC_INFO&amp;dDocName=TAND014316&amp;dID=160594&amp;ClientControlled=DocMan,taskpane&amp;coreContentOnly=1</vt:lpwstr>
  </property>
</Properties>
</file>