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Lab 1: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Máy ảo DEVAS: máy linux    </w:t>
        <w:tab/>
        <w:t xml:space="preserve">Bridge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Ip : 172.16.10.113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Máy ảo CSR1kv  </w:t>
        <w:tab/>
        <w:t xml:space="preserve">Bridge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Show ip int brief → 172.16.10.189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Muốn ssh từ DEVAS sang CSR1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ssh cisco@172.16.10.189</w:t>
        <w:tab/>
        <w:tab/>
        <w:t xml:space="preserve">pass: cisco123!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-oKexAlgorithms=+diffie-hellman-group14-sha1 -oHostKeyAlgorithms=+ssh-rsa cisco@172.16.10.189   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Mở UI từ DEVAS or máy tính thật :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https://172.16.10.189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cisco </w:t>
        <w:tab/>
        <w:tab/>
        <w:t xml:space="preserve">cisco123!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