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22CA" w14:textId="5D8B3449" w:rsidR="00953523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Atomicity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requires that </w:t>
      </w:r>
      <w:r w:rsidRPr="00FC108A">
        <w:rPr>
          <w:rFonts w:ascii="SouvenirStd-LightItalic" w:hAnsi="SouvenirStd-LightItalic" w:cs="SouvenirStd-LightItalic"/>
          <w:i/>
          <w:iCs/>
          <w:sz w:val="14"/>
          <w:szCs w:val="14"/>
        </w:rPr>
        <w:t xml:space="preserve">all </w:t>
      </w:r>
      <w:r w:rsidRPr="00FC108A">
        <w:rPr>
          <w:rFonts w:ascii="SouvenirStd-Light" w:hAnsi="SouvenirStd-Light" w:cs="SouvenirStd-Light"/>
          <w:sz w:val="14"/>
          <w:szCs w:val="14"/>
        </w:rPr>
        <w:t>operations (SQL requests) of a transaction be completed; if not, the transaction is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aborted.</w:t>
      </w:r>
    </w:p>
    <w:p w14:paraId="552D8A04" w14:textId="08FDD5CF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Consistency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indicates the permanence of the database’s consistent state.</w:t>
      </w:r>
    </w:p>
    <w:p w14:paraId="2819C6DB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Isolation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means that the data used during the execution of a transaction cannot be used by a second transaction</w:t>
      </w:r>
    </w:p>
    <w:p w14:paraId="0D002691" w14:textId="7E99BA1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until the first one is completed.</w:t>
      </w:r>
    </w:p>
    <w:p w14:paraId="0425025E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Durability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ensures that once transaction changes are done and committed, they cannot be undone or lost,</w:t>
      </w:r>
    </w:p>
    <w:p w14:paraId="6A8434DB" w14:textId="01ED63E4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even in the event of a system failure.</w:t>
      </w:r>
    </w:p>
    <w:p w14:paraId="6A21E317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Serializability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ensures that the schedule for the concurrent execution of the transactions yields consistent</w:t>
      </w:r>
    </w:p>
    <w:p w14:paraId="0B1DE15F" w14:textId="13D73B94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results.</w:t>
      </w:r>
    </w:p>
    <w:p w14:paraId="38E7FA6A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Coordinating the simultaneous execution of transactions in a multiuser database system is known as</w:t>
      </w:r>
    </w:p>
    <w:p w14:paraId="43155B2E" w14:textId="317AEEBF" w:rsidR="0068029C" w:rsidRPr="00FC108A" w:rsidRDefault="0068029C" w:rsidP="0068029C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concurrency control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</w:p>
    <w:p w14:paraId="6DA4D129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Concurrency control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is important because the simultaneous</w:t>
      </w:r>
    </w:p>
    <w:p w14:paraId="66F906B5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execution of transactions over a shared database can create several data integrity and consistency problems. The</w:t>
      </w:r>
    </w:p>
    <w:p w14:paraId="5425D4DA" w14:textId="47C9C20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three main problems are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lost updates,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uncommitted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data, and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inconsistent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retrievals</w:t>
      </w:r>
      <w:r w:rsidRPr="00FC108A">
        <w:rPr>
          <w:rFonts w:ascii="SouvenirStd-Light" w:hAnsi="SouvenirStd-Light" w:cs="SouvenirStd-Light"/>
          <w:sz w:val="14"/>
          <w:szCs w:val="14"/>
        </w:rPr>
        <w:t>.</w:t>
      </w:r>
    </w:p>
    <w:p w14:paraId="27CC811D" w14:textId="77777777" w:rsidR="005F4457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lost update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problem occurs </w:t>
      </w:r>
    </w:p>
    <w:p w14:paraId="3A9FCE1F" w14:textId="5AD13AE0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when two concurrent transactions, T1 and T2, are updating the same data element</w:t>
      </w:r>
    </w:p>
    <w:p w14:paraId="22249D7F" w14:textId="771E142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and one of the updates is lost</w:t>
      </w:r>
    </w:p>
    <w:p w14:paraId="5C35226F" w14:textId="463311EC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T1 SELECT data FROM table; </w:t>
      </w:r>
      <w:r w:rsidRPr="00FC108A">
        <w:rPr>
          <w:rFonts w:ascii="SouvenirStd-Light" w:hAnsi="SouvenirStd-Light" w:cs="SouvenirStd-Light"/>
          <w:sz w:val="14"/>
          <w:szCs w:val="14"/>
        </w:rPr>
        <w:t>T</w:t>
      </w:r>
      <w:r w:rsidRPr="00FC108A">
        <w:rPr>
          <w:rFonts w:ascii="SouvenirStd-Light" w:hAnsi="SouvenirStd-Light" w:cs="SouvenirStd-Light"/>
          <w:sz w:val="14"/>
          <w:szCs w:val="14"/>
        </w:rPr>
        <w:t>2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SELECT data FROM table</w:t>
      </w:r>
      <w:r w:rsidRPr="00FC108A">
        <w:rPr>
          <w:rFonts w:ascii="SouvenirStd-Light" w:hAnsi="SouvenirStd-Light" w:cs="SouvenirStd-Light"/>
          <w:sz w:val="14"/>
          <w:szCs w:val="14"/>
        </w:rPr>
        <w:t>; T1 UPDATE data to 25; T2 UPDATE data to 35; T1 COMMIT; T2 COMMIT; T1 is lost</w:t>
      </w:r>
    </w:p>
    <w:p w14:paraId="33E8A2A1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phenomenon of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uncommitted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occurs when two transactions, T1 and T2, are executed concurrently and</w:t>
      </w:r>
    </w:p>
    <w:p w14:paraId="304351D8" w14:textId="7EB3B7C7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the first transaction (T1) is rolled back after the second transaction (T2) has already accessed the uncommitted data</w:t>
      </w:r>
    </w:p>
    <w:p w14:paraId="10F85595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Inconsistent retrievals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occur when a transaction accesses data before and after one or more other transactions</w:t>
      </w:r>
    </w:p>
    <w:p w14:paraId="21F7F39F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finish</w:t>
      </w:r>
    </w:p>
    <w:p w14:paraId="145E0E0D" w14:textId="61BE6FFA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working with such data.</w:t>
      </w:r>
    </w:p>
    <w:p w14:paraId="65102206" w14:textId="7D5F3C84" w:rsidR="008A65C4" w:rsidRPr="00FC108A" w:rsidRDefault="008A65C4" w:rsidP="008A65C4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Read </w:t>
      </w:r>
      <w:proofErr w:type="spellStart"/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uncommited</w:t>
      </w:r>
      <w:proofErr w:type="spellEnd"/>
    </w:p>
    <w:p w14:paraId="400DB828" w14:textId="14F70F3C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START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TRANSACTION;</w:t>
      </w:r>
      <w:proofErr w:type="gramEnd"/>
    </w:p>
    <w:p w14:paraId="695EA3DB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UPDATE actor SET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'bob'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25;</w:t>
      </w:r>
      <w:proofErr w:type="gramEnd"/>
    </w:p>
    <w:p w14:paraId="6EC0F3C7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SLEEP(</w:t>
      </w:r>
      <w:proofErr w:type="gramEnd"/>
      <w:r w:rsidRPr="00FC108A">
        <w:rPr>
          <w:rFonts w:ascii="SouvenirStd-Light" w:hAnsi="SouvenirStd-Light" w:cs="SouvenirStd-Light"/>
          <w:sz w:val="14"/>
          <w:szCs w:val="14"/>
        </w:rPr>
        <w:t>15);</w:t>
      </w:r>
    </w:p>
    <w:p w14:paraId="7B5516B8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UPDATE actor SET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'frank'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25;</w:t>
      </w:r>
      <w:proofErr w:type="gramEnd"/>
    </w:p>
    <w:p w14:paraId="0A5593BF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FROM actor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25;</w:t>
      </w:r>
      <w:proofErr w:type="gramEnd"/>
    </w:p>
    <w:p w14:paraId="61DAB305" w14:textId="72F4F7F3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COMMIT;</w:t>
      </w:r>
      <w:proofErr w:type="gramEnd"/>
    </w:p>
    <w:p w14:paraId="3540CB4C" w14:textId="77A6DD2D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START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TRANSACTION;</w:t>
      </w:r>
      <w:proofErr w:type="gramEnd"/>
    </w:p>
    <w:p w14:paraId="578003F4" w14:textId="1D227AB3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SLEEP(</w:t>
      </w:r>
      <w:proofErr w:type="gramEnd"/>
      <w:r w:rsidRPr="00FC108A">
        <w:rPr>
          <w:rFonts w:ascii="SouvenirStd-Light" w:hAnsi="SouvenirStd-Light" w:cs="SouvenirStd-Light"/>
          <w:sz w:val="14"/>
          <w:szCs w:val="14"/>
        </w:rPr>
        <w:t>5);</w:t>
      </w:r>
    </w:p>
    <w:p w14:paraId="4EC9D74E" w14:textId="5FFF28E8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FROM actor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25;</w:t>
      </w:r>
      <w:proofErr w:type="gramEnd"/>
    </w:p>
    <w:p w14:paraId="7692C545" w14:textId="77777777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COMMIT;</w:t>
      </w:r>
      <w:proofErr w:type="gramEnd"/>
    </w:p>
    <w:p w14:paraId="3AAD66ED" w14:textId="63446E0C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Dirty Read</w:t>
      </w:r>
      <w:r w:rsidRPr="005F4457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can read data that is not yet committed.</w:t>
      </w:r>
    </w:p>
    <w:p w14:paraId="54C0D58F" w14:textId="77777777" w:rsidR="007126EC" w:rsidRPr="00FC108A" w:rsidRDefault="005F4457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Phantom Read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executes a query at time t1, and then it runs the same query at time t2, yielding</w:t>
      </w:r>
    </w:p>
    <w:p w14:paraId="6C479D02" w14:textId="04CDBF45" w:rsidR="005F4457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additional rows that satisfy the query.</w:t>
      </w:r>
    </w:p>
    <w:p w14:paraId="2AF4E185" w14:textId="77777777" w:rsidR="007126EC" w:rsidRPr="00FC108A" w:rsidRDefault="005F4457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Unrepeatable read</w:t>
      </w:r>
      <w:r w:rsidRPr="005F4457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reads a given row at time t1, and then it reads the same row at time t2,</w:t>
      </w:r>
    </w:p>
    <w:p w14:paraId="4717830E" w14:textId="77777777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yielding different results.</w:t>
      </w:r>
    </w:p>
    <w:p w14:paraId="6EB4CD37" w14:textId="35A2F180" w:rsidR="005F4457" w:rsidRPr="005F4457" w:rsidRDefault="005F4457" w:rsidP="007126EC">
      <w:pPr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Read Uncommitted – </w:t>
      </w:r>
      <w:r w:rsidRPr="005F4457">
        <w:rPr>
          <w:rFonts w:ascii="SouvenirStd-Light" w:hAnsi="SouvenirStd-Light" w:cs="SouvenirStd-Light"/>
          <w:sz w:val="14"/>
          <w:szCs w:val="14"/>
        </w:rPr>
        <w:t>Read Uncommitted is the lowest isolation level. In this level, transactions are not isolated from each other.</w:t>
      </w:r>
    </w:p>
    <w:p w14:paraId="5FCDFA0F" w14:textId="77777777" w:rsidR="000A42B9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Read Committed – </w:t>
      </w:r>
      <w:r w:rsidRPr="005F4457">
        <w:rPr>
          <w:rFonts w:ascii="SouvenirStd-Light" w:hAnsi="SouvenirStd-Light" w:cs="SouvenirStd-Light"/>
          <w:sz w:val="14"/>
          <w:szCs w:val="14"/>
        </w:rPr>
        <w:t xml:space="preserve">This isolation level guarantees that any data read is committed </w:t>
      </w:r>
      <w:proofErr w:type="gramStart"/>
      <w:r w:rsidRPr="005F4457">
        <w:rPr>
          <w:rFonts w:ascii="SouvenirStd-Light" w:hAnsi="SouvenirStd-Light" w:cs="SouvenirStd-Light"/>
          <w:sz w:val="14"/>
          <w:szCs w:val="14"/>
        </w:rPr>
        <w:t>at the moment</w:t>
      </w:r>
      <w:proofErr w:type="gramEnd"/>
      <w:r w:rsidRPr="005F4457">
        <w:rPr>
          <w:rFonts w:ascii="SouvenirStd-Light" w:hAnsi="SouvenirStd-Light" w:cs="SouvenirStd-Light"/>
          <w:sz w:val="14"/>
          <w:szCs w:val="14"/>
        </w:rPr>
        <w:t xml:space="preserve"> it is read. The transaction holds a read or write lock on the current row</w:t>
      </w:r>
    </w:p>
    <w:p w14:paraId="3B3C869E" w14:textId="77777777" w:rsidR="000A42B9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Repeatable Read – </w:t>
      </w:r>
      <w:r w:rsidRPr="005F4457">
        <w:rPr>
          <w:rFonts w:ascii="SouvenirStd-Light" w:hAnsi="SouvenirStd-Light" w:cs="SouvenirStd-Light"/>
          <w:sz w:val="14"/>
          <w:szCs w:val="14"/>
        </w:rPr>
        <w:t>This is the most restrictive isolation level. The transaction holds read locks on all rows it references and writes locks on all rows it inserts, updates, or deletes</w:t>
      </w:r>
    </w:p>
    <w:p w14:paraId="3FD9195C" w14:textId="102887B4" w:rsidR="005F4457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Serializable – </w:t>
      </w:r>
      <w:r w:rsidRPr="005F4457">
        <w:rPr>
          <w:rFonts w:ascii="SouvenirStd-Light" w:hAnsi="SouvenirStd-Light" w:cs="SouvenirStd-Light"/>
          <w:sz w:val="14"/>
          <w:szCs w:val="14"/>
        </w:rPr>
        <w:t>This is the Highest isolation level. Serializable execution is defined to be an execution of operations in which concurrently executing transactions appears to be serially executing.</w:t>
      </w:r>
    </w:p>
    <w:p w14:paraId="4E7013E1" w14:textId="1FD72282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Binary lock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Two states: locked (1) and unlocked (0)</w:t>
      </w:r>
    </w:p>
    <w:p w14:paraId="0A4AFC2C" w14:textId="0A47BB1A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Exclusive lock</w:t>
      </w:r>
      <w:r w:rsidRPr="000A42B9">
        <w:rPr>
          <w:rFonts w:ascii="SouvenirStd-Light" w:hAnsi="SouvenirStd-Light" w:cs="SouvenirStd-Light"/>
          <w:sz w:val="14"/>
          <w:szCs w:val="14"/>
        </w:rPr>
        <w:t xml:space="preserve"> (Write Lock)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Access is reserved for the transaction that locked the object</w:t>
      </w:r>
    </w:p>
    <w:p w14:paraId="438A9767" w14:textId="6242E885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Shared lock</w:t>
      </w:r>
      <w:r w:rsidRPr="000A42B9">
        <w:rPr>
          <w:rFonts w:ascii="SouvenirStd-Light" w:hAnsi="SouvenirStd-Light" w:cs="SouvenirStd-Light"/>
          <w:sz w:val="14"/>
          <w:szCs w:val="14"/>
        </w:rPr>
        <w:t xml:space="preserve"> (Read Lock)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 xml:space="preserve">Concurrent transactions are granted read access </w:t>
      </w:r>
      <w:proofErr w:type="gramStart"/>
      <w:r w:rsidRPr="000A42B9">
        <w:rPr>
          <w:rFonts w:ascii="SouvenirStd-Light" w:hAnsi="SouvenirStd-Light" w:cs="SouvenirStd-Light"/>
          <w:sz w:val="14"/>
          <w:szCs w:val="14"/>
        </w:rPr>
        <w:t>on the basis of</w:t>
      </w:r>
      <w:proofErr w:type="gramEnd"/>
      <w:r w:rsidRPr="000A42B9">
        <w:rPr>
          <w:rFonts w:ascii="SouvenirStd-Light" w:hAnsi="SouvenirStd-Light" w:cs="SouvenirStd-Light"/>
          <w:sz w:val="14"/>
          <w:szCs w:val="14"/>
        </w:rPr>
        <w:t xml:space="preserve"> a common lock</w:t>
      </w:r>
    </w:p>
    <w:p w14:paraId="3381B8F6" w14:textId="0C34AA50" w:rsidR="000A42B9" w:rsidRPr="00FC108A" w:rsidRDefault="000A42B9" w:rsidP="000A42B9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Deadlocks </w:t>
      </w:r>
      <w:r w:rsidRPr="000A42B9">
        <w:rPr>
          <w:rFonts w:ascii="SouvenirStd-Light" w:hAnsi="SouvenirStd-Light" w:cs="SouvenirStd-Light"/>
          <w:sz w:val="14"/>
          <w:szCs w:val="14"/>
        </w:rPr>
        <w:t>Occur when two transactions wait indefinitely for each other to unlock data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Also known as deadly embrace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Control techniques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prevention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detection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avoidance</w:t>
      </w: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 xml:space="preserve"> </w:t>
      </w:r>
    </w:p>
    <w:p w14:paraId="450F096B" w14:textId="463B1316" w:rsidR="00B876EC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scheduler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special DBMS process that establishes the order in which the operations are executed within</w:t>
      </w:r>
    </w:p>
    <w:p w14:paraId="5B767AA1" w14:textId="6357FA8C" w:rsidR="000A42B9" w:rsidRPr="00FC108A" w:rsidRDefault="00B876EC" w:rsidP="00B87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concurrent transactions</w:t>
      </w:r>
    </w:p>
    <w:p w14:paraId="43EBD032" w14:textId="77777777" w:rsidR="00B876EC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Italic" w:hAnsi="SouvenirStd-LightItalic" w:cs="SouvenirStd-LightItalic"/>
          <w:sz w:val="14"/>
          <w:szCs w:val="14"/>
        </w:rPr>
      </w:pPr>
      <w:r w:rsidRPr="00FC108A">
        <w:rPr>
          <w:rFonts w:ascii="SouvenirStd-LightItalic" w:hAnsi="SouvenirStd-LightItalic" w:cs="SouvenirStd-LightItalic"/>
          <w:sz w:val="14"/>
          <w:szCs w:val="14"/>
        </w:rPr>
        <w:t>The exclusive lock is granted</w:t>
      </w:r>
    </w:p>
    <w:p w14:paraId="4133B89B" w14:textId="2217044E" w:rsidR="000A42B9" w:rsidRPr="00FC108A" w:rsidRDefault="00B876EC" w:rsidP="00B876EC">
      <w:pPr>
        <w:rPr>
          <w:rFonts w:ascii="SouvenirStd-LightItalic" w:hAnsi="SouvenirStd-LightItalic" w:cs="SouvenirStd-LightItalic"/>
          <w:b/>
          <w:bCs/>
          <w:sz w:val="14"/>
          <w:szCs w:val="14"/>
        </w:rPr>
      </w:pPr>
      <w:r w:rsidRPr="00FC108A">
        <w:rPr>
          <w:rFonts w:ascii="SouvenirStd-LightItalic" w:hAnsi="SouvenirStd-LightItalic" w:cs="SouvenirStd-LightItalic"/>
          <w:sz w:val="14"/>
          <w:szCs w:val="14"/>
        </w:rPr>
        <w:t>if and only if no other locks are held on the data item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Mutual Exclusive rule</w:t>
      </w:r>
    </w:p>
    <w:p w14:paraId="597ED23B" w14:textId="77777777" w:rsidR="006B34EE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2 Phase Lock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 growing phase, in which a transaction acquires all required locks without unlocking any data.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2. A shrinking phase, in </w:t>
      </w:r>
    </w:p>
    <w:p w14:paraId="680CF1BC" w14:textId="73067336" w:rsidR="000A42B9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which a transaction releases all locks and cannot obtain a new lock.</w:t>
      </w:r>
    </w:p>
    <w:p w14:paraId="63357EE1" w14:textId="77777777" w:rsidR="007A4084" w:rsidRPr="00FC108A" w:rsidRDefault="007A4084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AAB1E6A" w14:textId="439D732E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prevention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 transaction requesting a new lock is aborted when there is the possibility that a deadlock</w:t>
      </w:r>
    </w:p>
    <w:p w14:paraId="19EEC7B2" w14:textId="0A58918B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can occur.</w:t>
      </w:r>
    </w:p>
    <w:p w14:paraId="72720E4E" w14:textId="04FBC3DB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detection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The DBMS periodically tests the database for deadlocks. If a deadlock is found, the</w:t>
      </w:r>
    </w:p>
    <w:p w14:paraId="1C9BA8DE" w14:textId="49956E04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victim transaction is aborted</w:t>
      </w:r>
    </w:p>
    <w:p w14:paraId="7D26D090" w14:textId="16517A3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avoidance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The transaction must obtain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all of</w:t>
      </w:r>
      <w:proofErr w:type="gramEnd"/>
      <w:r w:rsidRPr="00FC108A">
        <w:rPr>
          <w:rFonts w:ascii="SouvenirStd-Light" w:hAnsi="SouvenirStd-Light" w:cs="SouvenirStd-Light"/>
          <w:sz w:val="14"/>
          <w:szCs w:val="14"/>
        </w:rPr>
        <w:t xml:space="preserve"> the locks it needs before it can be executed.</w:t>
      </w:r>
    </w:p>
    <w:p w14:paraId="7CDD09F7" w14:textId="624BA03E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The choice of which deadlock control method to use depends on the database environment. For example, if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p</w:t>
      </w:r>
      <w:r w:rsidRPr="00FC108A">
        <w:rPr>
          <w:rFonts w:ascii="SouvenirStd-Light" w:hAnsi="SouvenirStd-Light" w:cs="SouvenirStd-Light"/>
          <w:sz w:val="14"/>
          <w:szCs w:val="14"/>
        </w:rPr>
        <w:t>robability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of deadlocks is low,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deadlock detection is recommended. if the probability of deadlocks is high,</w:t>
      </w:r>
    </w:p>
    <w:p w14:paraId="4EC99EB0" w14:textId="0018CAF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deadlock prevention is recommended. If response time is not high on the system’s priority list, deadlock avoidance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might be employed.</w:t>
      </w:r>
    </w:p>
    <w:p w14:paraId="522E4F80" w14:textId="77777777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29403DC6" w14:textId="30A68A6A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Time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stamps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must have two properties: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uniqueness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and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monotonicity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. 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Uniqueness </w:t>
      </w:r>
      <w:r w:rsidRPr="00FC108A">
        <w:rPr>
          <w:rFonts w:ascii="SouvenirStd-Light" w:hAnsi="SouvenirStd-Light" w:cs="SouvenirStd-Light"/>
          <w:sz w:val="14"/>
          <w:szCs w:val="14"/>
        </w:rPr>
        <w:t>ensures that no equal time stamp values</w:t>
      </w:r>
    </w:p>
    <w:p w14:paraId="4DD99299" w14:textId="55ACB41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can exist, and </w:t>
      </w:r>
      <w:r w:rsidRPr="00FC108A">
        <w:rPr>
          <w:rFonts w:ascii="SouvenirStd-Demi" w:hAnsi="SouvenirStd-Demi" w:cs="SouvenirStd-Demi"/>
          <w:sz w:val="14"/>
          <w:szCs w:val="14"/>
        </w:rPr>
        <w:t>monotonicity</w:t>
      </w:r>
      <w:r w:rsidRPr="00FC108A">
        <w:rPr>
          <w:rFonts w:ascii="SouvenirStd-Light" w:hAnsi="SouvenirStd-Light" w:cs="SouvenirStd-Light"/>
          <w:sz w:val="14"/>
          <w:szCs w:val="14"/>
        </w:rPr>
        <w:t>1 ensures that time stamp values always increase.</w:t>
      </w:r>
    </w:p>
    <w:p w14:paraId="4226DDCD" w14:textId="2A88DF2C" w:rsidR="005F4457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disadvantage of the time stamping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approach is that each value stored in the database requires two additional time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stamp fields: one for the last time the field was read and one for the last update. Time stamping thus increases memory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needs and processing OH</w:t>
      </w:r>
    </w:p>
    <w:p w14:paraId="5FE66C6E" w14:textId="7D784502" w:rsidR="005F4457" w:rsidRPr="005F4457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wait/die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scheme</w:t>
      </w:r>
      <w:r w:rsidRPr="00FC108A">
        <w:rPr>
          <w:rFonts w:ascii="SouvenirStd-Light" w:hAnsi="SouvenirStd-Light" w:cs="SouvenirStd-Light"/>
          <w:sz w:val="14"/>
          <w:szCs w:val="14"/>
        </w:rPr>
        <w:t>, the older transaction waits for the younger one to complete and release its locks.</w:t>
      </w:r>
    </w:p>
    <w:p w14:paraId="76F45279" w14:textId="36035B78" w:rsidR="005F4457" w:rsidRPr="005F4457" w:rsidRDefault="007A4084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wound/wait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scheme</w:t>
      </w:r>
      <w:r w:rsidRPr="00FC108A">
        <w:rPr>
          <w:rFonts w:ascii="SouvenirStd-Light" w:hAnsi="SouvenirStd-Light" w:cs="SouvenirStd-Light"/>
          <w:sz w:val="14"/>
          <w:szCs w:val="14"/>
        </w:rPr>
        <w:t>, the older transaction rolls back the younger transaction and reschedules it.</w:t>
      </w:r>
    </w:p>
    <w:p w14:paraId="50A73BA9" w14:textId="77777777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Using an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optimistic approach</w:t>
      </w:r>
      <w:r w:rsidRPr="00FC108A">
        <w:rPr>
          <w:rFonts w:ascii="SouvenirStd-Light" w:hAnsi="SouvenirStd-Light" w:cs="SouvenirStd-Light"/>
          <w:sz w:val="14"/>
          <w:szCs w:val="14"/>
        </w:rPr>
        <w:t>, each transaction moves through two or three phases,</w:t>
      </w:r>
    </w:p>
    <w:p w14:paraId="3AD9167F" w14:textId="277F2731" w:rsidR="005F4457" w:rsidRPr="00FC108A" w:rsidRDefault="007A4084" w:rsidP="007A408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referred to as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read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validation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and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write</w:t>
      </w:r>
    </w:p>
    <w:p w14:paraId="09BEB851" w14:textId="574ED7AE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write-ahead-log protocol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ensures that transaction logs are always written </w:t>
      </w:r>
      <w:r w:rsidRPr="00FC108A">
        <w:rPr>
          <w:rFonts w:ascii="SouvenirStd-LightItalic" w:hAnsi="SouvenirStd-LightItalic" w:cs="SouvenirStd-LightItalic"/>
          <w:i/>
          <w:iCs/>
          <w:sz w:val="14"/>
          <w:szCs w:val="14"/>
        </w:rPr>
        <w:t xml:space="preserve">before </w:t>
      </w:r>
      <w:r w:rsidRPr="00FC108A">
        <w:rPr>
          <w:rFonts w:ascii="SouvenirStd-Light" w:hAnsi="SouvenirStd-Light" w:cs="SouvenirStd-Light"/>
          <w:sz w:val="14"/>
          <w:szCs w:val="14"/>
        </w:rPr>
        <w:t>any database data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are updated</w:t>
      </w:r>
    </w:p>
    <w:p w14:paraId="74B1BDE2" w14:textId="1525F299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Redundant transaction logs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 that a physical disk failure will not</w:t>
      </w:r>
    </w:p>
    <w:p w14:paraId="7E90C243" w14:textId="77777777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impair the DBMS’s ability to recover data.</w:t>
      </w:r>
    </w:p>
    <w:p w14:paraId="6E7B0330" w14:textId="12798B24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Database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buffers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are temporary storage areas in primary memory used to speed up disk operations</w:t>
      </w:r>
    </w:p>
    <w:p w14:paraId="5BDB8EDC" w14:textId="5178F178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checkpoints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are operations in which the DBMS writes </w:t>
      </w:r>
      <w:proofErr w:type="gramStart"/>
      <w:r w:rsidRPr="00FC108A">
        <w:rPr>
          <w:rFonts w:ascii="SouvenirStd-Light" w:hAnsi="SouvenirStd-Light" w:cs="SouvenirStd-Light"/>
          <w:sz w:val="14"/>
          <w:szCs w:val="14"/>
        </w:rPr>
        <w:t>all of</w:t>
      </w:r>
      <w:proofErr w:type="gramEnd"/>
      <w:r w:rsidRPr="00FC108A">
        <w:rPr>
          <w:rFonts w:ascii="SouvenirStd-Light" w:hAnsi="SouvenirStd-Light" w:cs="SouvenirStd-Light"/>
          <w:sz w:val="14"/>
          <w:szCs w:val="14"/>
        </w:rPr>
        <w:t xml:space="preserve"> its updated buffers in memory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to disk.</w:t>
      </w:r>
    </w:p>
    <w:p w14:paraId="013DD33C" w14:textId="16D9486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</w:t>
      </w:r>
      <w:r w:rsidRPr="00FC108A">
        <w:rPr>
          <w:rFonts w:ascii="SouvenirStd-Light" w:hAnsi="SouvenirStd-Light" w:cs="SouvenirStd-Light"/>
          <w:sz w:val="14"/>
          <w:szCs w:val="14"/>
        </w:rPr>
        <w:t>heckpoints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that are too frequent would affect transaction performance; too infrequent would affect</w:t>
      </w:r>
    </w:p>
    <w:p w14:paraId="27D46F79" w14:textId="28BBDDF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 recovery performance</w:t>
      </w:r>
    </w:p>
    <w:p w14:paraId="082AA67F" w14:textId="44ABEEB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When the recovery procedure uses a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deferred-write technique</w:t>
      </w:r>
      <w:r w:rsidRPr="00FC108A">
        <w:rPr>
          <w:rFonts w:ascii="SouvenirStd-Light" w:hAnsi="SouvenirStd-Light" w:cs="SouvenirStd-Light"/>
          <w:sz w:val="14"/>
          <w:szCs w:val="14"/>
        </w:rPr>
        <w:t>, the transaction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operations do not immediately update the physical database. Instead, only the transaction log is updated.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When the recovery procedure uses a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write-through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technique</w:t>
      </w:r>
      <w:r w:rsidRPr="00FC108A">
        <w:rPr>
          <w:rFonts w:ascii="SouvenirStd-Light" w:hAnsi="SouvenirStd-Light" w:cs="SouvenirStd-Light"/>
          <w:sz w:val="14"/>
          <w:szCs w:val="14"/>
        </w:rPr>
        <w:t>, the database is</w:t>
      </w:r>
    </w:p>
    <w:p w14:paraId="4A3FA6FF" w14:textId="289C23D3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immediately updated even before the transaction reaches</w:t>
      </w:r>
      <w:r w:rsidR="006B34EE"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its commit point.</w:t>
      </w:r>
    </w:p>
    <w:p w14:paraId="0917235B" w14:textId="57B41B65" w:rsidR="006B34EE" w:rsidRPr="00FC108A" w:rsidRDefault="006B34EE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338BDA84" w14:textId="05B50A3B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 warehouse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an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integrated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subject-oriented</w:t>
      </w:r>
      <w:r w:rsidRPr="00FC108A">
        <w:rPr>
          <w:rFonts w:ascii="SouvenirStd-Light" w:hAnsi="SouvenirStd-Light" w:cs="SouvenirStd-Light"/>
          <w:sz w:val="14"/>
          <w:szCs w:val="14"/>
        </w:rPr>
        <w:t>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time-variant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nonvolatile </w:t>
      </w:r>
      <w:r w:rsidRPr="00FC108A">
        <w:rPr>
          <w:rFonts w:ascii="SouvenirStd-Light" w:hAnsi="SouvenirStd-Light" w:cs="SouvenirStd-Light"/>
          <w:sz w:val="14"/>
          <w:szCs w:val="14"/>
        </w:rPr>
        <w:t>collection of data that provides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support for decision making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. </w:t>
      </w:r>
      <w:r w:rsidRPr="00FC108A">
        <w:rPr>
          <w:rFonts w:ascii="SouvenirStd-Light" w:hAnsi="SouvenirStd-Light" w:cs="SouvenirStd-Light"/>
          <w:sz w:val="14"/>
          <w:szCs w:val="14"/>
        </w:rPr>
        <w:t>the data warehouse is a read-only database optimized for data analysis and query processing</w:t>
      </w:r>
    </w:p>
    <w:p w14:paraId="0D561B9B" w14:textId="77777777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08403871" w14:textId="77777777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star schema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data-modeling technique used to map multidimensional decision support data into a relational</w:t>
      </w:r>
    </w:p>
    <w:p w14:paraId="3F6DEBFF" w14:textId="3B6DB631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database.</w:t>
      </w:r>
    </w:p>
    <w:p w14:paraId="05492400" w14:textId="77777777" w:rsidR="003324EB" w:rsidRPr="00FC108A" w:rsidRDefault="006B34EE" w:rsidP="003324EB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Facts are normally stored in a fact table that is the center of the star schema.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fact table </w:t>
      </w:r>
      <w:r w:rsidRPr="00FC108A">
        <w:rPr>
          <w:rFonts w:ascii="SouvenirStd-Light" w:hAnsi="SouvenirStd-Light" w:cs="SouvenirStd-Light"/>
          <w:sz w:val="14"/>
          <w:szCs w:val="14"/>
        </w:rPr>
        <w:t>contains facts that are linked through their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dimensions</w:t>
      </w:r>
      <w:r w:rsidR="003324EB" w:rsidRPr="00FC108A">
        <w:rPr>
          <w:rFonts w:ascii="SouvenirStd-Light" w:hAnsi="SouvenirStd-Light" w:cs="SouvenirStd-Light"/>
          <w:sz w:val="14"/>
          <w:szCs w:val="14"/>
        </w:rPr>
        <w:t xml:space="preserve">.  </w:t>
      </w:r>
      <w:r w:rsidR="003324EB" w:rsidRPr="00FC108A">
        <w:rPr>
          <w:rFonts w:ascii="SouvenirStd-Light" w:hAnsi="SouvenirStd-Light" w:cs="SouvenirStd-Light"/>
          <w:sz w:val="14"/>
          <w:szCs w:val="14"/>
        </w:rPr>
        <w:t>The fact table is related</w:t>
      </w:r>
    </w:p>
    <w:p w14:paraId="7AF34812" w14:textId="5E2084F6" w:rsidR="006B34EE" w:rsidRPr="00FC108A" w:rsidRDefault="003324EB" w:rsidP="003324EB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to each dimension table in a many-to-one (M:1) relationship.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Because the fact table is related to many dimension tables, the primary key of the fact table is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a composite primary key</w:t>
      </w:r>
    </w:p>
    <w:p w14:paraId="5FB50C43" w14:textId="77777777" w:rsidR="003324EB" w:rsidRPr="00FC108A" w:rsidRDefault="003324EB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6582696D" w14:textId="2AD34356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Demi" w:hAnsi="SouvenirStd-Demi" w:cs="SouvenirStd-Demi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ability to focus on slices of the cube to perform a more detailed analysis is known as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slice and dice</w:t>
      </w:r>
    </w:p>
    <w:p w14:paraId="05CB0DCB" w14:textId="77777777" w:rsidR="00B21EFD" w:rsidRPr="00FC108A" w:rsidRDefault="00B21EFD" w:rsidP="006B34EE">
      <w:pPr>
        <w:autoSpaceDE w:val="0"/>
        <w:autoSpaceDN w:val="0"/>
        <w:adjustRightInd w:val="0"/>
        <w:spacing w:after="0" w:line="240" w:lineRule="auto"/>
        <w:rPr>
          <w:rFonts w:ascii="SouvenirStd-Demi" w:hAnsi="SouvenirStd-Demi" w:cs="SouvenirStd-Demi"/>
          <w:b/>
          <w:bCs/>
          <w:sz w:val="14"/>
          <w:szCs w:val="14"/>
        </w:rPr>
      </w:pPr>
    </w:p>
    <w:p w14:paraId="30CC2FB9" w14:textId="05AB138D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ODBC, OLE-DB, and ADO.NET form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backbone of Microsoft’s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Universal Data Access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(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UDA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architecture,</w:t>
      </w:r>
    </w:p>
    <w:p w14:paraId="1B268786" w14:textId="0F19B6FB" w:rsidR="003324EB" w:rsidRPr="00FC108A" w:rsidRDefault="003324EB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5269096" w14:textId="77777777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 Access Objects (DAO)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an object-oriented API used to access MS Access, MS FoxPro, and dBase</w:t>
      </w:r>
    </w:p>
    <w:p w14:paraId="688D7BD8" w14:textId="23A266BB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databases (using the Jet data engine) from Visual Basic programs</w:t>
      </w:r>
    </w:p>
    <w:p w14:paraId="284BE0D0" w14:textId="77777777" w:rsidR="00FC108A" w:rsidRPr="00FC108A" w:rsidRDefault="00FC108A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6B0C0854" w14:textId="77777777" w:rsidR="00FC108A" w:rsidRP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Remote Data Objects (RDO)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higher-level, object-oriented application interface used to access remote</w:t>
      </w:r>
    </w:p>
    <w:p w14:paraId="05E3492E" w14:textId="3C999D9F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 servers.</w:t>
      </w:r>
    </w:p>
    <w:p w14:paraId="6C40B5D9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721DC40" w14:textId="098D44EA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>ODBC, DAO, and RDO are implemented as shared code that is dynamically linked</w:t>
      </w:r>
      <w:r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 xml:space="preserve">to the Windows operating environment through 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 xml:space="preserve">dynamic-link libraries 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(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>DLLs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)</w:t>
      </w:r>
      <w:r>
        <w:rPr>
          <w:rFonts w:ascii="SouvenirStd-Light" w:hAnsi="SouvenirStd-Light" w:cs="SouvenirStd-Light"/>
          <w:sz w:val="18"/>
          <w:szCs w:val="18"/>
        </w:rPr>
        <w:t>, which are stored as files with a .</w:t>
      </w:r>
      <w:proofErr w:type="spellStart"/>
      <w:r>
        <w:rPr>
          <w:rFonts w:ascii="SouvenirStd-Light" w:hAnsi="SouvenirStd-Light" w:cs="SouvenirStd-Light"/>
          <w:sz w:val="18"/>
          <w:szCs w:val="18"/>
        </w:rPr>
        <w:t>dll</w:t>
      </w:r>
      <w:proofErr w:type="spellEnd"/>
      <w:r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>extension</w:t>
      </w:r>
    </w:p>
    <w:p w14:paraId="0B997AE3" w14:textId="7E0B7C82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</w:p>
    <w:p w14:paraId="13F15B03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>The basic ODBC architecture has three main components:</w:t>
      </w:r>
    </w:p>
    <w:p w14:paraId="19B47BBE" w14:textId="2AC211E6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 high-level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ODBC API </w:t>
      </w:r>
      <w:r>
        <w:rPr>
          <w:rFonts w:ascii="SouvenirStd-Light" w:hAnsi="SouvenirStd-Light" w:cs="SouvenirStd-Light"/>
          <w:sz w:val="18"/>
          <w:szCs w:val="18"/>
        </w:rPr>
        <w:t>through which application programs access ODBC functionality</w:t>
      </w:r>
    </w:p>
    <w:p w14:paraId="62D37BC2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driver manager </w:t>
      </w:r>
      <w:r>
        <w:rPr>
          <w:rFonts w:ascii="SouvenirStd-Light" w:hAnsi="SouvenirStd-Light" w:cs="SouvenirStd-Light"/>
          <w:sz w:val="18"/>
          <w:szCs w:val="18"/>
        </w:rPr>
        <w:t xml:space="preserve">that </w:t>
      </w:r>
      <w:proofErr w:type="gramStart"/>
      <w:r>
        <w:rPr>
          <w:rFonts w:ascii="SouvenirStd-Light" w:hAnsi="SouvenirStd-Light" w:cs="SouvenirStd-Light"/>
          <w:sz w:val="18"/>
          <w:szCs w:val="18"/>
        </w:rPr>
        <w:t>is in charge of</w:t>
      </w:r>
      <w:proofErr w:type="gramEnd"/>
      <w:r>
        <w:rPr>
          <w:rFonts w:ascii="SouvenirStd-Light" w:hAnsi="SouvenirStd-Light" w:cs="SouvenirStd-Light"/>
          <w:sz w:val="18"/>
          <w:szCs w:val="18"/>
        </w:rPr>
        <w:t xml:space="preserve"> managing all database connections</w:t>
      </w:r>
    </w:p>
    <w:p w14:paraId="448A6511" w14:textId="663FBE74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An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ODBC driver </w:t>
      </w:r>
      <w:r>
        <w:rPr>
          <w:rFonts w:ascii="SouvenirStd-Light" w:hAnsi="SouvenirStd-Light" w:cs="SouvenirStd-Light"/>
          <w:sz w:val="18"/>
          <w:szCs w:val="18"/>
        </w:rPr>
        <w:t>that communicates directly to the DBMS</w:t>
      </w:r>
    </w:p>
    <w:p w14:paraId="12A04F63" w14:textId="28EEA878" w:rsidR="00FC108A" w:rsidRP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>
        <w:rPr>
          <w:rFonts w:ascii="SouvenirStd-Light" w:hAnsi="SouvenirStd-Light" w:cs="SouvenirStd-Light"/>
          <w:sz w:val="18"/>
          <w:szCs w:val="18"/>
        </w:rPr>
        <w:t xml:space="preserve">Defining a data source is the first step in using ODBC. To define a data source, you must create a 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 xml:space="preserve">data source name 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(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>DSN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)</w:t>
      </w:r>
      <w:r>
        <w:rPr>
          <w:rFonts w:ascii="SouvenirStd-Light" w:hAnsi="SouvenirStd-Light" w:cs="SouvenirStd-Light"/>
          <w:b/>
          <w:bCs/>
          <w:sz w:val="18"/>
          <w:szCs w:val="18"/>
        </w:rPr>
        <w:t xml:space="preserve"> </w:t>
      </w:r>
      <w:r w:rsidRPr="00FC108A">
        <w:rPr>
          <w:rFonts w:ascii="SouvenirStd-Light" w:hAnsi="SouvenirStd-Light" w:cs="SouvenirStd-Light"/>
          <w:sz w:val="18"/>
          <w:szCs w:val="18"/>
        </w:rPr>
        <w:t>to create</w:t>
      </w:r>
      <w:r>
        <w:rPr>
          <w:rFonts w:ascii="SouvenirStd-Light" w:hAnsi="SouvenirStd-Light" w:cs="SouvenirStd-Light"/>
          <w:sz w:val="18"/>
          <w:szCs w:val="18"/>
        </w:rPr>
        <w:t xml:space="preserve"> one you need to provide an ODBC driver, a name, and ODBC driver parameters</w:t>
      </w:r>
    </w:p>
    <w:sectPr w:rsidR="00FC108A" w:rsidRPr="00FC108A" w:rsidSect="007A4084">
      <w:pgSz w:w="12240" w:h="15840"/>
      <w:pgMar w:top="0" w:right="0" w:bottom="0" w:left="0" w:header="720" w:footer="720" w:gutter="0"/>
      <w:cols w:num="4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venir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venirStd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venirStd-Light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7EB8"/>
    <w:multiLevelType w:val="hybridMultilevel"/>
    <w:tmpl w:val="79FC222C"/>
    <w:lvl w:ilvl="0" w:tplc="33E0A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344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BE6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0E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282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549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0E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2A8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22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6627AF"/>
    <w:multiLevelType w:val="hybridMultilevel"/>
    <w:tmpl w:val="4D12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7B5"/>
    <w:multiLevelType w:val="hybridMultilevel"/>
    <w:tmpl w:val="2E200FC8"/>
    <w:lvl w:ilvl="0" w:tplc="D7EAE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A6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A3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2C9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F22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A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0E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82C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0B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996AB2"/>
    <w:multiLevelType w:val="hybridMultilevel"/>
    <w:tmpl w:val="1848DCEA"/>
    <w:lvl w:ilvl="0" w:tplc="9BA80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028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60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A2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85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CF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0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AB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406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B1709"/>
    <w:multiLevelType w:val="hybridMultilevel"/>
    <w:tmpl w:val="ED80010E"/>
    <w:lvl w:ilvl="0" w:tplc="D8FC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BC6B8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E629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10D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E6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84B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6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BA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05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C7671A"/>
    <w:multiLevelType w:val="hybridMultilevel"/>
    <w:tmpl w:val="4C1A11B8"/>
    <w:lvl w:ilvl="0" w:tplc="15C0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46D5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2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827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3A8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EA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4A8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8F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9C"/>
    <w:rsid w:val="000A42B9"/>
    <w:rsid w:val="003324EB"/>
    <w:rsid w:val="005F4457"/>
    <w:rsid w:val="0068029C"/>
    <w:rsid w:val="006B34EE"/>
    <w:rsid w:val="007126EC"/>
    <w:rsid w:val="007A4084"/>
    <w:rsid w:val="007A4915"/>
    <w:rsid w:val="008A65C4"/>
    <w:rsid w:val="00953523"/>
    <w:rsid w:val="00B21EFD"/>
    <w:rsid w:val="00B876EC"/>
    <w:rsid w:val="00F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77A9"/>
  <w15:chartTrackingRefBased/>
  <w15:docId w15:val="{1AC1F03E-CC94-492B-B77D-9496BD6D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74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972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453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337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05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088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517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79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8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61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22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6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05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7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51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2</cp:revision>
  <dcterms:created xsi:type="dcterms:W3CDTF">2020-11-24T07:02:00Z</dcterms:created>
  <dcterms:modified xsi:type="dcterms:W3CDTF">2020-11-24T07:02:00Z</dcterms:modified>
</cp:coreProperties>
</file>