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6F412">
      <w:pPr>
        <w:jc w:val="center"/>
      </w:pPr>
      <w:r>
        <w:rPr>
          <w:rFonts w:ascii="Prima Serif Std Roman" w:hAnsi="Prima Serif Std Roman" w:eastAsia="Prima Serif Std Roman"/>
          <w:b/>
          <w:sz w:val="40"/>
        </w:rPr>
        <w:t>Fluent 仿真数据采集与五项研究指标计算报告</w:t>
      </w:r>
    </w:p>
    <w:p w14:paraId="15631CDC">
      <w:pPr>
        <w:jc w:val="center"/>
      </w:pPr>
      <w:r>
        <w:rPr>
          <w:rFonts w:ascii="Prima Serif Std Roman" w:hAnsi="Prima Serif Std Roman" w:eastAsia="Prima Serif Std Roman"/>
          <w:sz w:val="26"/>
        </w:rPr>
        <w:t>面向液氧甲烷发动机喷注器优化设计的后处理方案</w:t>
      </w:r>
    </w:p>
    <w:p w14:paraId="32199F9A">
      <w:bookmarkStart w:id="0" w:name="_GoBack"/>
      <w:bookmarkEnd w:id="0"/>
    </w:p>
    <w:p w14:paraId="71BE89A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0BE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0176E43C">
            <w:pPr>
              <w:spacing w:after="0"/>
            </w:pPr>
            <w:r>
              <w:rPr>
                <w:rFonts w:ascii="Prima Serif Std Roman" w:hAnsi="Prima Serif Std Roman" w:eastAsia="Prima Serif Std Roman"/>
                <w:b/>
                <w:sz w:val="18"/>
              </w:rPr>
              <w:t>项目</w:t>
            </w:r>
          </w:p>
        </w:tc>
        <w:tc>
          <w:tcPr>
            <w:tcW w:w="6803" w:type="dxa"/>
            <w:shd w:val="clear" w:color="auto" w:fill="D9EAF7"/>
            <w:vAlign w:val="center"/>
          </w:tcPr>
          <w:p w14:paraId="29F5CC04">
            <w:pPr>
              <w:spacing w:after="0"/>
            </w:pPr>
            <w:r>
              <w:rPr>
                <w:rFonts w:ascii="Prima Serif Std Roman" w:hAnsi="Prima Serif Std Roman" w:eastAsia="Prima Serif Std Roman"/>
                <w:b/>
                <w:sz w:val="18"/>
              </w:rPr>
              <w:t>内容</w:t>
            </w:r>
          </w:p>
        </w:tc>
      </w:tr>
      <w:tr w14:paraId="4D40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137AC7D7">
            <w:pPr>
              <w:spacing w:after="0"/>
            </w:pPr>
            <w:r>
              <w:rPr>
                <w:rFonts w:ascii="Prima Serif Std Roman" w:hAnsi="Prima Serif Std Roman" w:eastAsia="Prima Serif Std Roman"/>
                <w:b w:val="0"/>
                <w:sz w:val="18"/>
              </w:rPr>
              <w:t>研究对象</w:t>
            </w:r>
          </w:p>
        </w:tc>
        <w:tc>
          <w:tcPr>
            <w:tcW w:w="6803" w:type="dxa"/>
            <w:vAlign w:val="top"/>
          </w:tcPr>
          <w:p w14:paraId="744C8E91">
            <w:pPr>
              <w:spacing w:after="0"/>
            </w:pPr>
            <w:r>
              <w:rPr>
                <w:rFonts w:ascii="Prima Serif Std Roman" w:hAnsi="Prima Serif Std Roman" w:eastAsia="Prima Serif Std Roman"/>
                <w:b w:val="0"/>
                <w:sz w:val="18"/>
              </w:rPr>
              <w:t>液氧/甲烷推力室及直流式双流体同轴喷注器算例</w:t>
            </w:r>
          </w:p>
        </w:tc>
      </w:tr>
      <w:tr w14:paraId="1148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E65EBF0">
            <w:pPr>
              <w:spacing w:after="0"/>
            </w:pPr>
            <w:r>
              <w:rPr>
                <w:rFonts w:ascii="Prima Serif Std Roman" w:hAnsi="Prima Serif Std Roman" w:eastAsia="Prima Serif Std Roman"/>
                <w:b w:val="0"/>
                <w:sz w:val="18"/>
              </w:rPr>
              <w:t>软件环境</w:t>
            </w:r>
          </w:p>
        </w:tc>
        <w:tc>
          <w:tcPr>
            <w:tcW w:w="6803" w:type="dxa"/>
            <w:vAlign w:val="top"/>
          </w:tcPr>
          <w:p w14:paraId="0C10CE04">
            <w:pPr>
              <w:spacing w:after="0"/>
            </w:pPr>
            <w:r>
              <w:rPr>
                <w:rFonts w:ascii="Prima Serif Std Roman" w:hAnsi="Prima Serif Std Roman" w:eastAsia="Prima Serif Std Roman"/>
                <w:b w:val="0"/>
                <w:sz w:val="18"/>
              </w:rPr>
              <w:t>ANSYS Fluent；建议结合 PyFluent 或 Fluent Journal 进行自动化后处理</w:t>
            </w:r>
          </w:p>
        </w:tc>
      </w:tr>
      <w:tr w14:paraId="24C3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4741EDB8">
            <w:pPr>
              <w:spacing w:after="0"/>
            </w:pPr>
            <w:r>
              <w:rPr>
                <w:rFonts w:ascii="Prima Serif Std Roman" w:hAnsi="Prima Serif Std Roman" w:eastAsia="Prima Serif Std Roman"/>
                <w:b w:val="0"/>
                <w:sz w:val="18"/>
              </w:rPr>
              <w:t>目标输出</w:t>
            </w:r>
          </w:p>
        </w:tc>
        <w:tc>
          <w:tcPr>
            <w:tcW w:w="6803" w:type="dxa"/>
            <w:vAlign w:val="top"/>
          </w:tcPr>
          <w:p w14:paraId="65DF4924">
            <w:pPr>
              <w:spacing w:after="0"/>
            </w:pPr>
            <w:r>
              <w:rPr>
                <w:rFonts w:ascii="Prima Serif Std Roman" w:hAnsi="Prima Serif Std Roman" w:eastAsia="Prima Serif Std Roman"/>
                <w:b w:val="0"/>
                <w:sz w:val="18"/>
              </w:rPr>
              <w:t>Isp、ηc、φ̄/σφ、Twall、Tmax 五类指标及其伴随质量控制数据</w:t>
            </w:r>
          </w:p>
        </w:tc>
      </w:tr>
      <w:tr w14:paraId="4D54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4B859E0">
            <w:pPr>
              <w:spacing w:after="0"/>
            </w:pPr>
            <w:r>
              <w:rPr>
                <w:rFonts w:ascii="Prima Serif Std Roman" w:hAnsi="Prima Serif Std Roman" w:eastAsia="Prima Serif Std Roman"/>
                <w:b w:val="0"/>
                <w:sz w:val="18"/>
              </w:rPr>
              <w:t>数据用途</w:t>
            </w:r>
          </w:p>
        </w:tc>
        <w:tc>
          <w:tcPr>
            <w:tcW w:w="6803" w:type="dxa"/>
            <w:vAlign w:val="top"/>
          </w:tcPr>
          <w:p w14:paraId="016D32D1">
            <w:pPr>
              <w:spacing w:after="0"/>
            </w:pPr>
            <w:r>
              <w:rPr>
                <w:rFonts w:ascii="Prima Serif Std Roman" w:hAnsi="Prima Serif Std Roman" w:eastAsia="Prima Serif Std Roman"/>
                <w:b w:val="0"/>
                <w:sz w:val="18"/>
              </w:rPr>
              <w:t>构建喷注器几何参数到性能/热负荷/混合均匀性的代理模型训练标签</w:t>
            </w:r>
          </w:p>
        </w:tc>
      </w:tr>
    </w:tbl>
    <w:p w14:paraId="0EB038DD"/>
    <w:p w14:paraId="4EA20779">
      <w:pPr>
        <w:jc w:val="both"/>
      </w:pPr>
      <w:r>
        <w:t>资料依据：本报告依据《基于深度学习方法的液氧甲烷发动机喷注器优化设计研究（中期报告）》中第 2.1.2 节“研究指标”、第 2.2 节“技术路径”及第 3.3 节“液氧甲烷发动机燃烧仿真”的定义和模型设置撰写。</w:t>
      </w:r>
    </w:p>
    <w:p w14:paraId="6DEAAA46">
      <w:r>
        <w:br w:type="page"/>
      </w:r>
    </w:p>
    <w:p w14:paraId="6DBC265A">
      <w:pPr>
        <w:pStyle w:val="3"/>
      </w:pPr>
      <w:r>
        <w:t>目录</w:t>
      </w:r>
    </w:p>
    <w:p w14:paraId="50284A32">
      <w:r>
        <w:t>1 目的、指标来源与基本假设</w:t>
      </w:r>
    </w:p>
    <w:p w14:paraId="0710F291">
      <w:r>
        <w:t>2 Fluent 中需要预先命名的面、体和场变量</w:t>
      </w:r>
    </w:p>
    <w:p w14:paraId="3948EF09">
      <w:r>
        <w:t>3 通用后处理流程与数据文件组织</w:t>
      </w:r>
    </w:p>
    <w:p w14:paraId="2AB94E64">
      <w:r>
        <w:t>4 五项研究指标的数据采集与计算方法</w:t>
      </w:r>
    </w:p>
    <w:p w14:paraId="47142E16">
      <w:r>
        <w:t>5 自动化实施建议：Fluent / PyFluent 后处理任务拆分</w:t>
      </w:r>
    </w:p>
    <w:p w14:paraId="27657921">
      <w:r>
        <w:t>6 计算结果检查、收敛判据与异常处理</w:t>
      </w:r>
    </w:p>
    <w:p w14:paraId="6AA33679">
      <w:r>
        <w:t>7 推荐输出数据表结构</w:t>
      </w:r>
    </w:p>
    <w:p w14:paraId="38B4EAA7">
      <w:r>
        <w:t>8 结论</w:t>
      </w:r>
    </w:p>
    <w:p w14:paraId="450371B7">
      <w:r>
        <w:t>附录 A：单算例后处理伪代码</w:t>
      </w:r>
    </w:p>
    <w:p w14:paraId="4190E23E">
      <w:r>
        <w:t>附录 B：常见错误及修正方式</w:t>
      </w:r>
    </w:p>
    <w:p w14:paraId="7101EA4D">
      <w:r>
        <w:br w:type="page"/>
      </w:r>
    </w:p>
    <w:p w14:paraId="2D61060A">
      <w:pPr>
        <w:pStyle w:val="3"/>
      </w:pPr>
      <w:r>
        <w:t>1 目的、指标来源与基本假设</w:t>
      </w:r>
    </w:p>
    <w:p w14:paraId="7EADEF57">
      <w:r>
        <w:t>本报告的目的，是把 Fluent 求解得到的流场结果转化为可用于喷注器优化设计的数据标签。由于研究对象为液氧甲烷推力室，喷注器结构变化会同时影响喷注动量分布、混合均匀性、燃烧热释放、出口动量通量以及壁面热负荷，因此后处理不能只导出单一温度或压力量，而应建立一套面向多目标优化的标准化数据采集与计算流程。</w:t>
      </w:r>
    </w:p>
    <w:p w14:paraId="124ACF8B">
      <w:r>
        <w:t>中期报告已明确五类研究指标：比冲 Isp、燃烧效率 ηc、等效混合比 φ(x) 及其在燃烧区域内的统计量、推力室壁面平均温度 Twall、推力室壁面最大温度 Tmax。其中 Isp 用于表征推进剂利用效率，ηc 用于表征化学能释放程度，φ̄ 与 σφ 用于表征混合比水平和混合均匀性，Twall 与 Tmax 用于表征总体热负荷与局部热结构风险。</w:t>
      </w:r>
    </w:p>
    <w:p w14:paraId="77A1D1C3">
      <w:pPr>
        <w:pStyle w:val="164"/>
      </w:pPr>
      <w:r>
        <w:rPr>
          <w:rFonts w:ascii="Prima Serif Std Roman" w:hAnsi="Prima Serif Std Roman" w:eastAsia="Prima Serif Std Roman"/>
          <w:sz w:val="21"/>
        </w:rPr>
        <w:t>I_sp = F / (m_dot * g0)</w:t>
      </w:r>
    </w:p>
    <w:p w14:paraId="087F3E06">
      <w:pPr>
        <w:pStyle w:val="164"/>
      </w:pPr>
      <w:r>
        <w:rPr>
          <w:rFonts w:ascii="Prima Serif Std Roman" w:hAnsi="Prima Serif Std Roman" w:eastAsia="Prima Serif Std Roman"/>
          <w:sz w:val="21"/>
        </w:rPr>
        <w:t>eta_c = E_actual / E_theoretical</w:t>
      </w:r>
    </w:p>
    <w:p w14:paraId="122192D4">
      <w:pPr>
        <w:pStyle w:val="164"/>
      </w:pPr>
      <w:r>
        <w:rPr>
          <w:rFonts w:ascii="Prima Serif Std Roman" w:hAnsi="Prima Serif Std Roman" w:eastAsia="Prima Serif Std Roman"/>
          <w:sz w:val="21"/>
        </w:rPr>
        <w:t>phi(x) = (O/F)_actual / (O/F)_stoich = (Y_ox / Y_fuel) / 4</w:t>
      </w:r>
    </w:p>
    <w:p w14:paraId="5ADF463B">
      <w:pPr>
        <w:pStyle w:val="165"/>
      </w:pPr>
      <w:r>
        <w:rPr>
          <w:i/>
          <w:sz w:val="18"/>
        </w:rPr>
        <w:t>说明：中期报告给出液氧甲烷化学计量混合比 (O/F)stoich = 4，并指出实际工程中可采用富燃设计以降低燃烧温度和热风险。因此 φ=1 并不必然是本课题的最优目标，实际优化中更应关注设计约束下的 φ̄ 区间和 σφ 最小化。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402"/>
        <w:gridCol w:w="2268"/>
      </w:tblGrid>
      <w:tr w14:paraId="7199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17" w:type="dxa"/>
            <w:shd w:val="clear" w:color="auto" w:fill="D9EAF7"/>
            <w:vAlign w:val="center"/>
          </w:tcPr>
          <w:p w14:paraId="5AD1000E">
            <w:pPr>
              <w:spacing w:after="0"/>
            </w:pPr>
            <w:r>
              <w:rPr>
                <w:rFonts w:ascii="Prima Serif Std Roman" w:hAnsi="Prima Serif Std Roman" w:eastAsia="Prima Serif Std Roman"/>
                <w:b/>
                <w:sz w:val="18"/>
              </w:rPr>
              <w:t>指标</w:t>
            </w:r>
          </w:p>
        </w:tc>
        <w:tc>
          <w:tcPr>
            <w:tcW w:w="1984" w:type="dxa"/>
            <w:shd w:val="clear" w:color="auto" w:fill="D9EAF7"/>
            <w:vAlign w:val="center"/>
          </w:tcPr>
          <w:p w14:paraId="3CDBC541">
            <w:pPr>
              <w:spacing w:after="0"/>
            </w:pPr>
            <w:r>
              <w:rPr>
                <w:rFonts w:ascii="Prima Serif Std Roman" w:hAnsi="Prima Serif Std Roman" w:eastAsia="Prima Serif Std Roman"/>
                <w:b/>
                <w:sz w:val="18"/>
              </w:rPr>
              <w:t>优化方向</w:t>
            </w:r>
          </w:p>
        </w:tc>
        <w:tc>
          <w:tcPr>
            <w:tcW w:w="3402" w:type="dxa"/>
            <w:shd w:val="clear" w:color="auto" w:fill="D9EAF7"/>
            <w:vAlign w:val="center"/>
          </w:tcPr>
          <w:p w14:paraId="1AB11DC6">
            <w:pPr>
              <w:spacing w:after="0"/>
            </w:pPr>
            <w:r>
              <w:rPr>
                <w:rFonts w:ascii="Prima Serif Std Roman" w:hAnsi="Prima Serif Std Roman" w:eastAsia="Prima Serif Std Roman"/>
                <w:b/>
                <w:sz w:val="18"/>
              </w:rPr>
              <w:t>核心数据源</w:t>
            </w:r>
          </w:p>
        </w:tc>
        <w:tc>
          <w:tcPr>
            <w:tcW w:w="2268" w:type="dxa"/>
            <w:shd w:val="clear" w:color="auto" w:fill="D9EAF7"/>
            <w:vAlign w:val="center"/>
          </w:tcPr>
          <w:p w14:paraId="57A305D9">
            <w:pPr>
              <w:spacing w:after="0"/>
            </w:pPr>
            <w:r>
              <w:rPr>
                <w:rFonts w:ascii="Prima Serif Std Roman" w:hAnsi="Prima Serif Std Roman" w:eastAsia="Prima Serif Std Roman"/>
                <w:b/>
                <w:sz w:val="18"/>
              </w:rPr>
              <w:t>用途</w:t>
            </w:r>
          </w:p>
        </w:tc>
      </w:tr>
      <w:tr w14:paraId="002D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4BC09D23">
            <w:pPr>
              <w:spacing w:after="0"/>
            </w:pPr>
            <w:r>
              <w:rPr>
                <w:rFonts w:ascii="Prima Serif Std Roman" w:hAnsi="Prima Serif Std Roman" w:eastAsia="Prima Serif Std Roman"/>
                <w:b w:val="0"/>
                <w:sz w:val="18"/>
              </w:rPr>
              <w:t>Isp</w:t>
            </w:r>
          </w:p>
        </w:tc>
        <w:tc>
          <w:tcPr>
            <w:tcW w:w="1984" w:type="dxa"/>
            <w:vAlign w:val="top"/>
          </w:tcPr>
          <w:p w14:paraId="1874D1AF">
            <w:pPr>
              <w:spacing w:after="0"/>
            </w:pPr>
            <w:r>
              <w:rPr>
                <w:rFonts w:ascii="Prima Serif Std Roman" w:hAnsi="Prima Serif Std Roman" w:eastAsia="Prima Serif Std Roman"/>
                <w:b w:val="0"/>
                <w:sz w:val="18"/>
              </w:rPr>
              <w:t>越大越好</w:t>
            </w:r>
          </w:p>
        </w:tc>
        <w:tc>
          <w:tcPr>
            <w:tcW w:w="3402" w:type="dxa"/>
            <w:vAlign w:val="top"/>
          </w:tcPr>
          <w:p w14:paraId="4BEA5255">
            <w:pPr>
              <w:spacing w:after="0"/>
            </w:pPr>
            <w:r>
              <w:rPr>
                <w:rFonts w:ascii="Prima Serif Std Roman" w:hAnsi="Prima Serif Std Roman" w:eastAsia="Prima Serif Std Roman"/>
                <w:b w:val="0"/>
                <w:sz w:val="18"/>
              </w:rPr>
              <w:t>喷管出口动量通量与压力推力；总推进剂质量流量</w:t>
            </w:r>
          </w:p>
        </w:tc>
        <w:tc>
          <w:tcPr>
            <w:tcW w:w="2268" w:type="dxa"/>
            <w:vAlign w:val="top"/>
          </w:tcPr>
          <w:p w14:paraId="3FEB6D87">
            <w:pPr>
              <w:spacing w:after="0"/>
            </w:pPr>
            <w:r>
              <w:rPr>
                <w:rFonts w:ascii="Prima Serif Std Roman" w:hAnsi="Prima Serif Std Roman" w:eastAsia="Prima Serif Std Roman"/>
                <w:b w:val="0"/>
                <w:sz w:val="18"/>
              </w:rPr>
              <w:t>性能目标</w:t>
            </w:r>
          </w:p>
        </w:tc>
      </w:tr>
      <w:tr w14:paraId="1513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10D6040E">
            <w:pPr>
              <w:spacing w:after="0"/>
            </w:pPr>
            <w:r>
              <w:rPr>
                <w:rFonts w:ascii="Prima Serif Std Roman" w:hAnsi="Prima Serif Std Roman" w:eastAsia="Prima Serif Std Roman"/>
                <w:b w:val="0"/>
                <w:sz w:val="18"/>
              </w:rPr>
              <w:t>ηc</w:t>
            </w:r>
          </w:p>
        </w:tc>
        <w:tc>
          <w:tcPr>
            <w:tcW w:w="1984" w:type="dxa"/>
            <w:vAlign w:val="top"/>
          </w:tcPr>
          <w:p w14:paraId="3C8B44AB">
            <w:pPr>
              <w:spacing w:after="0"/>
            </w:pPr>
            <w:r>
              <w:rPr>
                <w:rFonts w:ascii="Prima Serif Std Roman" w:hAnsi="Prima Serif Std Roman" w:eastAsia="Prima Serif Std Roman"/>
                <w:b w:val="0"/>
                <w:sz w:val="18"/>
              </w:rPr>
              <w:t>越大越好，但需与热负荷约束协同</w:t>
            </w:r>
          </w:p>
        </w:tc>
        <w:tc>
          <w:tcPr>
            <w:tcW w:w="3402" w:type="dxa"/>
            <w:vAlign w:val="top"/>
          </w:tcPr>
          <w:p w14:paraId="5215F504">
            <w:pPr>
              <w:spacing w:after="0"/>
            </w:pPr>
            <w:r>
              <w:rPr>
                <w:rFonts w:ascii="Prima Serif Std Roman" w:hAnsi="Prima Serif Std Roman" w:eastAsia="Prima Serif Std Roman"/>
                <w:b w:val="0"/>
                <w:sz w:val="18"/>
              </w:rPr>
              <w:t>反应域体积热释放率；甲烷质量流量；甲烷低位热值</w:t>
            </w:r>
          </w:p>
        </w:tc>
        <w:tc>
          <w:tcPr>
            <w:tcW w:w="2268" w:type="dxa"/>
            <w:vAlign w:val="top"/>
          </w:tcPr>
          <w:p w14:paraId="6FEFBF28">
            <w:pPr>
              <w:spacing w:after="0"/>
            </w:pPr>
            <w:r>
              <w:rPr>
                <w:rFonts w:ascii="Prima Serif Std Roman" w:hAnsi="Prima Serif Std Roman" w:eastAsia="Prima Serif Std Roman"/>
                <w:b w:val="0"/>
                <w:sz w:val="18"/>
              </w:rPr>
              <w:t>燃烧完整性目标</w:t>
            </w:r>
          </w:p>
        </w:tc>
      </w:tr>
      <w:tr w14:paraId="3578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6902C35D">
            <w:pPr>
              <w:spacing w:after="0"/>
            </w:pPr>
            <w:r>
              <w:rPr>
                <w:rFonts w:ascii="Prima Serif Std Roman" w:hAnsi="Prima Serif Std Roman" w:eastAsia="Prima Serif Std Roman"/>
                <w:b w:val="0"/>
                <w:sz w:val="18"/>
              </w:rPr>
              <w:t>φ̄、σφ</w:t>
            </w:r>
          </w:p>
        </w:tc>
        <w:tc>
          <w:tcPr>
            <w:tcW w:w="1984" w:type="dxa"/>
            <w:vAlign w:val="top"/>
          </w:tcPr>
          <w:p w14:paraId="3125CF94">
            <w:pPr>
              <w:spacing w:after="0"/>
            </w:pPr>
            <w:r>
              <w:rPr>
                <w:rFonts w:ascii="Prima Serif Std Roman" w:hAnsi="Prima Serif Std Roman" w:eastAsia="Prima Serif Std Roman"/>
                <w:b w:val="0"/>
                <w:sz w:val="18"/>
              </w:rPr>
              <w:t>φ̄ 作为混合比水平，σφ 越小代表越均匀</w:t>
            </w:r>
          </w:p>
        </w:tc>
        <w:tc>
          <w:tcPr>
            <w:tcW w:w="3402" w:type="dxa"/>
            <w:vAlign w:val="top"/>
          </w:tcPr>
          <w:p w14:paraId="0A55F364">
            <w:pPr>
              <w:spacing w:after="0"/>
            </w:pPr>
            <w:r>
              <w:rPr>
                <w:rFonts w:ascii="Prima Serif Std Roman" w:hAnsi="Prima Serif Std Roman" w:eastAsia="Prima Serif Std Roman"/>
                <w:b w:val="0"/>
                <w:sz w:val="18"/>
              </w:rPr>
              <w:t>燃烧高温区内混合分数或氧/燃质量分数；单元体积</w:t>
            </w:r>
          </w:p>
        </w:tc>
        <w:tc>
          <w:tcPr>
            <w:tcW w:w="2268" w:type="dxa"/>
            <w:vAlign w:val="top"/>
          </w:tcPr>
          <w:p w14:paraId="58F09394">
            <w:pPr>
              <w:spacing w:after="0"/>
            </w:pPr>
            <w:r>
              <w:rPr>
                <w:rFonts w:ascii="Prima Serif Std Roman" w:hAnsi="Prima Serif Std Roman" w:eastAsia="Prima Serif Std Roman"/>
                <w:b w:val="0"/>
                <w:sz w:val="18"/>
              </w:rPr>
              <w:t>混合均匀性目标/约束</w:t>
            </w:r>
          </w:p>
        </w:tc>
      </w:tr>
      <w:tr w14:paraId="73AD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7B2E3502">
            <w:pPr>
              <w:spacing w:after="0"/>
            </w:pPr>
            <w:r>
              <w:rPr>
                <w:rFonts w:ascii="Prima Serif Std Roman" w:hAnsi="Prima Serif Std Roman" w:eastAsia="Prima Serif Std Roman"/>
                <w:b w:val="0"/>
                <w:sz w:val="18"/>
              </w:rPr>
              <w:t>Twall</w:t>
            </w:r>
          </w:p>
        </w:tc>
        <w:tc>
          <w:tcPr>
            <w:tcW w:w="1984" w:type="dxa"/>
            <w:vAlign w:val="top"/>
          </w:tcPr>
          <w:p w14:paraId="651745BB">
            <w:pPr>
              <w:spacing w:after="0"/>
            </w:pPr>
            <w:r>
              <w:rPr>
                <w:rFonts w:ascii="Prima Serif Std Roman" w:hAnsi="Prima Serif Std Roman" w:eastAsia="Prima Serif Std Roman"/>
                <w:b w:val="0"/>
                <w:sz w:val="18"/>
              </w:rPr>
              <w:t>越低越安全，但需结合性能判断</w:t>
            </w:r>
          </w:p>
        </w:tc>
        <w:tc>
          <w:tcPr>
            <w:tcW w:w="3402" w:type="dxa"/>
            <w:vAlign w:val="top"/>
          </w:tcPr>
          <w:p w14:paraId="73EDF30D">
            <w:pPr>
              <w:spacing w:after="0"/>
            </w:pPr>
            <w:r>
              <w:rPr>
                <w:rFonts w:ascii="Prima Serif Std Roman" w:hAnsi="Prima Serif Std Roman" w:eastAsia="Prima Serif Std Roman"/>
                <w:b w:val="0"/>
                <w:sz w:val="18"/>
              </w:rPr>
              <w:t>喷注器面、燃烧室壁面、喷管壁面温度；面积权重</w:t>
            </w:r>
          </w:p>
        </w:tc>
        <w:tc>
          <w:tcPr>
            <w:tcW w:w="2268" w:type="dxa"/>
            <w:vAlign w:val="top"/>
          </w:tcPr>
          <w:p w14:paraId="6096AECF">
            <w:pPr>
              <w:spacing w:after="0"/>
            </w:pPr>
            <w:r>
              <w:rPr>
                <w:rFonts w:ascii="Prima Serif Std Roman" w:hAnsi="Prima Serif Std Roman" w:eastAsia="Prima Serif Std Roman"/>
                <w:b w:val="0"/>
                <w:sz w:val="18"/>
              </w:rPr>
              <w:t>总体热负荷目标</w:t>
            </w:r>
          </w:p>
        </w:tc>
      </w:tr>
      <w:tr w14:paraId="454C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top"/>
          </w:tcPr>
          <w:p w14:paraId="72E97877">
            <w:pPr>
              <w:spacing w:after="0"/>
            </w:pPr>
            <w:r>
              <w:rPr>
                <w:rFonts w:ascii="Prima Serif Std Roman" w:hAnsi="Prima Serif Std Roman" w:eastAsia="Prima Serif Std Roman"/>
                <w:b w:val="0"/>
                <w:sz w:val="18"/>
              </w:rPr>
              <w:t>Tmax</w:t>
            </w:r>
          </w:p>
        </w:tc>
        <w:tc>
          <w:tcPr>
            <w:tcW w:w="1984" w:type="dxa"/>
            <w:vAlign w:val="top"/>
          </w:tcPr>
          <w:p w14:paraId="38D1A15D">
            <w:pPr>
              <w:spacing w:after="0"/>
            </w:pPr>
            <w:r>
              <w:rPr>
                <w:rFonts w:ascii="Prima Serif Std Roman" w:hAnsi="Prima Serif Std Roman" w:eastAsia="Prima Serif Std Roman"/>
                <w:b w:val="0"/>
                <w:sz w:val="18"/>
              </w:rPr>
              <w:t>越低越安全</w:t>
            </w:r>
          </w:p>
        </w:tc>
        <w:tc>
          <w:tcPr>
            <w:tcW w:w="3402" w:type="dxa"/>
            <w:vAlign w:val="top"/>
          </w:tcPr>
          <w:p w14:paraId="6BB042F0">
            <w:pPr>
              <w:spacing w:after="0"/>
            </w:pPr>
            <w:r>
              <w:rPr>
                <w:rFonts w:ascii="Prima Serif Std Roman" w:hAnsi="Prima Serif Std Roman" w:eastAsia="Prima Serif Std Roman"/>
                <w:b w:val="0"/>
                <w:sz w:val="18"/>
              </w:rPr>
              <w:t>喉部及全壁面温度最大值</w:t>
            </w:r>
          </w:p>
        </w:tc>
        <w:tc>
          <w:tcPr>
            <w:tcW w:w="2268" w:type="dxa"/>
            <w:vAlign w:val="top"/>
          </w:tcPr>
          <w:p w14:paraId="6BC4DD62">
            <w:pPr>
              <w:spacing w:after="0"/>
            </w:pPr>
            <w:r>
              <w:rPr>
                <w:rFonts w:ascii="Prima Serif Std Roman" w:hAnsi="Prima Serif Std Roman" w:eastAsia="Prima Serif Std Roman"/>
                <w:b w:val="0"/>
                <w:sz w:val="18"/>
              </w:rPr>
              <w:t>局部热风险约束</w:t>
            </w:r>
          </w:p>
        </w:tc>
      </w:tr>
    </w:tbl>
    <w:p w14:paraId="2FBC5BA9"/>
    <w:p w14:paraId="4D1B055D">
      <w:pPr>
        <w:pStyle w:val="3"/>
      </w:pPr>
      <w:r>
        <w:t>2 Fluent 中需要预先命名的面、体和场变量</w:t>
      </w:r>
    </w:p>
    <w:p w14:paraId="14336B49">
      <w:r>
        <w:t>为了保证不同喷注器构型的后处理结果具有一致性，几何建模和网格划分阶段应保持边界命名完全统一。建议不要依赖 Fluent 自动生成的 face-id 或 zone-id，因为参数化建模后这些编号可能发生变化。所有自动化脚本应通过边界名称访问数据。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1646"/>
        <w:gridCol w:w="3026"/>
        <w:gridCol w:w="2059"/>
      </w:tblGrid>
      <w:tr w14:paraId="2A96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04380108">
            <w:pPr>
              <w:spacing w:after="0"/>
            </w:pPr>
            <w:r>
              <w:rPr>
                <w:rFonts w:ascii="Prima Serif Std Roman" w:hAnsi="Prima Serif Std Roman" w:eastAsia="Prima Serif Std Roman"/>
                <w:b/>
                <w:sz w:val="18"/>
              </w:rPr>
              <w:t>建议名称</w:t>
            </w:r>
          </w:p>
        </w:tc>
        <w:tc>
          <w:tcPr>
            <w:tcW w:w="1814" w:type="dxa"/>
            <w:shd w:val="clear" w:color="auto" w:fill="D9EAF7"/>
            <w:vAlign w:val="center"/>
          </w:tcPr>
          <w:p w14:paraId="2BE3F9A9">
            <w:pPr>
              <w:spacing w:after="0"/>
            </w:pPr>
            <w:r>
              <w:rPr>
                <w:rFonts w:ascii="Prima Serif Std Roman" w:hAnsi="Prima Serif Std Roman" w:eastAsia="Prima Serif Std Roman"/>
                <w:b/>
                <w:sz w:val="18"/>
              </w:rPr>
              <w:t>位置</w:t>
            </w:r>
          </w:p>
        </w:tc>
        <w:tc>
          <w:tcPr>
            <w:tcW w:w="3402" w:type="dxa"/>
            <w:shd w:val="clear" w:color="auto" w:fill="D9EAF7"/>
            <w:vAlign w:val="center"/>
          </w:tcPr>
          <w:p w14:paraId="3A9B09E9">
            <w:pPr>
              <w:spacing w:after="0"/>
            </w:pPr>
            <w:r>
              <w:rPr>
                <w:rFonts w:ascii="Prima Serif Std Roman" w:hAnsi="Prima Serif Std Roman" w:eastAsia="Prima Serif Std Roman"/>
                <w:b/>
                <w:sz w:val="18"/>
              </w:rPr>
              <w:t>需要导出的数据</w:t>
            </w:r>
          </w:p>
        </w:tc>
        <w:tc>
          <w:tcPr>
            <w:tcW w:w="2268" w:type="dxa"/>
            <w:shd w:val="clear" w:color="auto" w:fill="D9EAF7"/>
            <w:vAlign w:val="center"/>
          </w:tcPr>
          <w:p w14:paraId="735C9FD0">
            <w:pPr>
              <w:spacing w:after="0"/>
            </w:pPr>
            <w:r>
              <w:rPr>
                <w:rFonts w:ascii="Prima Serif Std Roman" w:hAnsi="Prima Serif Std Roman" w:eastAsia="Prima Serif Std Roman"/>
                <w:b/>
                <w:sz w:val="18"/>
              </w:rPr>
              <w:t>用途</w:t>
            </w:r>
          </w:p>
        </w:tc>
      </w:tr>
      <w:tr w14:paraId="16F0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0EC3162A">
            <w:pPr>
              <w:spacing w:after="0"/>
            </w:pPr>
            <w:r>
              <w:rPr>
                <w:rFonts w:ascii="Prima Serif Std Roman" w:hAnsi="Prima Serif Std Roman" w:eastAsia="Prima Serif Std Roman"/>
                <w:b w:val="0"/>
                <w:sz w:val="18"/>
              </w:rPr>
              <w:t>ox_inlet 或 ox_inlet_*</w:t>
            </w:r>
          </w:p>
        </w:tc>
        <w:tc>
          <w:tcPr>
            <w:tcW w:w="1814" w:type="dxa"/>
            <w:vAlign w:val="top"/>
          </w:tcPr>
          <w:p w14:paraId="188CCB3F">
            <w:pPr>
              <w:spacing w:after="0"/>
            </w:pPr>
            <w:r>
              <w:rPr>
                <w:rFonts w:ascii="Prima Serif Std Roman" w:hAnsi="Prima Serif Std Roman" w:eastAsia="Prima Serif Std Roman"/>
                <w:b w:val="0"/>
                <w:sz w:val="18"/>
              </w:rPr>
              <w:t>液氧入口</w:t>
            </w:r>
          </w:p>
        </w:tc>
        <w:tc>
          <w:tcPr>
            <w:tcW w:w="3402" w:type="dxa"/>
            <w:vAlign w:val="top"/>
          </w:tcPr>
          <w:p w14:paraId="2D8EC541">
            <w:pPr>
              <w:spacing w:after="0"/>
            </w:pPr>
            <w:r>
              <w:rPr>
                <w:rFonts w:ascii="Prima Serif Std Roman" w:hAnsi="Prima Serif Std Roman" w:eastAsia="Prima Serif Std Roman"/>
                <w:b w:val="0"/>
                <w:sz w:val="18"/>
              </w:rPr>
              <w:t>质量流量、入口温度、入口总压/静压、O2 质量分数或氧化剂流混合分数边界值</w:t>
            </w:r>
          </w:p>
        </w:tc>
        <w:tc>
          <w:tcPr>
            <w:tcW w:w="2268" w:type="dxa"/>
            <w:vAlign w:val="top"/>
          </w:tcPr>
          <w:p w14:paraId="1A9E86AC">
            <w:pPr>
              <w:spacing w:after="0"/>
            </w:pPr>
            <w:r>
              <w:rPr>
                <w:rFonts w:ascii="Prima Serif Std Roman" w:hAnsi="Prima Serif Std Roman" w:eastAsia="Prima Serif Std Roman"/>
                <w:b w:val="0"/>
                <w:sz w:val="18"/>
              </w:rPr>
              <w:t>用于总流量、O/F、入口边界核验</w:t>
            </w:r>
          </w:p>
        </w:tc>
      </w:tr>
      <w:tr w14:paraId="11EF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62BA2E73">
            <w:pPr>
              <w:spacing w:after="0"/>
            </w:pPr>
            <w:r>
              <w:rPr>
                <w:rFonts w:ascii="Prima Serif Std Roman" w:hAnsi="Prima Serif Std Roman" w:eastAsia="Prima Serif Std Roman"/>
                <w:b w:val="0"/>
                <w:sz w:val="18"/>
              </w:rPr>
              <w:t>fuel_inlet 或 ch4_inlet_*</w:t>
            </w:r>
          </w:p>
        </w:tc>
        <w:tc>
          <w:tcPr>
            <w:tcW w:w="1814" w:type="dxa"/>
            <w:vAlign w:val="top"/>
          </w:tcPr>
          <w:p w14:paraId="01DB7696">
            <w:pPr>
              <w:spacing w:after="0"/>
            </w:pPr>
            <w:r>
              <w:rPr>
                <w:rFonts w:ascii="Prima Serif Std Roman" w:hAnsi="Prima Serif Std Roman" w:eastAsia="Prima Serif Std Roman"/>
                <w:b w:val="0"/>
                <w:sz w:val="18"/>
              </w:rPr>
              <w:t>甲烷入口</w:t>
            </w:r>
          </w:p>
        </w:tc>
        <w:tc>
          <w:tcPr>
            <w:tcW w:w="3402" w:type="dxa"/>
            <w:vAlign w:val="top"/>
          </w:tcPr>
          <w:p w14:paraId="06F5F96B">
            <w:pPr>
              <w:spacing w:after="0"/>
            </w:pPr>
            <w:r>
              <w:rPr>
                <w:rFonts w:ascii="Prima Serif Std Roman" w:hAnsi="Prima Serif Std Roman" w:eastAsia="Prima Serif Std Roman"/>
                <w:b w:val="0"/>
                <w:sz w:val="18"/>
              </w:rPr>
              <w:t>质量流量、入口温度、CH4 质量分数或燃料流混合分数边界值</w:t>
            </w:r>
          </w:p>
        </w:tc>
        <w:tc>
          <w:tcPr>
            <w:tcW w:w="2268" w:type="dxa"/>
            <w:vAlign w:val="top"/>
          </w:tcPr>
          <w:p w14:paraId="02620933">
            <w:pPr>
              <w:spacing w:after="0"/>
            </w:pPr>
            <w:r>
              <w:rPr>
                <w:rFonts w:ascii="Prima Serif Std Roman" w:hAnsi="Prima Serif Std Roman" w:eastAsia="Prima Serif Std Roman"/>
                <w:b w:val="0"/>
                <w:sz w:val="18"/>
              </w:rPr>
              <w:t>用于总流量、理论热输入、O/F 核验</w:t>
            </w:r>
          </w:p>
        </w:tc>
      </w:tr>
      <w:tr w14:paraId="14BD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6C2AD369">
            <w:pPr>
              <w:spacing w:after="0"/>
            </w:pPr>
            <w:r>
              <w:rPr>
                <w:rFonts w:ascii="Prima Serif Std Roman" w:hAnsi="Prima Serif Std Roman" w:eastAsia="Prima Serif Std Roman"/>
                <w:b w:val="0"/>
                <w:sz w:val="18"/>
              </w:rPr>
              <w:t>nozzle_exit</w:t>
            </w:r>
          </w:p>
        </w:tc>
        <w:tc>
          <w:tcPr>
            <w:tcW w:w="1814" w:type="dxa"/>
            <w:vAlign w:val="top"/>
          </w:tcPr>
          <w:p w14:paraId="1A8325A7">
            <w:pPr>
              <w:spacing w:after="0"/>
            </w:pPr>
            <w:r>
              <w:rPr>
                <w:rFonts w:ascii="Prima Serif Std Roman" w:hAnsi="Prima Serif Std Roman" w:eastAsia="Prima Serif Std Roman"/>
                <w:b w:val="0"/>
                <w:sz w:val="18"/>
              </w:rPr>
              <w:t>喷管出口截面</w:t>
            </w:r>
          </w:p>
        </w:tc>
        <w:tc>
          <w:tcPr>
            <w:tcW w:w="3402" w:type="dxa"/>
            <w:vAlign w:val="top"/>
          </w:tcPr>
          <w:p w14:paraId="46FCE297">
            <w:pPr>
              <w:spacing w:after="0"/>
            </w:pPr>
            <w:r>
              <w:rPr>
                <w:rFonts w:ascii="Prima Serif Std Roman" w:hAnsi="Prima Serif Std Roman" w:eastAsia="Prima Serif Std Roman"/>
                <w:b w:val="0"/>
                <w:sz w:val="18"/>
              </w:rPr>
              <w:t>ρ、速度矢量、轴向速度、静压、面法向、面积元素</w:t>
            </w:r>
          </w:p>
        </w:tc>
        <w:tc>
          <w:tcPr>
            <w:tcW w:w="2268" w:type="dxa"/>
            <w:vAlign w:val="top"/>
          </w:tcPr>
          <w:p w14:paraId="1C9B26F2">
            <w:pPr>
              <w:spacing w:after="0"/>
            </w:pPr>
            <w:r>
              <w:rPr>
                <w:rFonts w:ascii="Prima Serif Std Roman" w:hAnsi="Prima Serif Std Roman" w:eastAsia="Prima Serif Std Roman"/>
                <w:b w:val="0"/>
                <w:sz w:val="18"/>
              </w:rPr>
              <w:t>用于推力和 Isp 计算</w:t>
            </w:r>
          </w:p>
        </w:tc>
      </w:tr>
      <w:tr w14:paraId="094D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68750370">
            <w:pPr>
              <w:spacing w:after="0"/>
            </w:pPr>
            <w:r>
              <w:rPr>
                <w:rFonts w:ascii="Prima Serif Std Roman" w:hAnsi="Prima Serif Std Roman" w:eastAsia="Prima Serif Std Roman"/>
                <w:b w:val="0"/>
                <w:sz w:val="18"/>
              </w:rPr>
              <w:t>injector_face_wall</w:t>
            </w:r>
          </w:p>
        </w:tc>
        <w:tc>
          <w:tcPr>
            <w:tcW w:w="1814" w:type="dxa"/>
            <w:vAlign w:val="top"/>
          </w:tcPr>
          <w:p w14:paraId="38D058AB">
            <w:pPr>
              <w:spacing w:after="0"/>
            </w:pPr>
            <w:r>
              <w:rPr>
                <w:rFonts w:ascii="Prima Serif Std Roman" w:hAnsi="Prima Serif Std Roman" w:eastAsia="Prima Serif Std Roman"/>
                <w:b w:val="0"/>
                <w:sz w:val="18"/>
              </w:rPr>
              <w:t>喷注器面及喷嘴唇口附近壁面</w:t>
            </w:r>
          </w:p>
        </w:tc>
        <w:tc>
          <w:tcPr>
            <w:tcW w:w="3402" w:type="dxa"/>
            <w:vAlign w:val="top"/>
          </w:tcPr>
          <w:p w14:paraId="0188F44C">
            <w:pPr>
              <w:spacing w:after="0"/>
            </w:pPr>
            <w:r>
              <w:rPr>
                <w:rFonts w:ascii="Prima Serif Std Roman" w:hAnsi="Prima Serif Std Roman" w:eastAsia="Prima Serif Std Roman"/>
                <w:b w:val="0"/>
                <w:sz w:val="18"/>
              </w:rPr>
              <w:t>壁温、壁面热流、面积元素</w:t>
            </w:r>
          </w:p>
        </w:tc>
        <w:tc>
          <w:tcPr>
            <w:tcW w:w="2268" w:type="dxa"/>
            <w:vAlign w:val="top"/>
          </w:tcPr>
          <w:p w14:paraId="5816E0B5">
            <w:pPr>
              <w:spacing w:after="0"/>
            </w:pPr>
            <w:r>
              <w:rPr>
                <w:rFonts w:ascii="Prima Serif Std Roman" w:hAnsi="Prima Serif Std Roman" w:eastAsia="Prima Serif Std Roman"/>
                <w:b w:val="0"/>
                <w:sz w:val="18"/>
              </w:rPr>
              <w:t>用于 Twall 分区统计和热点识别</w:t>
            </w:r>
          </w:p>
        </w:tc>
      </w:tr>
      <w:tr w14:paraId="5962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0C6695F5">
            <w:pPr>
              <w:spacing w:after="0"/>
            </w:pPr>
            <w:r>
              <w:rPr>
                <w:rFonts w:ascii="Prima Serif Std Roman" w:hAnsi="Prima Serif Std Roman" w:eastAsia="Prima Serif Std Roman"/>
                <w:b w:val="0"/>
                <w:sz w:val="18"/>
              </w:rPr>
              <w:t>chamber_wall</w:t>
            </w:r>
          </w:p>
        </w:tc>
        <w:tc>
          <w:tcPr>
            <w:tcW w:w="1814" w:type="dxa"/>
            <w:vAlign w:val="top"/>
          </w:tcPr>
          <w:p w14:paraId="342B786E">
            <w:pPr>
              <w:spacing w:after="0"/>
            </w:pPr>
            <w:r>
              <w:rPr>
                <w:rFonts w:ascii="Prima Serif Std Roman" w:hAnsi="Prima Serif Std Roman" w:eastAsia="Prima Serif Std Roman"/>
                <w:b w:val="0"/>
                <w:sz w:val="18"/>
              </w:rPr>
              <w:t>燃烧室直段/收敛段壁面</w:t>
            </w:r>
          </w:p>
        </w:tc>
        <w:tc>
          <w:tcPr>
            <w:tcW w:w="3402" w:type="dxa"/>
            <w:vAlign w:val="top"/>
          </w:tcPr>
          <w:p w14:paraId="04967793">
            <w:pPr>
              <w:spacing w:after="0"/>
            </w:pPr>
            <w:r>
              <w:rPr>
                <w:rFonts w:ascii="Prima Serif Std Roman" w:hAnsi="Prima Serif Std Roman" w:eastAsia="Prima Serif Std Roman"/>
                <w:b w:val="0"/>
                <w:sz w:val="18"/>
              </w:rPr>
              <w:t>壁温、壁面热流、面积元素</w:t>
            </w:r>
          </w:p>
        </w:tc>
        <w:tc>
          <w:tcPr>
            <w:tcW w:w="2268" w:type="dxa"/>
            <w:vAlign w:val="top"/>
          </w:tcPr>
          <w:p w14:paraId="664CBBAA">
            <w:pPr>
              <w:spacing w:after="0"/>
            </w:pPr>
            <w:r>
              <w:rPr>
                <w:rFonts w:ascii="Prima Serif Std Roman" w:hAnsi="Prima Serif Std Roman" w:eastAsia="Prima Serif Std Roman"/>
                <w:b w:val="0"/>
                <w:sz w:val="18"/>
              </w:rPr>
              <w:t>用于燃烧室热负荷统计</w:t>
            </w:r>
          </w:p>
        </w:tc>
      </w:tr>
      <w:tr w14:paraId="0AD9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499C71E1">
            <w:pPr>
              <w:spacing w:after="0"/>
            </w:pPr>
            <w:r>
              <w:rPr>
                <w:rFonts w:ascii="Prima Serif Std Roman" w:hAnsi="Prima Serif Std Roman" w:eastAsia="Prima Serif Std Roman"/>
                <w:b w:val="0"/>
                <w:sz w:val="18"/>
              </w:rPr>
              <w:t>nozzle_wall</w:t>
            </w:r>
          </w:p>
        </w:tc>
        <w:tc>
          <w:tcPr>
            <w:tcW w:w="1814" w:type="dxa"/>
            <w:vAlign w:val="top"/>
          </w:tcPr>
          <w:p w14:paraId="05489BE6">
            <w:pPr>
              <w:spacing w:after="0"/>
            </w:pPr>
            <w:r>
              <w:rPr>
                <w:rFonts w:ascii="Prima Serif Std Roman" w:hAnsi="Prima Serif Std Roman" w:eastAsia="Prima Serif Std Roman"/>
                <w:b w:val="0"/>
                <w:sz w:val="18"/>
              </w:rPr>
              <w:t>喷管扩张段壁面</w:t>
            </w:r>
          </w:p>
        </w:tc>
        <w:tc>
          <w:tcPr>
            <w:tcW w:w="3402" w:type="dxa"/>
            <w:vAlign w:val="top"/>
          </w:tcPr>
          <w:p w14:paraId="3D224198">
            <w:pPr>
              <w:spacing w:after="0"/>
            </w:pPr>
            <w:r>
              <w:rPr>
                <w:rFonts w:ascii="Prima Serif Std Roman" w:hAnsi="Prima Serif Std Roman" w:eastAsia="Prima Serif Std Roman"/>
                <w:b w:val="0"/>
                <w:sz w:val="18"/>
              </w:rPr>
              <w:t>壁温、壁面热流、面积元素</w:t>
            </w:r>
          </w:p>
        </w:tc>
        <w:tc>
          <w:tcPr>
            <w:tcW w:w="2268" w:type="dxa"/>
            <w:vAlign w:val="top"/>
          </w:tcPr>
          <w:p w14:paraId="55DA3FA9">
            <w:pPr>
              <w:spacing w:after="0"/>
            </w:pPr>
            <w:r>
              <w:rPr>
                <w:rFonts w:ascii="Prima Serif Std Roman" w:hAnsi="Prima Serif Std Roman" w:eastAsia="Prima Serif Std Roman"/>
                <w:b w:val="0"/>
                <w:sz w:val="18"/>
              </w:rPr>
              <w:t>用于喷管热负荷统计</w:t>
            </w:r>
          </w:p>
        </w:tc>
      </w:tr>
      <w:tr w14:paraId="27F0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6E43F397">
            <w:pPr>
              <w:spacing w:after="0"/>
            </w:pPr>
            <w:r>
              <w:rPr>
                <w:rFonts w:ascii="Prima Serif Std Roman" w:hAnsi="Prima Serif Std Roman" w:eastAsia="Prima Serif Std Roman"/>
                <w:b w:val="0"/>
                <w:sz w:val="18"/>
              </w:rPr>
              <w:t>throat_wall</w:t>
            </w:r>
          </w:p>
        </w:tc>
        <w:tc>
          <w:tcPr>
            <w:tcW w:w="1814" w:type="dxa"/>
            <w:vAlign w:val="top"/>
          </w:tcPr>
          <w:p w14:paraId="67F05450">
            <w:pPr>
              <w:spacing w:after="0"/>
            </w:pPr>
            <w:r>
              <w:rPr>
                <w:rFonts w:ascii="Prima Serif Std Roman" w:hAnsi="Prima Serif Std Roman" w:eastAsia="Prima Serif Std Roman"/>
                <w:b w:val="0"/>
                <w:sz w:val="18"/>
              </w:rPr>
              <w:t>喉部及喉部圆角附近壁面</w:t>
            </w:r>
          </w:p>
        </w:tc>
        <w:tc>
          <w:tcPr>
            <w:tcW w:w="3402" w:type="dxa"/>
            <w:vAlign w:val="top"/>
          </w:tcPr>
          <w:p w14:paraId="3ED8C2FA">
            <w:pPr>
              <w:spacing w:after="0"/>
            </w:pPr>
            <w:r>
              <w:rPr>
                <w:rFonts w:ascii="Prima Serif Std Roman" w:hAnsi="Prima Serif Std Roman" w:eastAsia="Prima Serif Std Roman"/>
                <w:b w:val="0"/>
                <w:sz w:val="18"/>
              </w:rPr>
              <w:t>壁温、壁面热流、面积元素</w:t>
            </w:r>
          </w:p>
        </w:tc>
        <w:tc>
          <w:tcPr>
            <w:tcW w:w="2268" w:type="dxa"/>
            <w:vAlign w:val="top"/>
          </w:tcPr>
          <w:p w14:paraId="3320A7DC">
            <w:pPr>
              <w:spacing w:after="0"/>
            </w:pPr>
            <w:r>
              <w:rPr>
                <w:rFonts w:ascii="Prima Serif Std Roman" w:hAnsi="Prima Serif Std Roman" w:eastAsia="Prima Serif Std Roman"/>
                <w:b w:val="0"/>
                <w:sz w:val="18"/>
              </w:rPr>
              <w:t>用于 Tmax 优先监控</w:t>
            </w:r>
          </w:p>
        </w:tc>
      </w:tr>
      <w:tr w14:paraId="36EB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55F2840F">
            <w:pPr>
              <w:spacing w:after="0"/>
            </w:pPr>
            <w:r>
              <w:rPr>
                <w:rFonts w:ascii="Prima Serif Std Roman" w:hAnsi="Prima Serif Std Roman" w:eastAsia="Prima Serif Std Roman"/>
                <w:b w:val="0"/>
                <w:sz w:val="18"/>
              </w:rPr>
              <w:t>all_reactive_fluid</w:t>
            </w:r>
          </w:p>
        </w:tc>
        <w:tc>
          <w:tcPr>
            <w:tcW w:w="1814" w:type="dxa"/>
            <w:vAlign w:val="top"/>
          </w:tcPr>
          <w:p w14:paraId="55E753E5">
            <w:pPr>
              <w:spacing w:after="0"/>
            </w:pPr>
            <w:r>
              <w:rPr>
                <w:rFonts w:ascii="Prima Serif Std Roman" w:hAnsi="Prima Serif Std Roman" w:eastAsia="Prima Serif Std Roman"/>
                <w:b w:val="0"/>
                <w:sz w:val="18"/>
              </w:rPr>
              <w:t>全部参与反应的流体区域</w:t>
            </w:r>
          </w:p>
        </w:tc>
        <w:tc>
          <w:tcPr>
            <w:tcW w:w="3402" w:type="dxa"/>
            <w:vAlign w:val="top"/>
          </w:tcPr>
          <w:p w14:paraId="395F9E10">
            <w:pPr>
              <w:spacing w:after="0"/>
            </w:pPr>
            <w:r>
              <w:rPr>
                <w:rFonts w:ascii="Prima Serif Std Roman" w:hAnsi="Prima Serif Std Roman" w:eastAsia="Prima Serif Std Roman"/>
                <w:b w:val="0"/>
                <w:sz w:val="18"/>
              </w:rPr>
              <w:t>热释放率、温度、组分/混合分数、单元体积</w:t>
            </w:r>
          </w:p>
        </w:tc>
        <w:tc>
          <w:tcPr>
            <w:tcW w:w="2268" w:type="dxa"/>
            <w:vAlign w:val="top"/>
          </w:tcPr>
          <w:p w14:paraId="1FAA5D5C">
            <w:pPr>
              <w:spacing w:after="0"/>
            </w:pPr>
            <w:r>
              <w:rPr>
                <w:rFonts w:ascii="Prima Serif Std Roman" w:hAnsi="Prima Serif Std Roman" w:eastAsia="Prima Serif Std Roman"/>
                <w:b w:val="0"/>
                <w:sz w:val="18"/>
              </w:rPr>
              <w:t>用于 ηc、φ 统计与全局守恒检查</w:t>
            </w:r>
          </w:p>
        </w:tc>
      </w:tr>
      <w:tr w14:paraId="050E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top"/>
          </w:tcPr>
          <w:p w14:paraId="5CBCBCFB">
            <w:pPr>
              <w:spacing w:after="0"/>
            </w:pPr>
            <w:r>
              <w:rPr>
                <w:rFonts w:ascii="Prima Serif Std Roman" w:hAnsi="Prima Serif Std Roman" w:eastAsia="Prima Serif Std Roman"/>
                <w:b w:val="0"/>
                <w:sz w:val="18"/>
              </w:rPr>
              <w:t>combustion_chamber_fluid</w:t>
            </w:r>
          </w:p>
        </w:tc>
        <w:tc>
          <w:tcPr>
            <w:tcW w:w="1814" w:type="dxa"/>
            <w:vAlign w:val="top"/>
          </w:tcPr>
          <w:p w14:paraId="570FCFAB">
            <w:pPr>
              <w:spacing w:after="0"/>
            </w:pPr>
            <w:r>
              <w:rPr>
                <w:rFonts w:ascii="Prima Serif Std Roman" w:hAnsi="Prima Serif Std Roman" w:eastAsia="Prima Serif Std Roman"/>
                <w:b w:val="0"/>
                <w:sz w:val="18"/>
              </w:rPr>
              <w:t>燃烧室主体流体区域，不含远下游出口缓冲区</w:t>
            </w:r>
          </w:p>
        </w:tc>
        <w:tc>
          <w:tcPr>
            <w:tcW w:w="3402" w:type="dxa"/>
            <w:vAlign w:val="top"/>
          </w:tcPr>
          <w:p w14:paraId="4E73CFBC">
            <w:pPr>
              <w:spacing w:after="0"/>
            </w:pPr>
            <w:r>
              <w:rPr>
                <w:rFonts w:ascii="Prima Serif Std Roman" w:hAnsi="Prima Serif Std Roman" w:eastAsia="Prima Serif Std Roman"/>
                <w:b w:val="0"/>
                <w:sz w:val="18"/>
              </w:rPr>
              <w:t>温度、混合分数或物种质量分数、体积</w:t>
            </w:r>
          </w:p>
        </w:tc>
        <w:tc>
          <w:tcPr>
            <w:tcW w:w="2268" w:type="dxa"/>
            <w:vAlign w:val="top"/>
          </w:tcPr>
          <w:p w14:paraId="5AF1E869">
            <w:pPr>
              <w:spacing w:after="0"/>
            </w:pPr>
            <w:r>
              <w:rPr>
                <w:rFonts w:ascii="Prima Serif Std Roman" w:hAnsi="Prima Serif Std Roman" w:eastAsia="Prima Serif Std Roman"/>
                <w:b w:val="0"/>
                <w:sz w:val="18"/>
              </w:rPr>
              <w:t>用于 φ 高温区统计</w:t>
            </w:r>
          </w:p>
        </w:tc>
      </w:tr>
    </w:tbl>
    <w:p w14:paraId="4470E8D6"/>
    <w:p w14:paraId="31D221ED">
      <w:pPr>
        <w:jc w:val="both"/>
      </w:pPr>
      <w:r>
        <w:t>需要在 Fluent 中可访问的主要场变量包括：Density、Static Pressure、Velocity components、Static Temperature、Wall Temperature、Wall Heat Flux、Heat Release Rate、Species Mass Fraction 或 Mixture Fraction、Cell Volume、Face Area、Face Normal。若使用非预混燃烧模型，应优先导出 mixture fraction 或 mean mixture fraction；若使用组份输运模型，则至少应导出 O2 与 CH4 的质量分数，并建议同时设置惰性守恒标量或流股追踪量以避免反应消耗导致局部 O2/CH4 质量分数失真。</w:t>
      </w:r>
    </w:p>
    <w:p w14:paraId="396CFFE2">
      <w:pPr>
        <w:pStyle w:val="3"/>
      </w:pPr>
      <w:r>
        <w:t>3 通用后处理流程与数据文件组织</w:t>
      </w:r>
    </w:p>
    <w:p w14:paraId="6390B4E8">
      <w:r>
        <w:t>建议将每个 Fluent 算例后处理拆成“收敛检查—面/体积分—场数据导出—外部脚本计算—结果归档”五步。这样可以把 Fluent 作为场量积分和数据导出的工具，把复杂统计计算放在 Python 或 MATLAB 中完成，从而减少手工操作误差，也便于后续批量生成深度学习数据集。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3969"/>
        <w:gridCol w:w="2835"/>
      </w:tblGrid>
      <w:tr w14:paraId="1090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AF7"/>
            <w:vAlign w:val="center"/>
          </w:tcPr>
          <w:p w14:paraId="75DB84F6">
            <w:pPr>
              <w:spacing w:after="0"/>
            </w:pPr>
            <w:r>
              <w:rPr>
                <w:rFonts w:ascii="Prima Serif Std Roman" w:hAnsi="Prima Serif Std Roman" w:eastAsia="Prima Serif Std Roman"/>
                <w:b/>
                <w:sz w:val="18"/>
              </w:rPr>
              <w:t>步骤</w:t>
            </w:r>
          </w:p>
        </w:tc>
        <w:tc>
          <w:tcPr>
            <w:tcW w:w="1701" w:type="dxa"/>
            <w:shd w:val="clear" w:color="auto" w:fill="D9EAF7"/>
            <w:vAlign w:val="center"/>
          </w:tcPr>
          <w:p w14:paraId="23A80B0F">
            <w:pPr>
              <w:spacing w:after="0"/>
            </w:pPr>
            <w:r>
              <w:rPr>
                <w:rFonts w:ascii="Prima Serif Std Roman" w:hAnsi="Prima Serif Std Roman" w:eastAsia="Prima Serif Std Roman"/>
                <w:b/>
                <w:sz w:val="18"/>
              </w:rPr>
              <w:t>任务</w:t>
            </w:r>
          </w:p>
        </w:tc>
        <w:tc>
          <w:tcPr>
            <w:tcW w:w="3969" w:type="dxa"/>
            <w:shd w:val="clear" w:color="auto" w:fill="D9EAF7"/>
            <w:vAlign w:val="center"/>
          </w:tcPr>
          <w:p w14:paraId="6C686B68">
            <w:pPr>
              <w:spacing w:after="0"/>
            </w:pPr>
            <w:r>
              <w:rPr>
                <w:rFonts w:ascii="Prima Serif Std Roman" w:hAnsi="Prima Serif Std Roman" w:eastAsia="Prima Serif Std Roman"/>
                <w:b/>
                <w:sz w:val="18"/>
              </w:rPr>
              <w:t>采集内容</w:t>
            </w:r>
          </w:p>
        </w:tc>
        <w:tc>
          <w:tcPr>
            <w:tcW w:w="2835" w:type="dxa"/>
            <w:shd w:val="clear" w:color="auto" w:fill="D9EAF7"/>
            <w:vAlign w:val="center"/>
          </w:tcPr>
          <w:p w14:paraId="60A1A0C0">
            <w:pPr>
              <w:spacing w:after="0"/>
            </w:pPr>
            <w:r>
              <w:rPr>
                <w:rFonts w:ascii="Prima Serif Std Roman" w:hAnsi="Prima Serif Std Roman" w:eastAsia="Prima Serif Std Roman"/>
                <w:b/>
                <w:sz w:val="18"/>
              </w:rPr>
              <w:t>输出</w:t>
            </w:r>
          </w:p>
        </w:tc>
      </w:tr>
      <w:tr w14:paraId="2E1F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top"/>
          </w:tcPr>
          <w:p w14:paraId="09FC766A">
            <w:pPr>
              <w:spacing w:after="0"/>
            </w:pPr>
            <w:r>
              <w:rPr>
                <w:rFonts w:ascii="Prima Serif Std Roman" w:hAnsi="Prima Serif Std Roman" w:eastAsia="Prima Serif Std Roman"/>
                <w:b w:val="0"/>
                <w:sz w:val="18"/>
              </w:rPr>
              <w:t>1</w:t>
            </w:r>
          </w:p>
        </w:tc>
        <w:tc>
          <w:tcPr>
            <w:tcW w:w="1701" w:type="dxa"/>
            <w:vAlign w:val="top"/>
          </w:tcPr>
          <w:p w14:paraId="5DF72FE7">
            <w:pPr>
              <w:spacing w:after="0"/>
            </w:pPr>
            <w:r>
              <w:rPr>
                <w:rFonts w:ascii="Prima Serif Std Roman" w:hAnsi="Prima Serif Std Roman" w:eastAsia="Prima Serif Std Roman"/>
                <w:b w:val="0"/>
                <w:sz w:val="18"/>
              </w:rPr>
              <w:t>收敛检查</w:t>
            </w:r>
          </w:p>
        </w:tc>
        <w:tc>
          <w:tcPr>
            <w:tcW w:w="3969" w:type="dxa"/>
            <w:vAlign w:val="top"/>
          </w:tcPr>
          <w:p w14:paraId="528B091F">
            <w:pPr>
              <w:spacing w:after="0"/>
            </w:pPr>
            <w:r>
              <w:rPr>
                <w:rFonts w:ascii="Prima Serif Std Roman" w:hAnsi="Prima Serif Std Roman" w:eastAsia="Prima Serif Std Roman"/>
                <w:b w:val="0"/>
                <w:sz w:val="18"/>
              </w:rPr>
              <w:t>残差、质量守恒、能量守恒、出口压力/温度/推力曲线是否稳定</w:t>
            </w:r>
          </w:p>
        </w:tc>
        <w:tc>
          <w:tcPr>
            <w:tcW w:w="2835" w:type="dxa"/>
            <w:vAlign w:val="top"/>
          </w:tcPr>
          <w:p w14:paraId="0E261100">
            <w:pPr>
              <w:spacing w:after="0"/>
            </w:pPr>
            <w:r>
              <w:rPr>
                <w:rFonts w:ascii="Prima Serif Std Roman" w:hAnsi="Prima Serif Std Roman" w:eastAsia="Prima Serif Std Roman"/>
                <w:b w:val="0"/>
                <w:sz w:val="18"/>
              </w:rPr>
              <w:t>不合格算例不进入训练集，或标记为 suspect</w:t>
            </w:r>
          </w:p>
        </w:tc>
      </w:tr>
      <w:tr w14:paraId="1C52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top"/>
          </w:tcPr>
          <w:p w14:paraId="05E73A0B">
            <w:pPr>
              <w:spacing w:after="0"/>
            </w:pPr>
            <w:r>
              <w:rPr>
                <w:rFonts w:ascii="Prima Serif Std Roman" w:hAnsi="Prima Serif Std Roman" w:eastAsia="Prima Serif Std Roman"/>
                <w:b w:val="0"/>
                <w:sz w:val="18"/>
              </w:rPr>
              <w:t>2</w:t>
            </w:r>
          </w:p>
        </w:tc>
        <w:tc>
          <w:tcPr>
            <w:tcW w:w="1701" w:type="dxa"/>
            <w:vAlign w:val="top"/>
          </w:tcPr>
          <w:p w14:paraId="65CF8CA0">
            <w:pPr>
              <w:spacing w:after="0"/>
            </w:pPr>
            <w:r>
              <w:rPr>
                <w:rFonts w:ascii="Prima Serif Std Roman" w:hAnsi="Prima Serif Std Roman" w:eastAsia="Prima Serif Std Roman"/>
                <w:b w:val="0"/>
                <w:sz w:val="18"/>
              </w:rPr>
              <w:t>Fluent 面积分/体积分</w:t>
            </w:r>
          </w:p>
        </w:tc>
        <w:tc>
          <w:tcPr>
            <w:tcW w:w="3969" w:type="dxa"/>
            <w:vAlign w:val="top"/>
          </w:tcPr>
          <w:p w14:paraId="00907A81">
            <w:pPr>
              <w:spacing w:after="0"/>
            </w:pPr>
            <w:r>
              <w:rPr>
                <w:rFonts w:ascii="Prima Serif Std Roman" w:hAnsi="Prima Serif Std Roman" w:eastAsia="Prima Serif Std Roman"/>
                <w:b w:val="0"/>
                <w:sz w:val="18"/>
              </w:rPr>
              <w:t>入口质量流量、出口动量相关积分、热释放率积分、壁面面积加权平均温度、壁面最大温度</w:t>
            </w:r>
          </w:p>
        </w:tc>
        <w:tc>
          <w:tcPr>
            <w:tcW w:w="2835" w:type="dxa"/>
            <w:vAlign w:val="top"/>
          </w:tcPr>
          <w:p w14:paraId="2E51316D">
            <w:pPr>
              <w:spacing w:after="0"/>
            </w:pPr>
            <w:r>
              <w:rPr>
                <w:rFonts w:ascii="Prima Serif Std Roman" w:hAnsi="Prima Serif Std Roman" w:eastAsia="Prima Serif Std Roman"/>
                <w:b w:val="0"/>
                <w:sz w:val="18"/>
              </w:rPr>
              <w:t>得到可直接使用的全局量</w:t>
            </w:r>
          </w:p>
        </w:tc>
      </w:tr>
      <w:tr w14:paraId="7EDA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top"/>
          </w:tcPr>
          <w:p w14:paraId="166EF9A3">
            <w:pPr>
              <w:spacing w:after="0"/>
            </w:pPr>
            <w:r>
              <w:rPr>
                <w:rFonts w:ascii="Prima Serif Std Roman" w:hAnsi="Prima Serif Std Roman" w:eastAsia="Prima Serif Std Roman"/>
                <w:b w:val="0"/>
                <w:sz w:val="18"/>
              </w:rPr>
              <w:t>3</w:t>
            </w:r>
          </w:p>
        </w:tc>
        <w:tc>
          <w:tcPr>
            <w:tcW w:w="1701" w:type="dxa"/>
            <w:vAlign w:val="top"/>
          </w:tcPr>
          <w:p w14:paraId="507A4F17">
            <w:pPr>
              <w:spacing w:after="0"/>
            </w:pPr>
            <w:r>
              <w:rPr>
                <w:rFonts w:ascii="Prima Serif Std Roman" w:hAnsi="Prima Serif Std Roman" w:eastAsia="Prima Serif Std Roman"/>
                <w:b w:val="0"/>
                <w:sz w:val="18"/>
              </w:rPr>
              <w:t>导出局部场数据</w:t>
            </w:r>
          </w:p>
        </w:tc>
        <w:tc>
          <w:tcPr>
            <w:tcW w:w="3969" w:type="dxa"/>
            <w:vAlign w:val="top"/>
          </w:tcPr>
          <w:p w14:paraId="02CD050A">
            <w:pPr>
              <w:spacing w:after="0"/>
            </w:pPr>
            <w:r>
              <w:rPr>
                <w:rFonts w:ascii="Prima Serif Std Roman" w:hAnsi="Prima Serif Std Roman" w:eastAsia="Prima Serif Std Roman"/>
                <w:b w:val="0"/>
                <w:sz w:val="18"/>
              </w:rPr>
              <w:t>出口面数据、壁面面元数据、燃烧室单元数据</w:t>
            </w:r>
          </w:p>
        </w:tc>
        <w:tc>
          <w:tcPr>
            <w:tcW w:w="2835" w:type="dxa"/>
            <w:vAlign w:val="top"/>
          </w:tcPr>
          <w:p w14:paraId="30DA7C1F">
            <w:pPr>
              <w:spacing w:after="0"/>
            </w:pPr>
            <w:r>
              <w:rPr>
                <w:rFonts w:ascii="Prima Serif Std Roman" w:hAnsi="Prima Serif Std Roman" w:eastAsia="Prima Serif Std Roman"/>
                <w:b w:val="0"/>
                <w:sz w:val="18"/>
              </w:rPr>
              <w:t>用于外部复算推力、φ 统计、异常热点筛查</w:t>
            </w:r>
          </w:p>
        </w:tc>
      </w:tr>
      <w:tr w14:paraId="1B30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top"/>
          </w:tcPr>
          <w:p w14:paraId="135A70DE">
            <w:pPr>
              <w:spacing w:after="0"/>
            </w:pPr>
            <w:r>
              <w:rPr>
                <w:rFonts w:ascii="Prima Serif Std Roman" w:hAnsi="Prima Serif Std Roman" w:eastAsia="Prima Serif Std Roman"/>
                <w:b w:val="0"/>
                <w:sz w:val="18"/>
              </w:rPr>
              <w:t>4</w:t>
            </w:r>
          </w:p>
        </w:tc>
        <w:tc>
          <w:tcPr>
            <w:tcW w:w="1701" w:type="dxa"/>
            <w:vAlign w:val="top"/>
          </w:tcPr>
          <w:p w14:paraId="48CCFEE5">
            <w:pPr>
              <w:spacing w:after="0"/>
            </w:pPr>
            <w:r>
              <w:rPr>
                <w:rFonts w:ascii="Prima Serif Std Roman" w:hAnsi="Prima Serif Std Roman" w:eastAsia="Prima Serif Std Roman"/>
                <w:b w:val="0"/>
                <w:sz w:val="18"/>
              </w:rPr>
              <w:t>外部计算</w:t>
            </w:r>
          </w:p>
        </w:tc>
        <w:tc>
          <w:tcPr>
            <w:tcW w:w="3969" w:type="dxa"/>
            <w:vAlign w:val="top"/>
          </w:tcPr>
          <w:p w14:paraId="32097A7F">
            <w:pPr>
              <w:spacing w:after="0"/>
            </w:pPr>
            <w:r>
              <w:rPr>
                <w:rFonts w:ascii="Prima Serif Std Roman" w:hAnsi="Prima Serif Std Roman" w:eastAsia="Prima Serif Std Roman"/>
                <w:b w:val="0"/>
                <w:sz w:val="18"/>
              </w:rPr>
              <w:t>按统一公式计算 Isp、ηc、φ̄、σφ、Twall、Tmax</w:t>
            </w:r>
          </w:p>
        </w:tc>
        <w:tc>
          <w:tcPr>
            <w:tcW w:w="2835" w:type="dxa"/>
            <w:vAlign w:val="top"/>
          </w:tcPr>
          <w:p w14:paraId="0EBD179A">
            <w:pPr>
              <w:spacing w:after="0"/>
            </w:pPr>
            <w:r>
              <w:rPr>
                <w:rFonts w:ascii="Prima Serif Std Roman" w:hAnsi="Prima Serif Std Roman" w:eastAsia="Prima Serif Std Roman"/>
                <w:b w:val="0"/>
                <w:sz w:val="18"/>
              </w:rPr>
              <w:t>保证全部算例使用同一算法</w:t>
            </w:r>
          </w:p>
        </w:tc>
      </w:tr>
      <w:tr w14:paraId="1DE2F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top"/>
          </w:tcPr>
          <w:p w14:paraId="0B5460E8">
            <w:pPr>
              <w:spacing w:after="0"/>
            </w:pPr>
            <w:r>
              <w:rPr>
                <w:rFonts w:ascii="Prima Serif Std Roman" w:hAnsi="Prima Serif Std Roman" w:eastAsia="Prima Serif Std Roman"/>
                <w:b w:val="0"/>
                <w:sz w:val="18"/>
              </w:rPr>
              <w:t>5</w:t>
            </w:r>
          </w:p>
        </w:tc>
        <w:tc>
          <w:tcPr>
            <w:tcW w:w="1701" w:type="dxa"/>
            <w:vAlign w:val="top"/>
          </w:tcPr>
          <w:p w14:paraId="11A2C0AA">
            <w:pPr>
              <w:spacing w:after="0"/>
            </w:pPr>
            <w:r>
              <w:rPr>
                <w:rFonts w:ascii="Prima Serif Std Roman" w:hAnsi="Prima Serif Std Roman" w:eastAsia="Prima Serif Std Roman"/>
                <w:b w:val="0"/>
                <w:sz w:val="18"/>
              </w:rPr>
              <w:t>归档</w:t>
            </w:r>
          </w:p>
        </w:tc>
        <w:tc>
          <w:tcPr>
            <w:tcW w:w="3969" w:type="dxa"/>
            <w:vAlign w:val="top"/>
          </w:tcPr>
          <w:p w14:paraId="5E51538F">
            <w:pPr>
              <w:spacing w:after="0"/>
            </w:pPr>
            <w:r>
              <w:rPr>
                <w:rFonts w:ascii="Prima Serif Std Roman" w:hAnsi="Prima Serif Std Roman" w:eastAsia="Prima Serif Std Roman"/>
                <w:b w:val="0"/>
                <w:sz w:val="18"/>
              </w:rPr>
              <w:t>case_id、设计变量、边界条件、网格量级、收敛指标、五项研究指标</w:t>
            </w:r>
          </w:p>
        </w:tc>
        <w:tc>
          <w:tcPr>
            <w:tcW w:w="2835" w:type="dxa"/>
            <w:vAlign w:val="top"/>
          </w:tcPr>
          <w:p w14:paraId="0E9B3071">
            <w:pPr>
              <w:spacing w:after="0"/>
            </w:pPr>
            <w:r>
              <w:rPr>
                <w:rFonts w:ascii="Prima Serif Std Roman" w:hAnsi="Prima Serif Std Roman" w:eastAsia="Prima Serif Std Roman"/>
                <w:b w:val="0"/>
                <w:sz w:val="18"/>
              </w:rPr>
              <w:t>形成代理模型训练表</w:t>
            </w:r>
          </w:p>
        </w:tc>
      </w:tr>
    </w:tbl>
    <w:p w14:paraId="432A9282"/>
    <w:p w14:paraId="7B37629F">
      <w:pPr>
        <w:pStyle w:val="165"/>
      </w:pPr>
      <w:r>
        <w:rPr>
          <w:i/>
          <w:sz w:val="18"/>
        </w:rPr>
        <w:t>建议每个算例保留两类结果：summary.csv 存放五项指标和质量控制量；field_export/ 文件夹存放出口截面、燃烧室体数据和壁面面元数据。这样既能直接训练 DNN，也能在发现异常标签时回溯原始场量。</w:t>
      </w:r>
    </w:p>
    <w:p w14:paraId="055D7ED3">
      <w:pPr>
        <w:pStyle w:val="3"/>
      </w:pPr>
      <w:r>
        <w:t>4 五项研究指标的数据采集与计算方法</w:t>
      </w:r>
    </w:p>
    <w:p w14:paraId="15A73273">
      <w:pPr>
        <w:pStyle w:val="4"/>
      </w:pPr>
      <w:r>
        <w:t>4.1 比冲 Isp</w:t>
      </w:r>
    </w:p>
    <w:p w14:paraId="105BA6CC">
      <w:r>
        <w:t>比冲需要由推力和总推进剂质量流量共同确定。Fluent 中不能简单用出口平均速度乘以质量流量替代推力，因为喷管出口可能存在速度径向分布、非均匀压力分布和局部回流。推荐在 nozzle_exit 截面上进行动量通量与压力推力积分。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1417"/>
        <w:gridCol w:w="2835"/>
      </w:tblGrid>
      <w:tr w14:paraId="226D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40CAF55C">
            <w:pPr>
              <w:spacing w:after="0"/>
            </w:pPr>
            <w:r>
              <w:rPr>
                <w:rFonts w:ascii="Prima Serif Std Roman" w:hAnsi="Prima Serif Std Roman" w:eastAsia="Prima Serif Std Roman"/>
                <w:b/>
                <w:sz w:val="18"/>
              </w:rPr>
              <w:t>采集位置</w:t>
            </w:r>
          </w:p>
        </w:tc>
        <w:tc>
          <w:tcPr>
            <w:tcW w:w="2551" w:type="dxa"/>
            <w:shd w:val="clear" w:color="auto" w:fill="D9EAF7"/>
            <w:vAlign w:val="center"/>
          </w:tcPr>
          <w:p w14:paraId="2890171C">
            <w:pPr>
              <w:spacing w:after="0"/>
            </w:pPr>
            <w:r>
              <w:rPr>
                <w:rFonts w:ascii="Prima Serif Std Roman" w:hAnsi="Prima Serif Std Roman" w:eastAsia="Prima Serif Std Roman"/>
                <w:b/>
                <w:sz w:val="18"/>
              </w:rPr>
              <w:t>Fluent 操作/变量</w:t>
            </w:r>
          </w:p>
        </w:tc>
        <w:tc>
          <w:tcPr>
            <w:tcW w:w="1417" w:type="dxa"/>
            <w:shd w:val="clear" w:color="auto" w:fill="D9EAF7"/>
            <w:vAlign w:val="center"/>
          </w:tcPr>
          <w:p w14:paraId="654D4528">
            <w:pPr>
              <w:spacing w:after="0"/>
            </w:pPr>
            <w:r>
              <w:rPr>
                <w:rFonts w:ascii="Prima Serif Std Roman" w:hAnsi="Prima Serif Std Roman" w:eastAsia="Prima Serif Std Roman"/>
                <w:b/>
                <w:sz w:val="18"/>
              </w:rPr>
              <w:t>符号</w:t>
            </w:r>
          </w:p>
        </w:tc>
        <w:tc>
          <w:tcPr>
            <w:tcW w:w="2835" w:type="dxa"/>
            <w:shd w:val="clear" w:color="auto" w:fill="D9EAF7"/>
            <w:vAlign w:val="center"/>
          </w:tcPr>
          <w:p w14:paraId="218CDC03">
            <w:pPr>
              <w:spacing w:after="0"/>
            </w:pPr>
            <w:r>
              <w:rPr>
                <w:rFonts w:ascii="Prima Serif Std Roman" w:hAnsi="Prima Serif Std Roman" w:eastAsia="Prima Serif Std Roman"/>
                <w:b/>
                <w:sz w:val="18"/>
              </w:rPr>
              <w:t>说明</w:t>
            </w:r>
          </w:p>
        </w:tc>
      </w:tr>
      <w:tr w14:paraId="3FC5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5B7A0DCF">
            <w:pPr>
              <w:spacing w:after="0"/>
            </w:pPr>
            <w:r>
              <w:rPr>
                <w:rFonts w:ascii="Prima Serif Std Roman" w:hAnsi="Prima Serif Std Roman" w:eastAsia="Prima Serif Std Roman"/>
                <w:b w:val="0"/>
                <w:sz w:val="18"/>
              </w:rPr>
              <w:t>入口面 ox_inlet_*</w:t>
            </w:r>
          </w:p>
        </w:tc>
        <w:tc>
          <w:tcPr>
            <w:tcW w:w="2551" w:type="dxa"/>
            <w:vAlign w:val="top"/>
          </w:tcPr>
          <w:p w14:paraId="434C0D4E">
            <w:pPr>
              <w:spacing w:after="0"/>
            </w:pPr>
            <w:r>
              <w:rPr>
                <w:rFonts w:ascii="Prima Serif Std Roman" w:hAnsi="Prima Serif Std Roman" w:eastAsia="Prima Serif Std Roman"/>
                <w:b w:val="0"/>
                <w:sz w:val="18"/>
              </w:rPr>
              <w:t>Mass Flow Rate</w:t>
            </w:r>
          </w:p>
        </w:tc>
        <w:tc>
          <w:tcPr>
            <w:tcW w:w="1417" w:type="dxa"/>
            <w:vAlign w:val="top"/>
          </w:tcPr>
          <w:p w14:paraId="5508BE0C">
            <w:pPr>
              <w:spacing w:after="0"/>
            </w:pPr>
            <w:r>
              <w:rPr>
                <w:rFonts w:ascii="Prima Serif Std Roman" w:hAnsi="Prima Serif Std Roman" w:eastAsia="Prima Serif Std Roman"/>
                <w:b w:val="0"/>
                <w:sz w:val="18"/>
              </w:rPr>
              <w:t>m_dot_ox</w:t>
            </w:r>
          </w:p>
        </w:tc>
        <w:tc>
          <w:tcPr>
            <w:tcW w:w="2835" w:type="dxa"/>
            <w:vAlign w:val="top"/>
          </w:tcPr>
          <w:p w14:paraId="7F3351BA">
            <w:pPr>
              <w:spacing w:after="0"/>
            </w:pPr>
            <w:r>
              <w:rPr>
                <w:rFonts w:ascii="Prima Serif Std Roman" w:hAnsi="Prima Serif Std Roman" w:eastAsia="Prima Serif Std Roman"/>
                <w:b w:val="0"/>
                <w:sz w:val="18"/>
              </w:rPr>
              <w:t>Fluent 入口质量流量符号可能为负，后处理取绝对值</w:t>
            </w:r>
          </w:p>
        </w:tc>
      </w:tr>
      <w:tr w14:paraId="5D01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0FE6C77">
            <w:pPr>
              <w:spacing w:after="0"/>
            </w:pPr>
            <w:r>
              <w:rPr>
                <w:rFonts w:ascii="Prima Serif Std Roman" w:hAnsi="Prima Serif Std Roman" w:eastAsia="Prima Serif Std Roman"/>
                <w:b w:val="0"/>
                <w:sz w:val="18"/>
              </w:rPr>
              <w:t>入口面 fuel_inlet_*</w:t>
            </w:r>
          </w:p>
        </w:tc>
        <w:tc>
          <w:tcPr>
            <w:tcW w:w="2551" w:type="dxa"/>
            <w:vAlign w:val="top"/>
          </w:tcPr>
          <w:p w14:paraId="78127BE1">
            <w:pPr>
              <w:spacing w:after="0"/>
            </w:pPr>
            <w:r>
              <w:rPr>
                <w:rFonts w:ascii="Prima Serif Std Roman" w:hAnsi="Prima Serif Std Roman" w:eastAsia="Prima Serif Std Roman"/>
                <w:b w:val="0"/>
                <w:sz w:val="18"/>
              </w:rPr>
              <w:t>Mass Flow Rate</w:t>
            </w:r>
          </w:p>
        </w:tc>
        <w:tc>
          <w:tcPr>
            <w:tcW w:w="1417" w:type="dxa"/>
            <w:vAlign w:val="top"/>
          </w:tcPr>
          <w:p w14:paraId="10C6F0EE">
            <w:pPr>
              <w:spacing w:after="0"/>
            </w:pPr>
            <w:r>
              <w:rPr>
                <w:rFonts w:ascii="Prima Serif Std Roman" w:hAnsi="Prima Serif Std Roman" w:eastAsia="Prima Serif Std Roman"/>
                <w:b w:val="0"/>
                <w:sz w:val="18"/>
              </w:rPr>
              <w:t>m_dot_fuel</w:t>
            </w:r>
          </w:p>
        </w:tc>
        <w:tc>
          <w:tcPr>
            <w:tcW w:w="2835" w:type="dxa"/>
            <w:vAlign w:val="top"/>
          </w:tcPr>
          <w:p w14:paraId="0C047D59">
            <w:pPr>
              <w:spacing w:after="0"/>
            </w:pPr>
            <w:r>
              <w:rPr>
                <w:rFonts w:ascii="Prima Serif Std Roman" w:hAnsi="Prima Serif Std Roman" w:eastAsia="Prima Serif Std Roman"/>
                <w:b w:val="0"/>
                <w:sz w:val="18"/>
              </w:rPr>
              <w:t>用于总质量流量和燃烧效率理论热输入</w:t>
            </w:r>
          </w:p>
        </w:tc>
      </w:tr>
      <w:tr w14:paraId="0E6C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10D80732">
            <w:pPr>
              <w:spacing w:after="0"/>
            </w:pPr>
            <w:r>
              <w:rPr>
                <w:rFonts w:ascii="Prima Serif Std Roman" w:hAnsi="Prima Serif Std Roman" w:eastAsia="Prima Serif Std Roman"/>
                <w:b w:val="0"/>
                <w:sz w:val="18"/>
              </w:rPr>
              <w:t>出口面 nozzle_exit</w:t>
            </w:r>
          </w:p>
        </w:tc>
        <w:tc>
          <w:tcPr>
            <w:tcW w:w="2551" w:type="dxa"/>
            <w:vAlign w:val="top"/>
          </w:tcPr>
          <w:p w14:paraId="3FADA936">
            <w:pPr>
              <w:spacing w:after="0"/>
            </w:pPr>
            <w:r>
              <w:rPr>
                <w:rFonts w:ascii="Prima Serif Std Roman" w:hAnsi="Prima Serif Std Roman" w:eastAsia="Prima Serif Std Roman"/>
                <w:b w:val="0"/>
                <w:sz w:val="18"/>
              </w:rPr>
              <w:t>ρ、u、v、w、p、n_x、dA</w:t>
            </w:r>
          </w:p>
        </w:tc>
        <w:tc>
          <w:tcPr>
            <w:tcW w:w="1417" w:type="dxa"/>
            <w:vAlign w:val="top"/>
          </w:tcPr>
          <w:p w14:paraId="7B59E4F9">
            <w:pPr>
              <w:spacing w:after="0"/>
            </w:pPr>
            <w:r>
              <w:rPr>
                <w:rFonts w:ascii="Prima Serif Std Roman" w:hAnsi="Prima Serif Std Roman" w:eastAsia="Prima Serif Std Roman"/>
                <w:b w:val="0"/>
                <w:sz w:val="18"/>
              </w:rPr>
              <w:t>出口面元数据</w:t>
            </w:r>
          </w:p>
        </w:tc>
        <w:tc>
          <w:tcPr>
            <w:tcW w:w="2835" w:type="dxa"/>
            <w:vAlign w:val="top"/>
          </w:tcPr>
          <w:p w14:paraId="7AF8D9CA">
            <w:pPr>
              <w:spacing w:after="0"/>
            </w:pPr>
            <w:r>
              <w:rPr>
                <w:rFonts w:ascii="Prima Serif Std Roman" w:hAnsi="Prima Serif Std Roman" w:eastAsia="Prima Serif Std Roman"/>
                <w:b w:val="0"/>
                <w:sz w:val="18"/>
              </w:rPr>
              <w:t>用于外部脚本积分推力；若 Fluent 无法直接导出法向分量，可导出面法向或用几何方向确定</w:t>
            </w:r>
          </w:p>
        </w:tc>
      </w:tr>
      <w:tr w14:paraId="7BFE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E1BF46F">
            <w:pPr>
              <w:spacing w:after="0"/>
            </w:pPr>
            <w:r>
              <w:rPr>
                <w:rFonts w:ascii="Prima Serif Std Roman" w:hAnsi="Prima Serif Std Roman" w:eastAsia="Prima Serif Std Roman"/>
                <w:b w:val="0"/>
                <w:sz w:val="18"/>
              </w:rPr>
              <w:t>环境/出口边界</w:t>
            </w:r>
          </w:p>
        </w:tc>
        <w:tc>
          <w:tcPr>
            <w:tcW w:w="2551" w:type="dxa"/>
            <w:vAlign w:val="top"/>
          </w:tcPr>
          <w:p w14:paraId="5AA5BD78">
            <w:pPr>
              <w:spacing w:after="0"/>
            </w:pPr>
            <w:r>
              <w:rPr>
                <w:rFonts w:ascii="Prima Serif Std Roman" w:hAnsi="Prima Serif Std Roman" w:eastAsia="Prima Serif Std Roman"/>
                <w:b w:val="0"/>
                <w:sz w:val="18"/>
              </w:rPr>
              <w:t>Ambient pressure 或 back pressure</w:t>
            </w:r>
          </w:p>
        </w:tc>
        <w:tc>
          <w:tcPr>
            <w:tcW w:w="1417" w:type="dxa"/>
            <w:vAlign w:val="top"/>
          </w:tcPr>
          <w:p w14:paraId="17C560FE">
            <w:pPr>
              <w:spacing w:after="0"/>
            </w:pPr>
            <w:r>
              <w:rPr>
                <w:rFonts w:ascii="Prima Serif Std Roman" w:hAnsi="Prima Serif Std Roman" w:eastAsia="Prima Serif Std Roman"/>
                <w:b w:val="0"/>
                <w:sz w:val="18"/>
              </w:rPr>
              <w:t>pa</w:t>
            </w:r>
          </w:p>
        </w:tc>
        <w:tc>
          <w:tcPr>
            <w:tcW w:w="2835" w:type="dxa"/>
            <w:vAlign w:val="top"/>
          </w:tcPr>
          <w:p w14:paraId="502EF01C">
            <w:pPr>
              <w:spacing w:after="0"/>
            </w:pPr>
            <w:r>
              <w:rPr>
                <w:rFonts w:ascii="Prima Serif Std Roman" w:hAnsi="Prima Serif Std Roman" w:eastAsia="Prima Serif Std Roman"/>
                <w:b w:val="0"/>
                <w:sz w:val="18"/>
              </w:rPr>
              <w:t>压力推力基准；真空工况取 pa=0，地面工况取试验环境压强</w:t>
            </w:r>
          </w:p>
        </w:tc>
      </w:tr>
    </w:tbl>
    <w:p w14:paraId="2570DDD7"/>
    <w:p w14:paraId="78848B37">
      <w:pPr>
        <w:pStyle w:val="164"/>
      </w:pPr>
      <w:r>
        <w:rPr>
          <w:rFonts w:ascii="Prima Serif Std Roman" w:hAnsi="Prima Serif Std Roman" w:eastAsia="Prima Serif Std Roman"/>
          <w:sz w:val="21"/>
        </w:rPr>
        <w:t>m_dot = |m_dot_ox| + |m_dot_fuel|</w:t>
      </w:r>
    </w:p>
    <w:p w14:paraId="017CF6A9">
      <w:pPr>
        <w:pStyle w:val="164"/>
      </w:pPr>
      <w:r>
        <w:rPr>
          <w:rFonts w:ascii="Prima Serif Std Roman" w:hAnsi="Prima Serif Std Roman" w:eastAsia="Prima Serif Std Roman"/>
          <w:sz w:val="21"/>
        </w:rPr>
        <w:t>F_x = sum[ rho_i * u_x,i * (v_i · n_i) * dA_i ] + sum[ (p_i - p_a) * n_x,i * dA_i ]</w:t>
      </w:r>
    </w:p>
    <w:p w14:paraId="2B3265EB">
      <w:pPr>
        <w:pStyle w:val="164"/>
      </w:pPr>
      <w:r>
        <w:rPr>
          <w:rFonts w:ascii="Prima Serif Std Roman" w:hAnsi="Prima Serif Std Roman" w:eastAsia="Prima Serif Std Roman"/>
          <w:sz w:val="21"/>
        </w:rPr>
        <w:t>I_sp = F_x / (m_dot * g0),  g0 = 9.80665 m/s^2</w:t>
      </w:r>
    </w:p>
    <w:p w14:paraId="7F4EAB67">
      <w:r>
        <w:t>若 nozzle_exit 截面与发动机轴线垂直，且面法向与推力方向一致，可采用近似式 Fx ≈ ∫Ae ρ ux² dA + ∫Ae (p - pa)dA。对于出口压力分布接近均匀的情况，第二项可进一步写成 (p̄e - pa)Ae。批量后处理中仍建议使用面元积分形式，以免不同喷注器构型造成出口流动畸变时引入系统误差。</w:t>
      </w:r>
    </w:p>
    <w:p w14:paraId="79FE625A">
      <w:pPr>
        <w:pStyle w:val="165"/>
      </w:pPr>
      <w:r>
        <w:rPr>
          <w:i/>
          <w:sz w:val="18"/>
        </w:rPr>
        <w:t>质量守恒检查：应同时比较入口总质量流量和出口质量流量，误差 eps_m = |m_dotin - m_dotout| / m_dotin。稳态算例建议 eps_m &lt; 0.5% 或按课题统一阈值执行；超过阈值的 Isp 不应直接进入训练集。</w:t>
      </w:r>
    </w:p>
    <w:p w14:paraId="1E93AD15">
      <w:pPr>
        <w:pStyle w:val="4"/>
      </w:pPr>
      <w:r>
        <w:t>4.2 燃烧效率 ηc</w:t>
      </w:r>
    </w:p>
    <w:p w14:paraId="75741DC2">
      <w:r>
        <w:t>燃烧效率反映实际化学热释放相对于理论化学能输入的比例。Fluent 中应采集反应流体域内的体积热释放率，并对整个反应域积分得到实际热释放功率。理论热输入应以燃料甲烷的质量流量和甲烷低位热值计算。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1531"/>
        <w:gridCol w:w="2551"/>
      </w:tblGrid>
      <w:tr w14:paraId="6EBD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7BF94F08">
            <w:pPr>
              <w:spacing w:after="0"/>
            </w:pPr>
            <w:r>
              <w:rPr>
                <w:rFonts w:ascii="Prima Serif Std Roman" w:hAnsi="Prima Serif Std Roman" w:eastAsia="Prima Serif Std Roman"/>
                <w:b/>
                <w:sz w:val="18"/>
              </w:rPr>
              <w:t>采集位置</w:t>
            </w:r>
          </w:p>
        </w:tc>
        <w:tc>
          <w:tcPr>
            <w:tcW w:w="2835" w:type="dxa"/>
            <w:shd w:val="clear" w:color="auto" w:fill="D9EAF7"/>
            <w:vAlign w:val="center"/>
          </w:tcPr>
          <w:p w14:paraId="3F95AC69">
            <w:pPr>
              <w:spacing w:after="0"/>
            </w:pPr>
            <w:r>
              <w:rPr>
                <w:rFonts w:ascii="Prima Serif Std Roman" w:hAnsi="Prima Serif Std Roman" w:eastAsia="Prima Serif Std Roman"/>
                <w:b/>
                <w:sz w:val="18"/>
              </w:rPr>
              <w:t>Fluent 操作/变量</w:t>
            </w:r>
          </w:p>
        </w:tc>
        <w:tc>
          <w:tcPr>
            <w:tcW w:w="1531" w:type="dxa"/>
            <w:shd w:val="clear" w:color="auto" w:fill="D9EAF7"/>
            <w:vAlign w:val="center"/>
          </w:tcPr>
          <w:p w14:paraId="208DA93D">
            <w:pPr>
              <w:spacing w:after="0"/>
            </w:pPr>
            <w:r>
              <w:rPr>
                <w:rFonts w:ascii="Prima Serif Std Roman" w:hAnsi="Prima Serif Std Roman" w:eastAsia="Prima Serif Std Roman"/>
                <w:b/>
                <w:sz w:val="18"/>
              </w:rPr>
              <w:t>符号</w:t>
            </w:r>
          </w:p>
        </w:tc>
        <w:tc>
          <w:tcPr>
            <w:tcW w:w="2551" w:type="dxa"/>
            <w:shd w:val="clear" w:color="auto" w:fill="D9EAF7"/>
            <w:vAlign w:val="center"/>
          </w:tcPr>
          <w:p w14:paraId="343E012A">
            <w:pPr>
              <w:spacing w:after="0"/>
            </w:pPr>
            <w:r>
              <w:rPr>
                <w:rFonts w:ascii="Prima Serif Std Roman" w:hAnsi="Prima Serif Std Roman" w:eastAsia="Prima Serif Std Roman"/>
                <w:b/>
                <w:sz w:val="18"/>
              </w:rPr>
              <w:t>说明</w:t>
            </w:r>
          </w:p>
        </w:tc>
      </w:tr>
      <w:tr w14:paraId="5D70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6F84A7F">
            <w:pPr>
              <w:spacing w:after="0"/>
            </w:pPr>
            <w:r>
              <w:rPr>
                <w:rFonts w:ascii="Prima Serif Std Roman" w:hAnsi="Prima Serif Std Roman" w:eastAsia="Prima Serif Std Roman"/>
                <w:b w:val="0"/>
                <w:sz w:val="18"/>
              </w:rPr>
              <w:t>all_reactive_fluid</w:t>
            </w:r>
          </w:p>
        </w:tc>
        <w:tc>
          <w:tcPr>
            <w:tcW w:w="2835" w:type="dxa"/>
            <w:vAlign w:val="top"/>
          </w:tcPr>
          <w:p w14:paraId="463CC525">
            <w:pPr>
              <w:spacing w:after="0"/>
            </w:pPr>
            <w:r>
              <w:rPr>
                <w:rFonts w:ascii="Prima Serif Std Roman" w:hAnsi="Prima Serif Std Roman" w:eastAsia="Prima Serif Std Roman"/>
                <w:b w:val="0"/>
                <w:sz w:val="18"/>
              </w:rPr>
              <w:t>Heat Release Rate 或 Volumetric Heat Release Rate</w:t>
            </w:r>
          </w:p>
        </w:tc>
        <w:tc>
          <w:tcPr>
            <w:tcW w:w="1531" w:type="dxa"/>
            <w:vAlign w:val="top"/>
          </w:tcPr>
          <w:p w14:paraId="5EA15747">
            <w:pPr>
              <w:spacing w:after="0"/>
            </w:pPr>
            <w:r>
              <w:rPr>
                <w:rFonts w:ascii="Prima Serif Std Roman" w:hAnsi="Prima Serif Std Roman" w:eastAsia="Prima Serif Std Roman"/>
                <w:b w:val="0"/>
                <w:sz w:val="18"/>
              </w:rPr>
              <w:t>q_dot_chem,i [W/m³]</w:t>
            </w:r>
          </w:p>
        </w:tc>
        <w:tc>
          <w:tcPr>
            <w:tcW w:w="2551" w:type="dxa"/>
            <w:vAlign w:val="top"/>
          </w:tcPr>
          <w:p w14:paraId="755BE1C9">
            <w:pPr>
              <w:spacing w:after="0"/>
            </w:pPr>
            <w:r>
              <w:rPr>
                <w:rFonts w:ascii="Prima Serif Std Roman" w:hAnsi="Prima Serif Std Roman" w:eastAsia="Prima Serif Std Roman"/>
                <w:b w:val="0"/>
                <w:sz w:val="18"/>
              </w:rPr>
              <w:t>体积热释放率；不同 Fluent 版本变量名称可能略有差异</w:t>
            </w:r>
          </w:p>
        </w:tc>
      </w:tr>
      <w:tr w14:paraId="046F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7D84F435">
            <w:pPr>
              <w:spacing w:after="0"/>
            </w:pPr>
            <w:r>
              <w:rPr>
                <w:rFonts w:ascii="Prima Serif Std Roman" w:hAnsi="Prima Serif Std Roman" w:eastAsia="Prima Serif Std Roman"/>
                <w:b w:val="0"/>
                <w:sz w:val="18"/>
              </w:rPr>
              <w:t>all_reactive_fluid</w:t>
            </w:r>
          </w:p>
        </w:tc>
        <w:tc>
          <w:tcPr>
            <w:tcW w:w="2835" w:type="dxa"/>
            <w:vAlign w:val="top"/>
          </w:tcPr>
          <w:p w14:paraId="6D8AC81B">
            <w:pPr>
              <w:spacing w:after="0"/>
            </w:pPr>
            <w:r>
              <w:rPr>
                <w:rFonts w:ascii="Prima Serif Std Roman" w:hAnsi="Prima Serif Std Roman" w:eastAsia="Prima Serif Std Roman"/>
                <w:b w:val="0"/>
                <w:sz w:val="18"/>
              </w:rPr>
              <w:t>Cell Volume</w:t>
            </w:r>
          </w:p>
        </w:tc>
        <w:tc>
          <w:tcPr>
            <w:tcW w:w="1531" w:type="dxa"/>
            <w:vAlign w:val="top"/>
          </w:tcPr>
          <w:p w14:paraId="2AC47802">
            <w:pPr>
              <w:spacing w:after="0"/>
            </w:pPr>
            <w:r>
              <w:rPr>
                <w:rFonts w:ascii="Prima Serif Std Roman" w:hAnsi="Prima Serif Std Roman" w:eastAsia="Prima Serif Std Roman"/>
                <w:b w:val="0"/>
                <w:sz w:val="18"/>
              </w:rPr>
              <w:t>Vi</w:t>
            </w:r>
          </w:p>
        </w:tc>
        <w:tc>
          <w:tcPr>
            <w:tcW w:w="2551" w:type="dxa"/>
            <w:vAlign w:val="top"/>
          </w:tcPr>
          <w:p w14:paraId="50668BE1">
            <w:pPr>
              <w:spacing w:after="0"/>
            </w:pPr>
            <w:r>
              <w:rPr>
                <w:rFonts w:ascii="Prima Serif Std Roman" w:hAnsi="Prima Serif Std Roman" w:eastAsia="Prima Serif Std Roman"/>
                <w:b w:val="0"/>
                <w:sz w:val="18"/>
              </w:rPr>
              <w:t>用于外部积分；也可直接使用 Fluent Volume Integral</w:t>
            </w:r>
          </w:p>
        </w:tc>
      </w:tr>
      <w:tr w14:paraId="4B45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5D2EF32F">
            <w:pPr>
              <w:spacing w:after="0"/>
            </w:pPr>
            <w:r>
              <w:rPr>
                <w:rFonts w:ascii="Prima Serif Std Roman" w:hAnsi="Prima Serif Std Roman" w:eastAsia="Prima Serif Std Roman"/>
                <w:b w:val="0"/>
                <w:sz w:val="18"/>
              </w:rPr>
              <w:t>fuel_inlet_*</w:t>
            </w:r>
          </w:p>
        </w:tc>
        <w:tc>
          <w:tcPr>
            <w:tcW w:w="2835" w:type="dxa"/>
            <w:vAlign w:val="top"/>
          </w:tcPr>
          <w:p w14:paraId="2A0C16F6">
            <w:pPr>
              <w:spacing w:after="0"/>
            </w:pPr>
            <w:r>
              <w:rPr>
                <w:rFonts w:ascii="Prima Serif Std Roman" w:hAnsi="Prima Serif Std Roman" w:eastAsia="Prima Serif Std Roman"/>
                <w:b w:val="0"/>
                <w:sz w:val="18"/>
              </w:rPr>
              <w:t>Mass Flow Rate</w:t>
            </w:r>
          </w:p>
        </w:tc>
        <w:tc>
          <w:tcPr>
            <w:tcW w:w="1531" w:type="dxa"/>
            <w:vAlign w:val="top"/>
          </w:tcPr>
          <w:p w14:paraId="2E0CCE35">
            <w:pPr>
              <w:spacing w:after="0"/>
            </w:pPr>
            <w:r>
              <w:rPr>
                <w:rFonts w:ascii="Prima Serif Std Roman" w:hAnsi="Prima Serif Std Roman" w:eastAsia="Prima Serif Std Roman"/>
                <w:b w:val="0"/>
                <w:sz w:val="18"/>
              </w:rPr>
              <w:t>m_dot_CH4</w:t>
            </w:r>
          </w:p>
        </w:tc>
        <w:tc>
          <w:tcPr>
            <w:tcW w:w="2551" w:type="dxa"/>
            <w:vAlign w:val="top"/>
          </w:tcPr>
          <w:p w14:paraId="132E7D0E">
            <w:pPr>
              <w:spacing w:after="0"/>
            </w:pPr>
            <w:r>
              <w:rPr>
                <w:rFonts w:ascii="Prima Serif Std Roman" w:hAnsi="Prima Serif Std Roman" w:eastAsia="Prima Serif Std Roman"/>
                <w:b w:val="0"/>
                <w:sz w:val="18"/>
              </w:rPr>
              <w:t>理论热输入应采用甲烷质量流量</w:t>
            </w:r>
          </w:p>
        </w:tc>
      </w:tr>
      <w:tr w14:paraId="61D7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567E680D">
            <w:pPr>
              <w:spacing w:after="0"/>
            </w:pPr>
            <w:r>
              <w:rPr>
                <w:rFonts w:ascii="Prima Serif Std Roman" w:hAnsi="Prima Serif Std Roman" w:eastAsia="Prima Serif Std Roman"/>
                <w:b w:val="0"/>
                <w:sz w:val="18"/>
              </w:rPr>
              <w:t>常数</w:t>
            </w:r>
          </w:p>
        </w:tc>
        <w:tc>
          <w:tcPr>
            <w:tcW w:w="2835" w:type="dxa"/>
            <w:vAlign w:val="top"/>
          </w:tcPr>
          <w:p w14:paraId="67BD510D">
            <w:pPr>
              <w:spacing w:after="0"/>
            </w:pPr>
            <w:r>
              <w:rPr>
                <w:rFonts w:ascii="Prima Serif Std Roman" w:hAnsi="Prima Serif Std Roman" w:eastAsia="Prima Serif Std Roman"/>
                <w:b w:val="0"/>
                <w:sz w:val="18"/>
              </w:rPr>
              <w:t>LHVCH4</w:t>
            </w:r>
          </w:p>
        </w:tc>
        <w:tc>
          <w:tcPr>
            <w:tcW w:w="1531" w:type="dxa"/>
            <w:vAlign w:val="top"/>
          </w:tcPr>
          <w:p w14:paraId="57231A37">
            <w:pPr>
              <w:spacing w:after="0"/>
            </w:pPr>
            <w:r>
              <w:rPr>
                <w:rFonts w:ascii="Prima Serif Std Roman" w:hAnsi="Prima Serif Std Roman" w:eastAsia="Prima Serif Std Roman"/>
                <w:b w:val="0"/>
                <w:sz w:val="18"/>
              </w:rPr>
              <w:t>50.0 MJ/kg</w:t>
            </w:r>
          </w:p>
        </w:tc>
        <w:tc>
          <w:tcPr>
            <w:tcW w:w="2551" w:type="dxa"/>
            <w:vAlign w:val="top"/>
          </w:tcPr>
          <w:p w14:paraId="4A6CC840">
            <w:pPr>
              <w:spacing w:after="0"/>
            </w:pPr>
            <w:r>
              <w:rPr>
                <w:rFonts w:ascii="Prima Serif Std Roman" w:hAnsi="Prima Serif Std Roman" w:eastAsia="Prima Serif Std Roman"/>
                <w:b w:val="0"/>
                <w:sz w:val="18"/>
              </w:rPr>
              <w:t>与中期报告中的甲烷低位热值保持一致</w:t>
            </w:r>
          </w:p>
        </w:tc>
      </w:tr>
    </w:tbl>
    <w:p w14:paraId="6A6F32F9"/>
    <w:p w14:paraId="1EAC53BA">
      <w:pPr>
        <w:pStyle w:val="164"/>
      </w:pPr>
      <w:r>
        <w:rPr>
          <w:rFonts w:ascii="Prima Serif Std Roman" w:hAnsi="Prima Serif Std Roman" w:eastAsia="Prima Serif Std Roman"/>
          <w:sz w:val="21"/>
        </w:rPr>
        <w:t>Q_dot_actual = integral_V(q_dot_chem dV) ≈ sum_i(q_dot_chem,i * V_i)</w:t>
      </w:r>
    </w:p>
    <w:p w14:paraId="72CE6CDC">
      <w:pPr>
        <w:pStyle w:val="164"/>
      </w:pPr>
      <w:r>
        <w:rPr>
          <w:rFonts w:ascii="Prima Serif Std Roman" w:hAnsi="Prima Serif Std Roman" w:eastAsia="Prima Serif Std Roman"/>
          <w:sz w:val="21"/>
        </w:rPr>
        <w:t>Q_dot_theoretical = m_dot_CH4 * LHV_CH4</w:t>
      </w:r>
    </w:p>
    <w:p w14:paraId="45AA4837">
      <w:pPr>
        <w:pStyle w:val="164"/>
      </w:pPr>
      <w:r>
        <w:rPr>
          <w:rFonts w:ascii="Prima Serif Std Roman" w:hAnsi="Prima Serif Std Roman" w:eastAsia="Prima Serif Std Roman"/>
          <w:sz w:val="21"/>
        </w:rPr>
        <w:t>eta_c = Q_dot_actual / Q_dot_theoretical</w:t>
      </w:r>
    </w:p>
    <w:p w14:paraId="64DC491E">
      <w:r>
        <w:t>若采用 Fluent 的 Reports &gt; Volume Integrals，可直接对 Heat Release Rate 在 all_reactive_fluid 上做体积分，输出单位应为 W。若导出单元数据后外部计算，则需确认 q_dot_chem 的单位是 W/m³ 还是 W；若变量已是每单元总热释放，则不能再次乘以单元体积。</w:t>
      </w:r>
    </w:p>
    <w:p w14:paraId="7D3A63FC">
      <w:pPr>
        <w:pStyle w:val="165"/>
      </w:pPr>
      <w:r>
        <w:rPr>
          <w:i/>
          <w:sz w:val="18"/>
        </w:rPr>
        <w:t>重要修正：中期报告公式中 Etheoretical 写作 m_dot × LHVCH4。为了物理量严格一致，本文建议在后处理中将该 m_dot 明确解释为燃料甲烷质量流量 m_dot_CH4，而不是氧化剂与燃料的总质量流量。若使用总质量流量，会把氧化剂质量错误地乘入燃料热值，导致 ηc 被系统性低估。</w:t>
      </w:r>
    </w:p>
    <w:p w14:paraId="4A380CC8">
      <w:pPr>
        <w:pStyle w:val="4"/>
      </w:pPr>
      <w:r>
        <w:t>4.3 等效混合比 φ(x) 及混合均匀性统计量</w:t>
      </w:r>
    </w:p>
    <w:p w14:paraId="2C4A3809">
      <w:r>
        <w:t>等效混合比用于描述燃烧室局部氧化剂/燃料混合状态。由于实际喷注和燃烧过程存在强烈空间非均匀性，φ 不应只计算一个全局入口 O/F，而应在燃烧室高温反应区域内进行体积加权统计，得到均值 φ̄ 和标准差 σφ。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546"/>
        <w:gridCol w:w="1528"/>
        <w:gridCol w:w="2657"/>
      </w:tblGrid>
      <w:tr w14:paraId="4E2F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shd w:val="clear" w:color="auto" w:fill="D9EAF7"/>
            <w:vAlign w:val="center"/>
          </w:tcPr>
          <w:p w14:paraId="083B2D74">
            <w:pPr>
              <w:spacing w:after="0"/>
            </w:pPr>
            <w:r>
              <w:rPr>
                <w:rFonts w:ascii="Prima Serif Std Roman" w:hAnsi="Prima Serif Std Roman" w:eastAsia="Prima Serif Std Roman"/>
                <w:b/>
                <w:sz w:val="18"/>
              </w:rPr>
              <w:t>采集位置</w:t>
            </w:r>
          </w:p>
        </w:tc>
        <w:tc>
          <w:tcPr>
            <w:tcW w:w="2551" w:type="dxa"/>
            <w:shd w:val="clear" w:color="auto" w:fill="D9EAF7"/>
            <w:vAlign w:val="center"/>
          </w:tcPr>
          <w:p w14:paraId="5C1DAE28">
            <w:pPr>
              <w:spacing w:after="0"/>
            </w:pPr>
            <w:r>
              <w:rPr>
                <w:rFonts w:ascii="Prima Serif Std Roman" w:hAnsi="Prima Serif Std Roman" w:eastAsia="Prima Serif Std Roman"/>
                <w:b/>
                <w:sz w:val="18"/>
              </w:rPr>
              <w:t>Fluent 操作/变量</w:t>
            </w:r>
          </w:p>
        </w:tc>
        <w:tc>
          <w:tcPr>
            <w:tcW w:w="1531" w:type="dxa"/>
            <w:shd w:val="clear" w:color="auto" w:fill="D9EAF7"/>
            <w:vAlign w:val="center"/>
          </w:tcPr>
          <w:p w14:paraId="175C0F2C">
            <w:pPr>
              <w:spacing w:after="0"/>
            </w:pPr>
            <w:r>
              <w:rPr>
                <w:rFonts w:ascii="Prima Serif Std Roman" w:hAnsi="Prima Serif Std Roman" w:eastAsia="Prima Serif Std Roman"/>
                <w:b/>
                <w:sz w:val="18"/>
              </w:rPr>
              <w:t>符号</w:t>
            </w:r>
          </w:p>
        </w:tc>
        <w:tc>
          <w:tcPr>
            <w:tcW w:w="2665" w:type="dxa"/>
            <w:shd w:val="clear" w:color="auto" w:fill="D9EAF7"/>
            <w:vAlign w:val="center"/>
          </w:tcPr>
          <w:p w14:paraId="5B7BA09C">
            <w:pPr>
              <w:spacing w:after="0"/>
            </w:pPr>
            <w:r>
              <w:rPr>
                <w:rFonts w:ascii="Prima Serif Std Roman" w:hAnsi="Prima Serif Std Roman" w:eastAsia="Prima Serif Std Roman"/>
                <w:b/>
                <w:sz w:val="18"/>
              </w:rPr>
              <w:t>说明</w:t>
            </w:r>
          </w:p>
        </w:tc>
      </w:tr>
      <w:tr w14:paraId="0AE8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B04216F">
            <w:pPr>
              <w:spacing w:after="0"/>
            </w:pPr>
            <w:r>
              <w:rPr>
                <w:rFonts w:ascii="Prima Serif Std Roman" w:hAnsi="Prima Serif Std Roman" w:eastAsia="Prima Serif Std Roman"/>
                <w:b w:val="0"/>
                <w:sz w:val="18"/>
              </w:rPr>
              <w:t>combustion_chamber_fluid</w:t>
            </w:r>
          </w:p>
        </w:tc>
        <w:tc>
          <w:tcPr>
            <w:tcW w:w="2551" w:type="dxa"/>
            <w:vAlign w:val="top"/>
          </w:tcPr>
          <w:p w14:paraId="01AE2C80">
            <w:pPr>
              <w:spacing w:after="0"/>
            </w:pPr>
            <w:r>
              <w:rPr>
                <w:rFonts w:ascii="Prima Serif Std Roman" w:hAnsi="Prima Serif Std Roman" w:eastAsia="Prima Serif Std Roman"/>
                <w:b w:val="0"/>
                <w:sz w:val="18"/>
              </w:rPr>
              <w:t>Static Temperature</w:t>
            </w:r>
          </w:p>
        </w:tc>
        <w:tc>
          <w:tcPr>
            <w:tcW w:w="1531" w:type="dxa"/>
            <w:vAlign w:val="top"/>
          </w:tcPr>
          <w:p w14:paraId="01922F41">
            <w:pPr>
              <w:spacing w:after="0"/>
            </w:pPr>
            <w:r>
              <w:rPr>
                <w:rFonts w:ascii="Prima Serif Std Roman" w:hAnsi="Prima Serif Std Roman" w:eastAsia="Prima Serif Std Roman"/>
                <w:b w:val="0"/>
                <w:sz w:val="18"/>
              </w:rPr>
              <w:t>Ti</w:t>
            </w:r>
          </w:p>
        </w:tc>
        <w:tc>
          <w:tcPr>
            <w:tcW w:w="2665" w:type="dxa"/>
            <w:vAlign w:val="top"/>
          </w:tcPr>
          <w:p w14:paraId="72BCA323">
            <w:pPr>
              <w:spacing w:after="0"/>
            </w:pPr>
            <w:r>
              <w:rPr>
                <w:rFonts w:ascii="Prima Serif Std Roman" w:hAnsi="Prima Serif Std Roman" w:eastAsia="Prima Serif Std Roman"/>
                <w:b w:val="0"/>
                <w:sz w:val="18"/>
              </w:rPr>
              <w:t>用于筛选高温燃烧统计区 Ti &gt; Tcomb</w:t>
            </w:r>
          </w:p>
        </w:tc>
      </w:tr>
      <w:tr w14:paraId="14A2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F7A4373">
            <w:pPr>
              <w:spacing w:after="0"/>
            </w:pPr>
            <w:r>
              <w:rPr>
                <w:rFonts w:ascii="Prima Serif Std Roman" w:hAnsi="Prima Serif Std Roman" w:eastAsia="Prima Serif Std Roman"/>
                <w:b w:val="0"/>
                <w:sz w:val="18"/>
              </w:rPr>
              <w:t>combustion_chamber_fluid</w:t>
            </w:r>
          </w:p>
        </w:tc>
        <w:tc>
          <w:tcPr>
            <w:tcW w:w="2551" w:type="dxa"/>
            <w:vAlign w:val="top"/>
          </w:tcPr>
          <w:p w14:paraId="4BDB7753">
            <w:pPr>
              <w:spacing w:after="0"/>
            </w:pPr>
            <w:r>
              <w:rPr>
                <w:rFonts w:ascii="Prima Serif Std Roman" w:hAnsi="Prima Serif Std Roman" w:eastAsia="Prima Serif Std Roman"/>
                <w:b w:val="0"/>
                <w:sz w:val="18"/>
              </w:rPr>
              <w:t>Mixture Fraction Z 或 Mean Mixture Fraction</w:t>
            </w:r>
          </w:p>
        </w:tc>
        <w:tc>
          <w:tcPr>
            <w:tcW w:w="1531" w:type="dxa"/>
            <w:vAlign w:val="top"/>
          </w:tcPr>
          <w:p w14:paraId="023F272C">
            <w:pPr>
              <w:spacing w:after="0"/>
            </w:pPr>
            <w:r>
              <w:rPr>
                <w:rFonts w:ascii="Prima Serif Std Roman" w:hAnsi="Prima Serif Std Roman" w:eastAsia="Prima Serif Std Roman"/>
                <w:b w:val="0"/>
                <w:sz w:val="18"/>
              </w:rPr>
              <w:t>Zi</w:t>
            </w:r>
          </w:p>
        </w:tc>
        <w:tc>
          <w:tcPr>
            <w:tcW w:w="2665" w:type="dxa"/>
            <w:vAlign w:val="top"/>
          </w:tcPr>
          <w:p w14:paraId="619B8B19">
            <w:pPr>
              <w:spacing w:after="0"/>
            </w:pPr>
            <w:r>
              <w:rPr>
                <w:rFonts w:ascii="Prima Serif Std Roman" w:hAnsi="Prima Serif Std Roman" w:eastAsia="Prima Serif Std Roman"/>
                <w:b w:val="0"/>
                <w:sz w:val="18"/>
              </w:rPr>
              <w:t>非预混燃烧模型下优先使用；反映局部来自燃料流的质量分数</w:t>
            </w:r>
          </w:p>
        </w:tc>
      </w:tr>
      <w:tr w14:paraId="649F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84FB9BB">
            <w:pPr>
              <w:spacing w:after="0"/>
            </w:pPr>
            <w:r>
              <w:rPr>
                <w:rFonts w:ascii="Prima Serif Std Roman" w:hAnsi="Prima Serif Std Roman" w:eastAsia="Prima Serif Std Roman"/>
                <w:b w:val="0"/>
                <w:sz w:val="18"/>
              </w:rPr>
              <w:t>combustion_chamber_fluid</w:t>
            </w:r>
          </w:p>
        </w:tc>
        <w:tc>
          <w:tcPr>
            <w:tcW w:w="2551" w:type="dxa"/>
            <w:vAlign w:val="top"/>
          </w:tcPr>
          <w:p w14:paraId="544D8C52">
            <w:pPr>
              <w:spacing w:after="0"/>
            </w:pPr>
            <w:r>
              <w:rPr>
                <w:rFonts w:ascii="Prima Serif Std Roman" w:hAnsi="Prima Serif Std Roman" w:eastAsia="Prima Serif Std Roman"/>
                <w:b w:val="0"/>
                <w:sz w:val="18"/>
              </w:rPr>
              <w:t>O2 与 CH4 质量分数</w:t>
            </w:r>
          </w:p>
        </w:tc>
        <w:tc>
          <w:tcPr>
            <w:tcW w:w="1531" w:type="dxa"/>
            <w:vAlign w:val="top"/>
          </w:tcPr>
          <w:p w14:paraId="74D7631B">
            <w:pPr>
              <w:spacing w:after="0"/>
            </w:pPr>
            <w:r>
              <w:rPr>
                <w:rFonts w:ascii="Prima Serif Std Roman" w:hAnsi="Prima Serif Std Roman" w:eastAsia="Prima Serif Std Roman"/>
                <w:b w:val="0"/>
                <w:sz w:val="18"/>
              </w:rPr>
              <w:t>YO2,i、YCH4,i</w:t>
            </w:r>
          </w:p>
        </w:tc>
        <w:tc>
          <w:tcPr>
            <w:tcW w:w="2665" w:type="dxa"/>
            <w:vAlign w:val="top"/>
          </w:tcPr>
          <w:p w14:paraId="11652857">
            <w:pPr>
              <w:spacing w:after="0"/>
            </w:pPr>
            <w:r>
              <w:rPr>
                <w:rFonts w:ascii="Prima Serif Std Roman" w:hAnsi="Prima Serif Std Roman" w:eastAsia="Prima Serif Std Roman"/>
                <w:b w:val="0"/>
                <w:sz w:val="18"/>
              </w:rPr>
              <w:t>无混合分数时使用；需注意反应消耗会影响其解释</w:t>
            </w:r>
          </w:p>
        </w:tc>
      </w:tr>
      <w:tr w14:paraId="48F0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39AB69B">
            <w:pPr>
              <w:spacing w:after="0"/>
            </w:pPr>
            <w:r>
              <w:rPr>
                <w:rFonts w:ascii="Prima Serif Std Roman" w:hAnsi="Prima Serif Std Roman" w:eastAsia="Prima Serif Std Roman"/>
                <w:b w:val="0"/>
                <w:sz w:val="18"/>
              </w:rPr>
              <w:t>combustion_chamber_fluid</w:t>
            </w:r>
          </w:p>
        </w:tc>
        <w:tc>
          <w:tcPr>
            <w:tcW w:w="2551" w:type="dxa"/>
            <w:vAlign w:val="top"/>
          </w:tcPr>
          <w:p w14:paraId="0286D1D5">
            <w:pPr>
              <w:spacing w:after="0"/>
            </w:pPr>
            <w:r>
              <w:rPr>
                <w:rFonts w:ascii="Prima Serif Std Roman" w:hAnsi="Prima Serif Std Roman" w:eastAsia="Prima Serif Std Roman"/>
                <w:b w:val="0"/>
                <w:sz w:val="18"/>
              </w:rPr>
              <w:t>Cell Volume</w:t>
            </w:r>
          </w:p>
        </w:tc>
        <w:tc>
          <w:tcPr>
            <w:tcW w:w="1531" w:type="dxa"/>
            <w:vAlign w:val="top"/>
          </w:tcPr>
          <w:p w14:paraId="0D470053">
            <w:pPr>
              <w:spacing w:after="0"/>
            </w:pPr>
            <w:r>
              <w:rPr>
                <w:rFonts w:ascii="Prima Serif Std Roman" w:hAnsi="Prima Serif Std Roman" w:eastAsia="Prima Serif Std Roman"/>
                <w:b w:val="0"/>
                <w:sz w:val="18"/>
              </w:rPr>
              <w:t>Vi</w:t>
            </w:r>
          </w:p>
        </w:tc>
        <w:tc>
          <w:tcPr>
            <w:tcW w:w="2665" w:type="dxa"/>
            <w:vAlign w:val="top"/>
          </w:tcPr>
          <w:p w14:paraId="797D5FD4">
            <w:pPr>
              <w:spacing w:after="0"/>
            </w:pPr>
            <w:r>
              <w:rPr>
                <w:rFonts w:ascii="Prima Serif Std Roman" w:hAnsi="Prima Serif Std Roman" w:eastAsia="Prima Serif Std Roman"/>
                <w:b w:val="0"/>
                <w:sz w:val="18"/>
              </w:rPr>
              <w:t>用于体积加权平均和标准差</w:t>
            </w:r>
          </w:p>
        </w:tc>
      </w:tr>
    </w:tbl>
    <w:p w14:paraId="4A2EDED5"/>
    <w:p w14:paraId="777C7B5D">
      <w:pPr>
        <w:pStyle w:val="164"/>
      </w:pPr>
      <w:r>
        <w:rPr>
          <w:rFonts w:ascii="Prima Serif Std Roman" w:hAnsi="Prima Serif Std Roman" w:eastAsia="Prima Serif Std Roman"/>
          <w:sz w:val="21"/>
        </w:rPr>
        <w:t>V_hot = { i | T_i &gt; T_comb }</w:t>
      </w:r>
    </w:p>
    <w:p w14:paraId="3AAED716">
      <w:pPr>
        <w:pStyle w:val="164"/>
      </w:pPr>
      <w:r>
        <w:rPr>
          <w:rFonts w:ascii="Prima Serif Std Roman" w:hAnsi="Prima Serif Std Roman" w:eastAsia="Prima Serif Std Roman"/>
          <w:sz w:val="21"/>
        </w:rPr>
        <w:t>Using mass fractions: phi_i = (Y_ox,i / Y_fuel,i) / 4</w:t>
      </w:r>
    </w:p>
    <w:p w14:paraId="2F7E9E0C">
      <w:pPr>
        <w:pStyle w:val="164"/>
      </w:pPr>
      <w:r>
        <w:rPr>
          <w:rFonts w:ascii="Prima Serif Std Roman" w:hAnsi="Prima Serif Std Roman" w:eastAsia="Prima Serif Std Roman"/>
          <w:sz w:val="21"/>
        </w:rPr>
        <w:t>Using mixture fraction for pure streams: phi_i = ((1 - Z_i) / Z_i) / 4</w:t>
      </w:r>
    </w:p>
    <w:p w14:paraId="32036A12">
      <w:pPr>
        <w:pStyle w:val="164"/>
      </w:pPr>
      <w:r>
        <w:rPr>
          <w:rFonts w:ascii="Prima Serif Std Roman" w:hAnsi="Prima Serif Std Roman" w:eastAsia="Prima Serif Std Roman"/>
          <w:sz w:val="21"/>
        </w:rPr>
        <w:t>phi_mean = sum_{i in V_hot}(phi_i * V_i) / sum_{i in V_hot}(V_i)</w:t>
      </w:r>
    </w:p>
    <w:p w14:paraId="6C705C48">
      <w:pPr>
        <w:pStyle w:val="164"/>
      </w:pPr>
      <w:r>
        <w:rPr>
          <w:rFonts w:ascii="Prima Serif Std Roman" w:hAnsi="Prima Serif Std Roman" w:eastAsia="Prima Serif Std Roman"/>
          <w:sz w:val="21"/>
        </w:rPr>
        <w:t>sigma_phi = sqrt( sum_{i in V_hot}[(phi_i - phi_mean)^2 * V_i] / sum_{i in V_hot}(V_i) )</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4819"/>
      </w:tblGrid>
      <w:tr w14:paraId="2280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44490023">
            <w:pPr>
              <w:spacing w:after="0"/>
            </w:pPr>
            <w:r>
              <w:rPr>
                <w:rFonts w:ascii="Prima Serif Std Roman" w:hAnsi="Prima Serif Std Roman" w:eastAsia="Prima Serif Std Roman"/>
                <w:b/>
                <w:sz w:val="18"/>
              </w:rPr>
              <w:t>量</w:t>
            </w:r>
          </w:p>
        </w:tc>
        <w:tc>
          <w:tcPr>
            <w:tcW w:w="2268" w:type="dxa"/>
            <w:shd w:val="clear" w:color="auto" w:fill="D9EAF7"/>
            <w:vAlign w:val="center"/>
          </w:tcPr>
          <w:p w14:paraId="354FE204">
            <w:pPr>
              <w:spacing w:after="0"/>
            </w:pPr>
            <w:r>
              <w:rPr>
                <w:rFonts w:ascii="Prima Serif Std Roman" w:hAnsi="Prima Serif Std Roman" w:eastAsia="Prima Serif Std Roman"/>
                <w:b/>
                <w:sz w:val="18"/>
              </w:rPr>
              <w:t>含义</w:t>
            </w:r>
          </w:p>
        </w:tc>
        <w:tc>
          <w:tcPr>
            <w:tcW w:w="4819" w:type="dxa"/>
            <w:shd w:val="clear" w:color="auto" w:fill="D9EAF7"/>
            <w:vAlign w:val="center"/>
          </w:tcPr>
          <w:p w14:paraId="0FA54C30">
            <w:pPr>
              <w:spacing w:after="0"/>
            </w:pPr>
            <w:r>
              <w:rPr>
                <w:rFonts w:ascii="Prima Serif Std Roman" w:hAnsi="Prima Serif Std Roman" w:eastAsia="Prima Serif Std Roman"/>
                <w:b/>
                <w:sz w:val="18"/>
              </w:rPr>
              <w:t>后处理要求</w:t>
            </w:r>
          </w:p>
        </w:tc>
      </w:tr>
      <w:tr w14:paraId="5BED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144F1D79">
            <w:pPr>
              <w:spacing w:after="0"/>
            </w:pPr>
            <w:r>
              <w:rPr>
                <w:rFonts w:ascii="Prima Serif Std Roman" w:hAnsi="Prima Serif Std Roman" w:eastAsia="Prima Serif Std Roman"/>
                <w:b w:val="0"/>
                <w:sz w:val="18"/>
              </w:rPr>
              <w:t>Tcomb</w:t>
            </w:r>
          </w:p>
        </w:tc>
        <w:tc>
          <w:tcPr>
            <w:tcW w:w="2268" w:type="dxa"/>
            <w:vAlign w:val="top"/>
          </w:tcPr>
          <w:p w14:paraId="6420F9AC">
            <w:pPr>
              <w:spacing w:after="0"/>
            </w:pPr>
            <w:r>
              <w:rPr>
                <w:rFonts w:ascii="Prima Serif Std Roman" w:hAnsi="Prima Serif Std Roman" w:eastAsia="Prima Serif Std Roman"/>
                <w:b w:val="0"/>
                <w:sz w:val="18"/>
              </w:rPr>
              <w:t>燃烧统计区温度阈值</w:t>
            </w:r>
          </w:p>
        </w:tc>
        <w:tc>
          <w:tcPr>
            <w:tcW w:w="4819" w:type="dxa"/>
            <w:vAlign w:val="top"/>
          </w:tcPr>
          <w:p w14:paraId="724B3E22">
            <w:pPr>
              <w:spacing w:after="0"/>
            </w:pPr>
            <w:r>
              <w:rPr>
                <w:rFonts w:ascii="Prima Serif Std Roman" w:hAnsi="Prima Serif Std Roman" w:eastAsia="Prima Serif Std Roman"/>
                <w:b w:val="0"/>
                <w:sz w:val="18"/>
              </w:rPr>
              <w:t>建议由基准算例温度场确定后固定；可先进行 1000 K、1200 K、1500 K 敏感性分析</w:t>
            </w:r>
          </w:p>
        </w:tc>
      </w:tr>
      <w:tr w14:paraId="6C0E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2E67D9F5">
            <w:pPr>
              <w:spacing w:after="0"/>
            </w:pPr>
            <w:r>
              <w:rPr>
                <w:rFonts w:ascii="Prima Serif Std Roman" w:hAnsi="Prima Serif Std Roman" w:eastAsia="Prima Serif Std Roman"/>
                <w:b w:val="0"/>
                <w:sz w:val="18"/>
              </w:rPr>
              <w:t>φ̄</w:t>
            </w:r>
          </w:p>
        </w:tc>
        <w:tc>
          <w:tcPr>
            <w:tcW w:w="2268" w:type="dxa"/>
            <w:vAlign w:val="top"/>
          </w:tcPr>
          <w:p w14:paraId="26FDB323">
            <w:pPr>
              <w:spacing w:after="0"/>
            </w:pPr>
            <w:r>
              <w:rPr>
                <w:rFonts w:ascii="Prima Serif Std Roman" w:hAnsi="Prima Serif Std Roman" w:eastAsia="Prima Serif Std Roman"/>
                <w:b w:val="0"/>
                <w:sz w:val="18"/>
              </w:rPr>
              <w:t>高温区平均等效混合比</w:t>
            </w:r>
          </w:p>
        </w:tc>
        <w:tc>
          <w:tcPr>
            <w:tcW w:w="4819" w:type="dxa"/>
            <w:vAlign w:val="top"/>
          </w:tcPr>
          <w:p w14:paraId="6F6C63CF">
            <w:pPr>
              <w:spacing w:after="0"/>
            </w:pPr>
            <w:r>
              <w:rPr>
                <w:rFonts w:ascii="Prima Serif Std Roman" w:hAnsi="Prima Serif Std Roman" w:eastAsia="Prima Serif Std Roman"/>
                <w:b w:val="0"/>
                <w:sz w:val="18"/>
              </w:rPr>
              <w:t>用于判断整体偏富燃或富氧；工程优化未必要求等于 1</w:t>
            </w:r>
          </w:p>
        </w:tc>
      </w:tr>
      <w:tr w14:paraId="31A5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5FF7D781">
            <w:pPr>
              <w:spacing w:after="0"/>
            </w:pPr>
            <w:r>
              <w:rPr>
                <w:rFonts w:ascii="Prima Serif Std Roman" w:hAnsi="Prima Serif Std Roman" w:eastAsia="Prima Serif Std Roman"/>
                <w:b w:val="0"/>
                <w:sz w:val="18"/>
              </w:rPr>
              <w:t>σφ</w:t>
            </w:r>
          </w:p>
        </w:tc>
        <w:tc>
          <w:tcPr>
            <w:tcW w:w="2268" w:type="dxa"/>
            <w:vAlign w:val="top"/>
          </w:tcPr>
          <w:p w14:paraId="02EA5A9E">
            <w:pPr>
              <w:spacing w:after="0"/>
            </w:pPr>
            <w:r>
              <w:rPr>
                <w:rFonts w:ascii="Prima Serif Std Roman" w:hAnsi="Prima Serif Std Roman" w:eastAsia="Prima Serif Std Roman"/>
                <w:b w:val="0"/>
                <w:sz w:val="18"/>
              </w:rPr>
              <w:t>高温区等效混合比标准差</w:t>
            </w:r>
          </w:p>
        </w:tc>
        <w:tc>
          <w:tcPr>
            <w:tcW w:w="4819" w:type="dxa"/>
            <w:vAlign w:val="top"/>
          </w:tcPr>
          <w:p w14:paraId="65E9D2AF">
            <w:pPr>
              <w:spacing w:after="0"/>
            </w:pPr>
            <w:r>
              <w:rPr>
                <w:rFonts w:ascii="Prima Serif Std Roman" w:hAnsi="Prima Serif Std Roman" w:eastAsia="Prima Serif Std Roman"/>
                <w:b w:val="0"/>
                <w:sz w:val="18"/>
              </w:rPr>
              <w:t>用于表征混合均匀性；越小表示高温燃烧区 O/F 空间分布越均匀</w:t>
            </w:r>
          </w:p>
        </w:tc>
      </w:tr>
      <w:tr w14:paraId="139B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1D27074A">
            <w:pPr>
              <w:spacing w:after="0"/>
            </w:pPr>
            <w:r>
              <w:rPr>
                <w:rFonts w:ascii="Prima Serif Std Roman" w:hAnsi="Prima Serif Std Roman" w:eastAsia="Prima Serif Std Roman"/>
                <w:b w:val="0"/>
                <w:sz w:val="18"/>
              </w:rPr>
              <w:t>有效样本体积</w:t>
            </w:r>
          </w:p>
        </w:tc>
        <w:tc>
          <w:tcPr>
            <w:tcW w:w="2268" w:type="dxa"/>
            <w:vAlign w:val="top"/>
          </w:tcPr>
          <w:p w14:paraId="4550B1FE">
            <w:pPr>
              <w:spacing w:after="0"/>
            </w:pPr>
            <w:r>
              <w:rPr>
                <w:rFonts w:ascii="Prima Serif Std Roman" w:hAnsi="Prima Serif Std Roman" w:eastAsia="Prima Serif Std Roman"/>
                <w:b w:val="0"/>
                <w:sz w:val="18"/>
              </w:rPr>
              <w:t>ΣVi, i∈Vhot</w:t>
            </w:r>
          </w:p>
        </w:tc>
        <w:tc>
          <w:tcPr>
            <w:tcW w:w="4819" w:type="dxa"/>
            <w:vAlign w:val="top"/>
          </w:tcPr>
          <w:p w14:paraId="26652EBE">
            <w:pPr>
              <w:spacing w:after="0"/>
            </w:pPr>
            <w:r>
              <w:rPr>
                <w:rFonts w:ascii="Prima Serif Std Roman" w:hAnsi="Prima Serif Std Roman" w:eastAsia="Prima Serif Std Roman"/>
                <w:b w:val="0"/>
                <w:sz w:val="18"/>
              </w:rPr>
              <w:t>用于检查阈值是否过高。若高温区体积过小，φ 统计会被局部热点主导</w:t>
            </w:r>
          </w:p>
        </w:tc>
      </w:tr>
    </w:tbl>
    <w:p w14:paraId="2330A33F"/>
    <w:p w14:paraId="5796E82A">
      <w:r>
        <w:t>对于非预混燃烧模型，推荐优先基于 mixture fraction 计算 φ，因为混合分数是守恒标量，能更稳定地表征推进剂混合历史。直接使用反应后的 O2 与 CH4 质量分数时，在火焰区内反应物被消耗，可能出现 YCH4 或 YO2 极小导致 φ 数值异常。因此若必须使用物种质量分数，应对极小值设置下限，例如 Yfuel &gt; 1×10⁻⁶，或改用元素混合分数/守恒标量。</w:t>
      </w:r>
    </w:p>
    <w:p w14:paraId="1421A9B1">
      <w:pPr>
        <w:pStyle w:val="4"/>
      </w:pPr>
      <w:r>
        <w:t>4.4 推力室壁面平均温度 Twall</w:t>
      </w:r>
    </w:p>
    <w:p w14:paraId="357C31A8">
      <w:r>
        <w:t>壁面平均温度用于反映总体热负荷。中期报告中明确应考察喷注器面、燃烧室侧壁面和喷管侧壁面的平均温度，因此后处理不应只导出一个“全部壁面平均值”。推荐先计算分区平均，再根据研究需要计算全壁面面积加权平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665"/>
        <w:gridCol w:w="1573"/>
        <w:gridCol w:w="2608"/>
      </w:tblGrid>
      <w:tr w14:paraId="2C72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AF7"/>
            <w:vAlign w:val="center"/>
          </w:tcPr>
          <w:p w14:paraId="052CF624">
            <w:pPr>
              <w:spacing w:after="0"/>
            </w:pPr>
            <w:r>
              <w:rPr>
                <w:rFonts w:ascii="Prima Serif Std Roman" w:hAnsi="Prima Serif Std Roman" w:eastAsia="Prima Serif Std Roman"/>
                <w:b/>
                <w:sz w:val="18"/>
              </w:rPr>
              <w:t>采集位置</w:t>
            </w:r>
          </w:p>
        </w:tc>
        <w:tc>
          <w:tcPr>
            <w:tcW w:w="2665" w:type="dxa"/>
            <w:shd w:val="clear" w:color="auto" w:fill="D9EAF7"/>
            <w:vAlign w:val="center"/>
          </w:tcPr>
          <w:p w14:paraId="7556AB09">
            <w:pPr>
              <w:spacing w:after="0"/>
            </w:pPr>
            <w:r>
              <w:rPr>
                <w:rFonts w:ascii="Prima Serif Std Roman" w:hAnsi="Prima Serif Std Roman" w:eastAsia="Prima Serif Std Roman"/>
                <w:b/>
                <w:sz w:val="18"/>
              </w:rPr>
              <w:t>Fluent 操作/变量</w:t>
            </w:r>
          </w:p>
        </w:tc>
        <w:tc>
          <w:tcPr>
            <w:tcW w:w="1417" w:type="dxa"/>
            <w:shd w:val="clear" w:color="auto" w:fill="D9EAF7"/>
            <w:vAlign w:val="center"/>
          </w:tcPr>
          <w:p w14:paraId="53627AC8">
            <w:pPr>
              <w:spacing w:after="0"/>
            </w:pPr>
            <w:r>
              <w:rPr>
                <w:rFonts w:ascii="Prima Serif Std Roman" w:hAnsi="Prima Serif Std Roman" w:eastAsia="Prima Serif Std Roman"/>
                <w:b/>
                <w:sz w:val="18"/>
              </w:rPr>
              <w:t>符号</w:t>
            </w:r>
          </w:p>
        </w:tc>
        <w:tc>
          <w:tcPr>
            <w:tcW w:w="2608" w:type="dxa"/>
            <w:shd w:val="clear" w:color="auto" w:fill="D9EAF7"/>
            <w:vAlign w:val="center"/>
          </w:tcPr>
          <w:p w14:paraId="6652CC28">
            <w:pPr>
              <w:spacing w:after="0"/>
            </w:pPr>
            <w:r>
              <w:rPr>
                <w:rFonts w:ascii="Prima Serif Std Roman" w:hAnsi="Prima Serif Std Roman" w:eastAsia="Prima Serif Std Roman"/>
                <w:b/>
                <w:sz w:val="18"/>
              </w:rPr>
              <w:t>说明</w:t>
            </w:r>
          </w:p>
        </w:tc>
      </w:tr>
      <w:tr w14:paraId="6FCE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F9CC75D">
            <w:pPr>
              <w:spacing w:after="0"/>
            </w:pPr>
            <w:r>
              <w:rPr>
                <w:rFonts w:ascii="Prima Serif Std Roman" w:hAnsi="Prima Serif Std Roman" w:eastAsia="Prima Serif Std Roman"/>
                <w:b w:val="0"/>
                <w:sz w:val="18"/>
              </w:rPr>
              <w:t>injector_face_wall</w:t>
            </w:r>
          </w:p>
        </w:tc>
        <w:tc>
          <w:tcPr>
            <w:tcW w:w="2665" w:type="dxa"/>
            <w:vAlign w:val="top"/>
          </w:tcPr>
          <w:p w14:paraId="0743BC62">
            <w:pPr>
              <w:spacing w:after="0"/>
            </w:pPr>
            <w:r>
              <w:rPr>
                <w:rFonts w:ascii="Prima Serif Std Roman" w:hAnsi="Prima Serif Std Roman" w:eastAsia="Prima Serif Std Roman"/>
                <w:b w:val="0"/>
                <w:sz w:val="18"/>
              </w:rPr>
              <w:t>Area-Weighted Average of Wall Temperature</w:t>
            </w:r>
          </w:p>
        </w:tc>
        <w:tc>
          <w:tcPr>
            <w:tcW w:w="1417" w:type="dxa"/>
            <w:vAlign w:val="top"/>
          </w:tcPr>
          <w:p w14:paraId="5A0F73A6">
            <w:pPr>
              <w:spacing w:after="0"/>
            </w:pPr>
            <w:r>
              <w:rPr>
                <w:rFonts w:ascii="Prima Serif Std Roman" w:hAnsi="Prima Serif Std Roman" w:eastAsia="Prima Serif Std Roman"/>
                <w:b w:val="0"/>
                <w:sz w:val="18"/>
              </w:rPr>
              <w:t>Twall,inj</w:t>
            </w:r>
          </w:p>
        </w:tc>
        <w:tc>
          <w:tcPr>
            <w:tcW w:w="2608" w:type="dxa"/>
            <w:vAlign w:val="top"/>
          </w:tcPr>
          <w:p w14:paraId="3635911D">
            <w:pPr>
              <w:spacing w:after="0"/>
            </w:pPr>
            <w:r>
              <w:rPr>
                <w:rFonts w:ascii="Prima Serif Std Roman" w:hAnsi="Prima Serif Std Roman" w:eastAsia="Prima Serif Std Roman"/>
                <w:b w:val="0"/>
                <w:sz w:val="18"/>
              </w:rPr>
              <w:t>喷注面热环境；关注喷嘴唇口附近热点</w:t>
            </w:r>
          </w:p>
        </w:tc>
      </w:tr>
      <w:tr w14:paraId="0027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90DB97B">
            <w:pPr>
              <w:spacing w:after="0"/>
            </w:pPr>
            <w:r>
              <w:rPr>
                <w:rFonts w:ascii="Prima Serif Std Roman" w:hAnsi="Prima Serif Std Roman" w:eastAsia="Prima Serif Std Roman"/>
                <w:b w:val="0"/>
                <w:sz w:val="18"/>
              </w:rPr>
              <w:t>chamber_wall</w:t>
            </w:r>
          </w:p>
        </w:tc>
        <w:tc>
          <w:tcPr>
            <w:tcW w:w="2665" w:type="dxa"/>
            <w:vAlign w:val="top"/>
          </w:tcPr>
          <w:p w14:paraId="41FF308A">
            <w:pPr>
              <w:spacing w:after="0"/>
            </w:pPr>
            <w:r>
              <w:rPr>
                <w:rFonts w:ascii="Prima Serif Std Roman" w:hAnsi="Prima Serif Std Roman" w:eastAsia="Prima Serif Std Roman"/>
                <w:b w:val="0"/>
                <w:sz w:val="18"/>
              </w:rPr>
              <w:t>Area-Weighted Average of Wall Temperature</w:t>
            </w:r>
          </w:p>
        </w:tc>
        <w:tc>
          <w:tcPr>
            <w:tcW w:w="1417" w:type="dxa"/>
            <w:vAlign w:val="top"/>
          </w:tcPr>
          <w:p w14:paraId="3EFE25AF">
            <w:pPr>
              <w:spacing w:after="0"/>
            </w:pPr>
            <w:r>
              <w:rPr>
                <w:rFonts w:ascii="Prima Serif Std Roman" w:hAnsi="Prima Serif Std Roman" w:eastAsia="Prima Serif Std Roman"/>
                <w:b w:val="0"/>
                <w:sz w:val="18"/>
              </w:rPr>
              <w:t>Twall,chamber</w:t>
            </w:r>
          </w:p>
        </w:tc>
        <w:tc>
          <w:tcPr>
            <w:tcW w:w="2608" w:type="dxa"/>
            <w:vAlign w:val="top"/>
          </w:tcPr>
          <w:p w14:paraId="465C4BE0">
            <w:pPr>
              <w:spacing w:after="0"/>
            </w:pPr>
            <w:r>
              <w:rPr>
                <w:rFonts w:ascii="Prima Serif Std Roman" w:hAnsi="Prima Serif Std Roman" w:eastAsia="Prima Serif Std Roman"/>
                <w:b w:val="0"/>
                <w:sz w:val="18"/>
              </w:rPr>
              <w:t>燃烧室主体热负荷</w:t>
            </w:r>
          </w:p>
        </w:tc>
      </w:tr>
      <w:tr w14:paraId="5CB7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6EC9BDF">
            <w:pPr>
              <w:spacing w:after="0"/>
            </w:pPr>
            <w:r>
              <w:rPr>
                <w:rFonts w:ascii="Prima Serif Std Roman" w:hAnsi="Prima Serif Std Roman" w:eastAsia="Prima Serif Std Roman"/>
                <w:b w:val="0"/>
                <w:sz w:val="18"/>
              </w:rPr>
              <w:t>nozzle_wall</w:t>
            </w:r>
          </w:p>
        </w:tc>
        <w:tc>
          <w:tcPr>
            <w:tcW w:w="2665" w:type="dxa"/>
            <w:vAlign w:val="top"/>
          </w:tcPr>
          <w:p w14:paraId="6514259B">
            <w:pPr>
              <w:spacing w:after="0"/>
            </w:pPr>
            <w:r>
              <w:rPr>
                <w:rFonts w:ascii="Prima Serif Std Roman" w:hAnsi="Prima Serif Std Roman" w:eastAsia="Prima Serif Std Roman"/>
                <w:b w:val="0"/>
                <w:sz w:val="18"/>
              </w:rPr>
              <w:t>Area-Weighted Average of Wall Temperature</w:t>
            </w:r>
          </w:p>
        </w:tc>
        <w:tc>
          <w:tcPr>
            <w:tcW w:w="1417" w:type="dxa"/>
            <w:vAlign w:val="top"/>
          </w:tcPr>
          <w:p w14:paraId="575E7634">
            <w:pPr>
              <w:spacing w:after="0"/>
            </w:pPr>
            <w:r>
              <w:rPr>
                <w:rFonts w:ascii="Prima Serif Std Roman" w:hAnsi="Prima Serif Std Roman" w:eastAsia="Prima Serif Std Roman"/>
                <w:b w:val="0"/>
                <w:sz w:val="18"/>
              </w:rPr>
              <w:t>Twall,nozzle</w:t>
            </w:r>
          </w:p>
        </w:tc>
        <w:tc>
          <w:tcPr>
            <w:tcW w:w="2608" w:type="dxa"/>
            <w:vAlign w:val="top"/>
          </w:tcPr>
          <w:p w14:paraId="6CB07C4C">
            <w:pPr>
              <w:spacing w:after="0"/>
            </w:pPr>
            <w:r>
              <w:rPr>
                <w:rFonts w:ascii="Prima Serif Std Roman" w:hAnsi="Prima Serif Std Roman" w:eastAsia="Prima Serif Std Roman"/>
                <w:b w:val="0"/>
                <w:sz w:val="18"/>
              </w:rPr>
              <w:t>喷管热负荷；可反映下游燃气热状态</w:t>
            </w:r>
          </w:p>
        </w:tc>
      </w:tr>
      <w:tr w14:paraId="30DE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4F632F89">
            <w:pPr>
              <w:spacing w:after="0"/>
            </w:pPr>
            <w:r>
              <w:rPr>
                <w:rFonts w:ascii="Prima Serif Std Roman" w:hAnsi="Prima Serif Std Roman" w:eastAsia="Prima Serif Std Roman"/>
                <w:b w:val="0"/>
                <w:sz w:val="18"/>
              </w:rPr>
              <w:t>以上三者合并</w:t>
            </w:r>
          </w:p>
        </w:tc>
        <w:tc>
          <w:tcPr>
            <w:tcW w:w="2665" w:type="dxa"/>
            <w:vAlign w:val="top"/>
          </w:tcPr>
          <w:p w14:paraId="71EC2663">
            <w:pPr>
              <w:spacing w:after="0"/>
            </w:pPr>
            <w:r>
              <w:rPr>
                <w:rFonts w:ascii="Prima Serif Std Roman" w:hAnsi="Prima Serif Std Roman" w:eastAsia="Prima Serif Std Roman"/>
                <w:b w:val="0"/>
                <w:sz w:val="18"/>
              </w:rPr>
              <w:t>Area-Weighted Average 或外部面积加权</w:t>
            </w:r>
          </w:p>
        </w:tc>
        <w:tc>
          <w:tcPr>
            <w:tcW w:w="1417" w:type="dxa"/>
            <w:vAlign w:val="top"/>
          </w:tcPr>
          <w:p w14:paraId="32CF8B32">
            <w:pPr>
              <w:spacing w:after="0"/>
            </w:pPr>
            <w:r>
              <w:rPr>
                <w:rFonts w:ascii="Prima Serif Std Roman" w:hAnsi="Prima Serif Std Roman" w:eastAsia="Prima Serif Std Roman"/>
                <w:b w:val="0"/>
                <w:sz w:val="18"/>
              </w:rPr>
              <w:t>Twall,total</w:t>
            </w:r>
          </w:p>
        </w:tc>
        <w:tc>
          <w:tcPr>
            <w:tcW w:w="2608" w:type="dxa"/>
            <w:vAlign w:val="top"/>
          </w:tcPr>
          <w:p w14:paraId="1EF160EE">
            <w:pPr>
              <w:spacing w:after="0"/>
            </w:pPr>
            <w:r>
              <w:rPr>
                <w:rFonts w:ascii="Prima Serif Std Roman" w:hAnsi="Prima Serif Std Roman" w:eastAsia="Prima Serif Std Roman"/>
                <w:b w:val="0"/>
                <w:sz w:val="18"/>
              </w:rPr>
              <w:t>作为优化目标时使用的总平均壁温</w:t>
            </w:r>
          </w:p>
        </w:tc>
      </w:tr>
      <w:tr w14:paraId="2742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0D1FF134">
            <w:pPr>
              <w:spacing w:after="0"/>
            </w:pPr>
            <w:r>
              <w:rPr>
                <w:rFonts w:ascii="Prima Serif Std Roman" w:hAnsi="Prima Serif Std Roman" w:eastAsia="Prima Serif Std Roman"/>
                <w:b w:val="0"/>
                <w:sz w:val="18"/>
              </w:rPr>
              <w:t>以上三者</w:t>
            </w:r>
          </w:p>
        </w:tc>
        <w:tc>
          <w:tcPr>
            <w:tcW w:w="2665" w:type="dxa"/>
            <w:vAlign w:val="top"/>
          </w:tcPr>
          <w:p w14:paraId="4E76F3BD">
            <w:pPr>
              <w:spacing w:after="0"/>
            </w:pPr>
            <w:r>
              <w:rPr>
                <w:rFonts w:ascii="Prima Serif Std Roman" w:hAnsi="Prima Serif Std Roman" w:eastAsia="Prima Serif Std Roman"/>
                <w:b w:val="0"/>
                <w:sz w:val="18"/>
              </w:rPr>
              <w:t>Area、Wall Heat Flux</w:t>
            </w:r>
          </w:p>
        </w:tc>
        <w:tc>
          <w:tcPr>
            <w:tcW w:w="1417" w:type="dxa"/>
            <w:vAlign w:val="top"/>
          </w:tcPr>
          <w:p w14:paraId="1D338F9C">
            <w:pPr>
              <w:spacing w:after="0"/>
            </w:pPr>
            <w:r>
              <w:rPr>
                <w:rFonts w:ascii="Prima Serif Std Roman" w:hAnsi="Prima Serif Std Roman" w:eastAsia="Prima Serif Std Roman"/>
                <w:b w:val="0"/>
                <w:sz w:val="18"/>
              </w:rPr>
              <w:t>Aj、q_wall</w:t>
            </w:r>
          </w:p>
        </w:tc>
        <w:tc>
          <w:tcPr>
            <w:tcW w:w="2608" w:type="dxa"/>
            <w:vAlign w:val="top"/>
          </w:tcPr>
          <w:p w14:paraId="6349840D">
            <w:pPr>
              <w:spacing w:after="0"/>
            </w:pPr>
            <w:r>
              <w:rPr>
                <w:rFonts w:ascii="Prima Serif Std Roman" w:hAnsi="Prima Serif Std Roman" w:eastAsia="Prima Serif Std Roman"/>
                <w:b w:val="0"/>
                <w:sz w:val="18"/>
              </w:rPr>
              <w:t>用于复核热负荷，特别是固定壁温边界情况下</w:t>
            </w:r>
          </w:p>
        </w:tc>
      </w:tr>
    </w:tbl>
    <w:p w14:paraId="76572E28"/>
    <w:p w14:paraId="3BE3554B">
      <w:pPr>
        <w:pStyle w:val="164"/>
      </w:pPr>
      <w:r>
        <w:rPr>
          <w:rFonts w:ascii="Prima Serif Std Roman" w:hAnsi="Prima Serif Std Roman" w:eastAsia="Prima Serif Std Roman"/>
          <w:sz w:val="21"/>
        </w:rPr>
        <w:t>T_wall,j = integral_Aj(T_w dA) / A_j</w:t>
      </w:r>
    </w:p>
    <w:p w14:paraId="6C3867B6">
      <w:pPr>
        <w:pStyle w:val="164"/>
      </w:pPr>
      <w:r>
        <w:rPr>
          <w:rFonts w:ascii="Prima Serif Std Roman" w:hAnsi="Prima Serif Std Roman" w:eastAsia="Prima Serif Std Roman"/>
          <w:sz w:val="21"/>
        </w:rPr>
        <w:t>T_wall,total = sum_j(T_wall,j * A_j) / sum_j(A_j)</w:t>
      </w:r>
    </w:p>
    <w:p w14:paraId="2C479FF8">
      <w:r>
        <w:t>如果 Fluent 求解采用绝热壁面，Wall Temperature 代表绝热壁温，可用于比较不同喷注器构型造成的燃气侧热环境差异。如果采用固定壁温边界，则 Twall 被边界条件锁定，不能作为优化标签；此时应同时或改用 Wall Heat Flux 的面积平均值和总热流量作为热负荷指标。若采用共轭传热模型，则应明确采集燃气侧壁面温度、固体壁内最高温度或冷却通道侧壁面温度，避免不同物理位置的数据混用。</w:t>
      </w:r>
    </w:p>
    <w:p w14:paraId="1EE549F7">
      <w:pPr>
        <w:pStyle w:val="4"/>
      </w:pPr>
      <w:r>
        <w:t>4.5 推力室壁面最大温度 Tmax</w:t>
      </w:r>
    </w:p>
    <w:p w14:paraId="2E76C7F6">
      <w:r>
        <w:t>Tmax 用于识别局部热结构风险。液体火箭推力室中喉部通常是热流密度和热负荷最严苛的位置之一，因此中期报告中提出优先观察喉部温度峰值。后处理中应输出喉部最大壁温，同时保留全壁面最大壁温用于捕捉喷注面唇口、燃烧室局部回流区或喷管局部异常热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381"/>
        <w:gridCol w:w="1361"/>
        <w:gridCol w:w="2494"/>
      </w:tblGrid>
      <w:tr w14:paraId="7A98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48" w:type="dxa"/>
            <w:shd w:val="clear" w:color="auto" w:fill="D9EAF7"/>
            <w:vAlign w:val="center"/>
          </w:tcPr>
          <w:p w14:paraId="53BCCCD7">
            <w:pPr>
              <w:spacing w:after="0"/>
            </w:pPr>
            <w:r>
              <w:rPr>
                <w:rFonts w:ascii="Prima Serif Std Roman" w:hAnsi="Prima Serif Std Roman" w:eastAsia="Prima Serif Std Roman"/>
                <w:b/>
                <w:sz w:val="18"/>
              </w:rPr>
              <w:t>采集位置</w:t>
            </w:r>
          </w:p>
        </w:tc>
        <w:tc>
          <w:tcPr>
            <w:tcW w:w="2381" w:type="dxa"/>
            <w:shd w:val="clear" w:color="auto" w:fill="D9EAF7"/>
            <w:vAlign w:val="center"/>
          </w:tcPr>
          <w:p w14:paraId="38EED54D">
            <w:pPr>
              <w:spacing w:after="0"/>
            </w:pPr>
            <w:r>
              <w:rPr>
                <w:rFonts w:ascii="Prima Serif Std Roman" w:hAnsi="Prima Serif Std Roman" w:eastAsia="Prima Serif Std Roman"/>
                <w:b/>
                <w:sz w:val="18"/>
              </w:rPr>
              <w:t>Fluent 操作/变量</w:t>
            </w:r>
          </w:p>
        </w:tc>
        <w:tc>
          <w:tcPr>
            <w:tcW w:w="1361" w:type="dxa"/>
            <w:shd w:val="clear" w:color="auto" w:fill="D9EAF7"/>
            <w:vAlign w:val="center"/>
          </w:tcPr>
          <w:p w14:paraId="125E4808">
            <w:pPr>
              <w:spacing w:after="0"/>
            </w:pPr>
            <w:r>
              <w:rPr>
                <w:rFonts w:ascii="Prima Serif Std Roman" w:hAnsi="Prima Serif Std Roman" w:eastAsia="Prima Serif Std Roman"/>
                <w:b/>
                <w:sz w:val="18"/>
              </w:rPr>
              <w:t>符号</w:t>
            </w:r>
          </w:p>
        </w:tc>
        <w:tc>
          <w:tcPr>
            <w:tcW w:w="2494" w:type="dxa"/>
            <w:shd w:val="clear" w:color="auto" w:fill="D9EAF7"/>
            <w:vAlign w:val="center"/>
          </w:tcPr>
          <w:p w14:paraId="711C6057">
            <w:pPr>
              <w:spacing w:after="0"/>
            </w:pPr>
            <w:r>
              <w:rPr>
                <w:rFonts w:ascii="Prima Serif Std Roman" w:hAnsi="Prima Serif Std Roman" w:eastAsia="Prima Serif Std Roman"/>
                <w:b/>
                <w:sz w:val="18"/>
              </w:rPr>
              <w:t>说明</w:t>
            </w:r>
          </w:p>
        </w:tc>
      </w:tr>
      <w:tr w14:paraId="163C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top"/>
          </w:tcPr>
          <w:p w14:paraId="1E84873F">
            <w:pPr>
              <w:spacing w:after="0"/>
            </w:pPr>
            <w:r>
              <w:rPr>
                <w:rFonts w:ascii="Prima Serif Std Roman" w:hAnsi="Prima Serif Std Roman" w:eastAsia="Prima Serif Std Roman"/>
                <w:b w:val="0"/>
                <w:sz w:val="18"/>
              </w:rPr>
              <w:t>throat_wall</w:t>
            </w:r>
          </w:p>
        </w:tc>
        <w:tc>
          <w:tcPr>
            <w:tcW w:w="2381" w:type="dxa"/>
            <w:vAlign w:val="top"/>
          </w:tcPr>
          <w:p w14:paraId="47528891">
            <w:pPr>
              <w:spacing w:after="0"/>
            </w:pPr>
            <w:r>
              <w:rPr>
                <w:rFonts w:ascii="Prima Serif Std Roman" w:hAnsi="Prima Serif Std Roman" w:eastAsia="Prima Serif Std Roman"/>
                <w:b w:val="0"/>
                <w:sz w:val="18"/>
              </w:rPr>
              <w:t>Surface Maximum of Wall Temperature</w:t>
            </w:r>
          </w:p>
        </w:tc>
        <w:tc>
          <w:tcPr>
            <w:tcW w:w="1361" w:type="dxa"/>
            <w:vAlign w:val="top"/>
          </w:tcPr>
          <w:p w14:paraId="38E486B0">
            <w:pPr>
              <w:spacing w:after="0"/>
            </w:pPr>
            <w:r>
              <w:rPr>
                <w:rFonts w:ascii="Prima Serif Std Roman" w:hAnsi="Prima Serif Std Roman" w:eastAsia="Prima Serif Std Roman"/>
                <w:b w:val="0"/>
                <w:sz w:val="18"/>
              </w:rPr>
              <w:t>Tmax,throat</w:t>
            </w:r>
          </w:p>
        </w:tc>
        <w:tc>
          <w:tcPr>
            <w:tcW w:w="2494" w:type="dxa"/>
            <w:vAlign w:val="top"/>
          </w:tcPr>
          <w:p w14:paraId="341F1C9C">
            <w:pPr>
              <w:spacing w:after="0"/>
            </w:pPr>
            <w:r>
              <w:rPr>
                <w:rFonts w:ascii="Prima Serif Std Roman" w:hAnsi="Prima Serif Std Roman" w:eastAsia="Prima Serif Std Roman"/>
                <w:b w:val="0"/>
                <w:sz w:val="18"/>
              </w:rPr>
              <w:t>主热风险指标；喉部区域应在几何中单独命名</w:t>
            </w:r>
          </w:p>
        </w:tc>
      </w:tr>
      <w:tr w14:paraId="612C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top"/>
          </w:tcPr>
          <w:p w14:paraId="4788F09F">
            <w:pPr>
              <w:spacing w:after="0"/>
            </w:pPr>
            <w:r>
              <w:rPr>
                <w:rFonts w:ascii="Prima Serif Std Roman" w:hAnsi="Prima Serif Std Roman" w:eastAsia="Prima Serif Std Roman"/>
                <w:b w:val="0"/>
                <w:sz w:val="18"/>
              </w:rPr>
              <w:t>injector_face_wall + chamber_wall + nozzle_wall</w:t>
            </w:r>
          </w:p>
        </w:tc>
        <w:tc>
          <w:tcPr>
            <w:tcW w:w="2381" w:type="dxa"/>
            <w:vAlign w:val="top"/>
          </w:tcPr>
          <w:p w14:paraId="3AB76190">
            <w:pPr>
              <w:spacing w:after="0"/>
            </w:pPr>
            <w:r>
              <w:rPr>
                <w:rFonts w:ascii="Prima Serif Std Roman" w:hAnsi="Prima Serif Std Roman" w:eastAsia="Prima Serif Std Roman"/>
                <w:b w:val="0"/>
                <w:sz w:val="18"/>
              </w:rPr>
              <w:t>Surface Maximum of Wall Temperature</w:t>
            </w:r>
          </w:p>
        </w:tc>
        <w:tc>
          <w:tcPr>
            <w:tcW w:w="1361" w:type="dxa"/>
            <w:vAlign w:val="top"/>
          </w:tcPr>
          <w:p w14:paraId="2CC54AD2">
            <w:pPr>
              <w:spacing w:after="0"/>
            </w:pPr>
            <w:r>
              <w:rPr>
                <w:rFonts w:ascii="Prima Serif Std Roman" w:hAnsi="Prima Serif Std Roman" w:eastAsia="Prima Serif Std Roman"/>
                <w:b w:val="0"/>
                <w:sz w:val="18"/>
              </w:rPr>
              <w:t>Tmax,all</w:t>
            </w:r>
          </w:p>
        </w:tc>
        <w:tc>
          <w:tcPr>
            <w:tcW w:w="2494" w:type="dxa"/>
            <w:vAlign w:val="top"/>
          </w:tcPr>
          <w:p w14:paraId="283F44BE">
            <w:pPr>
              <w:spacing w:after="0"/>
            </w:pPr>
            <w:r>
              <w:rPr>
                <w:rFonts w:ascii="Prima Serif Std Roman" w:hAnsi="Prima Serif Std Roman" w:eastAsia="Prima Serif Std Roman"/>
                <w:b w:val="0"/>
                <w:sz w:val="18"/>
              </w:rPr>
              <w:t>防止非喉部区域出现更高热点而被遗漏</w:t>
            </w:r>
          </w:p>
        </w:tc>
      </w:tr>
      <w:tr w14:paraId="0B8D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top"/>
          </w:tcPr>
          <w:p w14:paraId="38FE48AE">
            <w:pPr>
              <w:spacing w:after="0"/>
            </w:pPr>
            <w:r>
              <w:rPr>
                <w:rFonts w:ascii="Prima Serif Std Roman" w:hAnsi="Prima Serif Std Roman" w:eastAsia="Prima Serif Std Roman"/>
                <w:b w:val="0"/>
                <w:sz w:val="18"/>
              </w:rPr>
              <w:t>全部壁面面元</w:t>
            </w:r>
          </w:p>
        </w:tc>
        <w:tc>
          <w:tcPr>
            <w:tcW w:w="2381" w:type="dxa"/>
            <w:vAlign w:val="top"/>
          </w:tcPr>
          <w:p w14:paraId="1B99160F">
            <w:pPr>
              <w:spacing w:after="0"/>
            </w:pPr>
            <w:r>
              <w:rPr>
                <w:rFonts w:ascii="Prima Serif Std Roman" w:hAnsi="Prima Serif Std Roman" w:eastAsia="Prima Serif Std Roman"/>
                <w:b w:val="0"/>
                <w:sz w:val="18"/>
              </w:rPr>
              <w:t>Wall Temperature 分布</w:t>
            </w:r>
          </w:p>
        </w:tc>
        <w:tc>
          <w:tcPr>
            <w:tcW w:w="1361" w:type="dxa"/>
            <w:vAlign w:val="top"/>
          </w:tcPr>
          <w:p w14:paraId="270FC189">
            <w:pPr>
              <w:spacing w:after="0"/>
            </w:pPr>
            <w:r>
              <w:rPr>
                <w:rFonts w:ascii="Prima Serif Std Roman" w:hAnsi="Prima Serif Std Roman" w:eastAsia="Prima Serif Std Roman"/>
                <w:b w:val="0"/>
                <w:sz w:val="18"/>
              </w:rPr>
              <w:t>P99 或 P99.5</w:t>
            </w:r>
          </w:p>
        </w:tc>
        <w:tc>
          <w:tcPr>
            <w:tcW w:w="2494" w:type="dxa"/>
            <w:vAlign w:val="top"/>
          </w:tcPr>
          <w:p w14:paraId="12F1684B">
            <w:pPr>
              <w:spacing w:after="0"/>
            </w:pPr>
            <w:r>
              <w:rPr>
                <w:rFonts w:ascii="Prima Serif Std Roman" w:hAnsi="Prima Serif Std Roman" w:eastAsia="Prima Serif Std Roman"/>
                <w:b w:val="0"/>
                <w:sz w:val="18"/>
              </w:rPr>
              <w:t>作为抗网格噪声的稳健辅助指标</w:t>
            </w:r>
          </w:p>
        </w:tc>
      </w:tr>
      <w:tr w14:paraId="2AE7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top"/>
          </w:tcPr>
          <w:p w14:paraId="6856B18A">
            <w:pPr>
              <w:spacing w:after="0"/>
            </w:pPr>
            <w:r>
              <w:rPr>
                <w:rFonts w:ascii="Prima Serif Std Roman" w:hAnsi="Prima Serif Std Roman" w:eastAsia="Prima Serif Std Roman"/>
                <w:b w:val="0"/>
                <w:sz w:val="18"/>
              </w:rPr>
              <w:t>热点位置</w:t>
            </w:r>
          </w:p>
        </w:tc>
        <w:tc>
          <w:tcPr>
            <w:tcW w:w="2381" w:type="dxa"/>
            <w:vAlign w:val="top"/>
          </w:tcPr>
          <w:p w14:paraId="54A02E1C">
            <w:pPr>
              <w:spacing w:after="0"/>
            </w:pPr>
            <w:r>
              <w:rPr>
                <w:rFonts w:ascii="Prima Serif Std Roman" w:hAnsi="Prima Serif Std Roman" w:eastAsia="Prima Serif Std Roman"/>
                <w:b w:val="0"/>
                <w:sz w:val="18"/>
              </w:rPr>
              <w:t>面元坐标 x,y,z 与 Tw</w:t>
            </w:r>
          </w:p>
        </w:tc>
        <w:tc>
          <w:tcPr>
            <w:tcW w:w="1361" w:type="dxa"/>
            <w:vAlign w:val="top"/>
          </w:tcPr>
          <w:p w14:paraId="42570272">
            <w:pPr>
              <w:spacing w:after="0"/>
            </w:pPr>
            <w:r>
              <w:rPr>
                <w:rFonts w:ascii="Prima Serif Std Roman" w:hAnsi="Prima Serif Std Roman" w:eastAsia="Prima Serif Std Roman"/>
                <w:b w:val="0"/>
                <w:sz w:val="18"/>
              </w:rPr>
              <w:t>hotspot location</w:t>
            </w:r>
          </w:p>
        </w:tc>
        <w:tc>
          <w:tcPr>
            <w:tcW w:w="2494" w:type="dxa"/>
            <w:vAlign w:val="top"/>
          </w:tcPr>
          <w:p w14:paraId="4463436C">
            <w:pPr>
              <w:spacing w:after="0"/>
            </w:pPr>
            <w:r>
              <w:rPr>
                <w:rFonts w:ascii="Prima Serif Std Roman" w:hAnsi="Prima Serif Std Roman" w:eastAsia="Prima Serif Std Roman"/>
                <w:b w:val="0"/>
                <w:sz w:val="18"/>
              </w:rPr>
              <w:t>用于判断热点是否稳定、是否由网格畸变或局部数值振荡导致</w:t>
            </w:r>
          </w:p>
        </w:tc>
      </w:tr>
    </w:tbl>
    <w:p w14:paraId="31974DE4"/>
    <w:p w14:paraId="0D7E592B">
      <w:pPr>
        <w:pStyle w:val="164"/>
      </w:pPr>
      <w:r>
        <w:rPr>
          <w:rFonts w:ascii="Prima Serif Std Roman" w:hAnsi="Prima Serif Std Roman" w:eastAsia="Prima Serif Std Roman"/>
          <w:sz w:val="21"/>
        </w:rPr>
        <w:t>T_max,throat = max(T_w) on throat_wall</w:t>
      </w:r>
    </w:p>
    <w:p w14:paraId="46D42660">
      <w:pPr>
        <w:pStyle w:val="164"/>
      </w:pPr>
      <w:r>
        <w:rPr>
          <w:rFonts w:ascii="Prima Serif Std Roman" w:hAnsi="Prima Serif Std Roman" w:eastAsia="Prima Serif Std Roman"/>
          <w:sz w:val="21"/>
        </w:rPr>
        <w:t>T_max,all = max(T_w) on all thrust-chamber walls</w:t>
      </w:r>
    </w:p>
    <w:p w14:paraId="26D31EA0">
      <w:r>
        <w:t>若喉部没有独立边界名称，应在几何或网格阶段创建 throat_wall。推荐范围为最小截面积位置前后覆盖喉部圆角和近喉短段，例如 xt ± 0.5Dt 或根据实际喉部圆角几何划分。若直接在全壁面上求最大值，单个异常面元可能对优化结果产生过大影响，因此建议同时输出面积分位数温度，如 P99.5(Tw)，作为识别数值孤点的辅助量。</w:t>
      </w:r>
    </w:p>
    <w:p w14:paraId="26BEEFB4">
      <w:pPr>
        <w:pStyle w:val="3"/>
      </w:pPr>
      <w:r>
        <w:t>5 自动化实施建议：Fluent / PyFluent 后处理任务拆分</w:t>
      </w:r>
    </w:p>
    <w:p w14:paraId="6406B274">
      <w:r>
        <w:t>为了服务深度学习数据集构建，后处理流程应写成可重复执行的脚本。推荐的实现方式是：Fluent 内部完成标准报告量输出和场数据导出，外部 Python 脚本统一读取 CSV 并计算最终指标。这样即使后续更换求解模型，五项指标计算逻辑也保持不变。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535"/>
        <w:gridCol w:w="2268"/>
      </w:tblGrid>
      <w:tr w14:paraId="040A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AF7"/>
            <w:vAlign w:val="center"/>
          </w:tcPr>
          <w:p w14:paraId="55DCD9CE">
            <w:pPr>
              <w:spacing w:after="0"/>
            </w:pPr>
            <w:r>
              <w:rPr>
                <w:rFonts w:ascii="Prima Serif Std Roman" w:hAnsi="Prima Serif Std Roman" w:eastAsia="Prima Serif Std Roman"/>
                <w:b/>
                <w:sz w:val="18"/>
              </w:rPr>
              <w:t>模块</w:t>
            </w:r>
          </w:p>
        </w:tc>
        <w:tc>
          <w:tcPr>
            <w:tcW w:w="4535" w:type="dxa"/>
            <w:shd w:val="clear" w:color="auto" w:fill="D9EAF7"/>
            <w:vAlign w:val="center"/>
          </w:tcPr>
          <w:p w14:paraId="0EC41A09">
            <w:pPr>
              <w:spacing w:after="0"/>
            </w:pPr>
            <w:r>
              <w:rPr>
                <w:rFonts w:ascii="Prima Serif Std Roman" w:hAnsi="Prima Serif Std Roman" w:eastAsia="Prima Serif Std Roman"/>
                <w:b/>
                <w:sz w:val="18"/>
              </w:rPr>
              <w:t>任务</w:t>
            </w:r>
          </w:p>
        </w:tc>
        <w:tc>
          <w:tcPr>
            <w:tcW w:w="2268" w:type="dxa"/>
            <w:shd w:val="clear" w:color="auto" w:fill="D9EAF7"/>
            <w:vAlign w:val="center"/>
          </w:tcPr>
          <w:p w14:paraId="41E0B5BE">
            <w:pPr>
              <w:spacing w:after="0"/>
            </w:pPr>
            <w:r>
              <w:rPr>
                <w:rFonts w:ascii="Prima Serif Std Roman" w:hAnsi="Prima Serif Std Roman" w:eastAsia="Prima Serif Std Roman"/>
                <w:b/>
                <w:sz w:val="18"/>
              </w:rPr>
              <w:t>输出</w:t>
            </w:r>
          </w:p>
        </w:tc>
      </w:tr>
      <w:tr w14:paraId="48C2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0F184B0">
            <w:pPr>
              <w:spacing w:after="0"/>
            </w:pPr>
            <w:r>
              <w:rPr>
                <w:rFonts w:ascii="Prima Serif Std Roman" w:hAnsi="Prima Serif Std Roman" w:eastAsia="Prima Serif Std Roman"/>
                <w:b w:val="0"/>
                <w:sz w:val="18"/>
              </w:rPr>
              <w:t>Fluent report definitions</w:t>
            </w:r>
          </w:p>
        </w:tc>
        <w:tc>
          <w:tcPr>
            <w:tcW w:w="4535" w:type="dxa"/>
            <w:vAlign w:val="top"/>
          </w:tcPr>
          <w:p w14:paraId="4436CD43">
            <w:pPr>
              <w:spacing w:after="0"/>
            </w:pPr>
            <w:r>
              <w:rPr>
                <w:rFonts w:ascii="Prima Serif Std Roman" w:hAnsi="Prima Serif Std Roman" w:eastAsia="Prima Serif Std Roman"/>
                <w:b w:val="0"/>
                <w:sz w:val="18"/>
              </w:rPr>
              <w:t>创建入口质量流量、出口质量流量、热释放率积分、壁面平均温度、最大壁温等 report</w:t>
            </w:r>
          </w:p>
        </w:tc>
        <w:tc>
          <w:tcPr>
            <w:tcW w:w="2268" w:type="dxa"/>
            <w:vAlign w:val="top"/>
          </w:tcPr>
          <w:p w14:paraId="2B3C8B92">
            <w:pPr>
              <w:spacing w:after="0"/>
            </w:pPr>
            <w:r>
              <w:rPr>
                <w:rFonts w:ascii="Prima Serif Std Roman" w:hAnsi="Prima Serif Std Roman" w:eastAsia="Prima Serif Std Roman"/>
                <w:b w:val="0"/>
                <w:sz w:val="18"/>
              </w:rPr>
              <w:t>单算例基础 report 文件</w:t>
            </w:r>
          </w:p>
        </w:tc>
      </w:tr>
      <w:tr w14:paraId="02A4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32F6DBB1">
            <w:pPr>
              <w:spacing w:after="0"/>
            </w:pPr>
            <w:r>
              <w:rPr>
                <w:rFonts w:ascii="Prima Serif Std Roman" w:hAnsi="Prima Serif Std Roman" w:eastAsia="Prima Serif Std Roman"/>
                <w:b w:val="0"/>
                <w:sz w:val="18"/>
              </w:rPr>
              <w:t>Surface export</w:t>
            </w:r>
          </w:p>
        </w:tc>
        <w:tc>
          <w:tcPr>
            <w:tcW w:w="4535" w:type="dxa"/>
            <w:vAlign w:val="top"/>
          </w:tcPr>
          <w:p w14:paraId="14D833B8">
            <w:pPr>
              <w:spacing w:after="0"/>
            </w:pPr>
            <w:r>
              <w:rPr>
                <w:rFonts w:ascii="Prima Serif Std Roman" w:hAnsi="Prima Serif Std Roman" w:eastAsia="Prima Serif Std Roman"/>
                <w:b w:val="0"/>
                <w:sz w:val="18"/>
              </w:rPr>
              <w:t>导出 nozzle_exit 的 ρ、p、ux、uy、uz、坐标和面积/法向信息</w:t>
            </w:r>
          </w:p>
        </w:tc>
        <w:tc>
          <w:tcPr>
            <w:tcW w:w="2268" w:type="dxa"/>
            <w:vAlign w:val="top"/>
          </w:tcPr>
          <w:p w14:paraId="182A5561">
            <w:pPr>
              <w:spacing w:after="0"/>
            </w:pPr>
            <w:r>
              <w:rPr>
                <w:rFonts w:ascii="Prima Serif Std Roman" w:hAnsi="Prima Serif Std Roman" w:eastAsia="Prima Serif Std Roman"/>
                <w:b w:val="0"/>
                <w:sz w:val="18"/>
              </w:rPr>
              <w:t>exit_surface.csv</w:t>
            </w:r>
          </w:p>
        </w:tc>
      </w:tr>
      <w:tr w14:paraId="5350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E69C25D">
            <w:pPr>
              <w:spacing w:after="0"/>
            </w:pPr>
            <w:r>
              <w:rPr>
                <w:rFonts w:ascii="Prima Serif Std Roman" w:hAnsi="Prima Serif Std Roman" w:eastAsia="Prima Serif Std Roman"/>
                <w:b w:val="0"/>
                <w:sz w:val="18"/>
              </w:rPr>
              <w:t>Volume export</w:t>
            </w:r>
          </w:p>
        </w:tc>
        <w:tc>
          <w:tcPr>
            <w:tcW w:w="4535" w:type="dxa"/>
            <w:vAlign w:val="top"/>
          </w:tcPr>
          <w:p w14:paraId="244EC7B8">
            <w:pPr>
              <w:spacing w:after="0"/>
            </w:pPr>
            <w:r>
              <w:rPr>
                <w:rFonts w:ascii="Prima Serif Std Roman" w:hAnsi="Prima Serif Std Roman" w:eastAsia="Prima Serif Std Roman"/>
                <w:b w:val="0"/>
                <w:sz w:val="18"/>
              </w:rPr>
              <w:t>导出 combustion_chamber_fluid 的 T、Z 或 YO2/YCH4、cell volume</w:t>
            </w:r>
          </w:p>
        </w:tc>
        <w:tc>
          <w:tcPr>
            <w:tcW w:w="2268" w:type="dxa"/>
            <w:vAlign w:val="top"/>
          </w:tcPr>
          <w:p w14:paraId="367B3ABF">
            <w:pPr>
              <w:spacing w:after="0"/>
            </w:pPr>
            <w:r>
              <w:rPr>
                <w:rFonts w:ascii="Prima Serif Std Roman" w:hAnsi="Prima Serif Std Roman" w:eastAsia="Prima Serif Std Roman"/>
                <w:b w:val="0"/>
                <w:sz w:val="18"/>
              </w:rPr>
              <w:t>chamber_cells.csv</w:t>
            </w:r>
          </w:p>
        </w:tc>
      </w:tr>
      <w:tr w14:paraId="0549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105FEAA3">
            <w:pPr>
              <w:spacing w:after="0"/>
            </w:pPr>
            <w:r>
              <w:rPr>
                <w:rFonts w:ascii="Prima Serif Std Roman" w:hAnsi="Prima Serif Std Roman" w:eastAsia="Prima Serif Std Roman"/>
                <w:b w:val="0"/>
                <w:sz w:val="18"/>
              </w:rPr>
              <w:t>Wall export</w:t>
            </w:r>
          </w:p>
        </w:tc>
        <w:tc>
          <w:tcPr>
            <w:tcW w:w="4535" w:type="dxa"/>
            <w:vAlign w:val="top"/>
          </w:tcPr>
          <w:p w14:paraId="1A42625E">
            <w:pPr>
              <w:spacing w:after="0"/>
            </w:pPr>
            <w:r>
              <w:rPr>
                <w:rFonts w:ascii="Prima Serif Std Roman" w:hAnsi="Prima Serif Std Roman" w:eastAsia="Prima Serif Std Roman"/>
                <w:b w:val="0"/>
                <w:sz w:val="18"/>
              </w:rPr>
              <w:t>导出壁面 Tw、qʺ、面积、坐标</w:t>
            </w:r>
          </w:p>
        </w:tc>
        <w:tc>
          <w:tcPr>
            <w:tcW w:w="2268" w:type="dxa"/>
            <w:vAlign w:val="top"/>
          </w:tcPr>
          <w:p w14:paraId="7A914F12">
            <w:pPr>
              <w:spacing w:after="0"/>
            </w:pPr>
            <w:r>
              <w:rPr>
                <w:rFonts w:ascii="Prima Serif Std Roman" w:hAnsi="Prima Serif Std Roman" w:eastAsia="Prima Serif Std Roman"/>
                <w:b w:val="0"/>
                <w:sz w:val="18"/>
              </w:rPr>
              <w:t>wall_faces.csv</w:t>
            </w:r>
          </w:p>
        </w:tc>
      </w:tr>
      <w:tr w14:paraId="6676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31CBCDF">
            <w:pPr>
              <w:spacing w:after="0"/>
            </w:pPr>
            <w:r>
              <w:rPr>
                <w:rFonts w:ascii="Prima Serif Std Roman" w:hAnsi="Prima Serif Std Roman" w:eastAsia="Prima Serif Std Roman"/>
                <w:b w:val="0"/>
                <w:sz w:val="18"/>
              </w:rPr>
              <w:t>External postprocess</w:t>
            </w:r>
          </w:p>
        </w:tc>
        <w:tc>
          <w:tcPr>
            <w:tcW w:w="4535" w:type="dxa"/>
            <w:vAlign w:val="top"/>
          </w:tcPr>
          <w:p w14:paraId="5F7D8921">
            <w:pPr>
              <w:spacing w:after="0"/>
            </w:pPr>
            <w:r>
              <w:rPr>
                <w:rFonts w:ascii="Prima Serif Std Roman" w:hAnsi="Prima Serif Std Roman" w:eastAsia="Prima Serif Std Roman"/>
                <w:b w:val="0"/>
                <w:sz w:val="18"/>
              </w:rPr>
              <w:t>读取上述数据，计算五项指标和质量控制量</w:t>
            </w:r>
          </w:p>
        </w:tc>
        <w:tc>
          <w:tcPr>
            <w:tcW w:w="2268" w:type="dxa"/>
            <w:vAlign w:val="top"/>
          </w:tcPr>
          <w:p w14:paraId="39CD2B88">
            <w:pPr>
              <w:spacing w:after="0"/>
            </w:pPr>
            <w:r>
              <w:rPr>
                <w:rFonts w:ascii="Prima Serif Std Roman" w:hAnsi="Prima Serif Std Roman" w:eastAsia="Prima Serif Std Roman"/>
                <w:b w:val="0"/>
                <w:sz w:val="18"/>
              </w:rPr>
              <w:t>metrics_summary.csv</w:t>
            </w:r>
          </w:p>
        </w:tc>
      </w:tr>
    </w:tbl>
    <w:p w14:paraId="10AD6731"/>
    <w:p w14:paraId="5D493C02">
      <w:pPr>
        <w:pStyle w:val="165"/>
      </w:pPr>
      <w:r>
        <w:rPr>
          <w:i/>
          <w:sz w:val="18"/>
        </w:rPr>
        <w:t>PyFluent 或 Journal 脚本中应避免硬编码 zone-id。所有面和体区域必须按名称调用；每次仿真前检查所需边界名称是否存在，不存在则终止后处理并返回错误状态。</w:t>
      </w:r>
    </w:p>
    <w:p w14:paraId="3C053223">
      <w:pPr>
        <w:pStyle w:val="3"/>
      </w:pPr>
      <w:r>
        <w:t>6 计算结果检查、收敛判据与异常处理</w:t>
      </w:r>
    </w:p>
    <w:p w14:paraId="23AC29C3">
      <w:r>
        <w:t>五项指标会作为代理模型训练标签，因此应对每个算例输出质量控制量，避免把未收敛或物理异常的标签混入训练集。建议至少设置以下检查。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381"/>
        <w:gridCol w:w="2835"/>
      </w:tblGrid>
      <w:tr w14:paraId="297D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57CEEBC1">
            <w:pPr>
              <w:spacing w:after="0"/>
            </w:pPr>
            <w:r>
              <w:rPr>
                <w:rFonts w:ascii="Prima Serif Std Roman" w:hAnsi="Prima Serif Std Roman" w:eastAsia="Prima Serif Std Roman"/>
                <w:b/>
                <w:sz w:val="18"/>
              </w:rPr>
              <w:t>检查项</w:t>
            </w:r>
          </w:p>
        </w:tc>
        <w:tc>
          <w:tcPr>
            <w:tcW w:w="2381" w:type="dxa"/>
            <w:shd w:val="clear" w:color="auto" w:fill="D9EAF7"/>
            <w:vAlign w:val="center"/>
          </w:tcPr>
          <w:p w14:paraId="2984D467">
            <w:pPr>
              <w:spacing w:after="0"/>
            </w:pPr>
            <w:r>
              <w:rPr>
                <w:rFonts w:ascii="Prima Serif Std Roman" w:hAnsi="Prima Serif Std Roman" w:eastAsia="Prima Serif Std Roman"/>
                <w:b/>
                <w:sz w:val="18"/>
              </w:rPr>
              <w:t>检查量</w:t>
            </w:r>
          </w:p>
        </w:tc>
        <w:tc>
          <w:tcPr>
            <w:tcW w:w="2381" w:type="dxa"/>
            <w:shd w:val="clear" w:color="auto" w:fill="D9EAF7"/>
            <w:vAlign w:val="center"/>
          </w:tcPr>
          <w:p w14:paraId="2939530C">
            <w:pPr>
              <w:spacing w:after="0"/>
            </w:pPr>
            <w:r>
              <w:rPr>
                <w:rFonts w:ascii="Prima Serif Std Roman" w:hAnsi="Prima Serif Std Roman" w:eastAsia="Prima Serif Std Roman"/>
                <w:b/>
                <w:sz w:val="18"/>
              </w:rPr>
              <w:t>建议判据</w:t>
            </w:r>
          </w:p>
        </w:tc>
        <w:tc>
          <w:tcPr>
            <w:tcW w:w="2835" w:type="dxa"/>
            <w:shd w:val="clear" w:color="auto" w:fill="D9EAF7"/>
            <w:vAlign w:val="center"/>
          </w:tcPr>
          <w:p w14:paraId="2285CF66">
            <w:pPr>
              <w:spacing w:after="0"/>
            </w:pPr>
            <w:r>
              <w:rPr>
                <w:rFonts w:ascii="Prima Serif Std Roman" w:hAnsi="Prima Serif Std Roman" w:eastAsia="Prima Serif Std Roman"/>
                <w:b/>
                <w:sz w:val="18"/>
              </w:rPr>
              <w:t>异常处理</w:t>
            </w:r>
          </w:p>
        </w:tc>
      </w:tr>
      <w:tr w14:paraId="3EF9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3B18EE7A">
            <w:pPr>
              <w:spacing w:after="0"/>
            </w:pPr>
            <w:r>
              <w:rPr>
                <w:rFonts w:ascii="Prima Serif Std Roman" w:hAnsi="Prima Serif Std Roman" w:eastAsia="Prima Serif Std Roman"/>
                <w:b w:val="0"/>
                <w:sz w:val="18"/>
              </w:rPr>
              <w:t>质量守恒</w:t>
            </w:r>
          </w:p>
        </w:tc>
        <w:tc>
          <w:tcPr>
            <w:tcW w:w="2381" w:type="dxa"/>
            <w:vAlign w:val="top"/>
          </w:tcPr>
          <w:p w14:paraId="6F93DEB9">
            <w:pPr>
              <w:spacing w:after="0"/>
            </w:pPr>
            <w:r>
              <w:rPr>
                <w:rFonts w:ascii="Prima Serif Std Roman" w:hAnsi="Prima Serif Std Roman" w:eastAsia="Prima Serif Std Roman"/>
                <w:b w:val="0"/>
                <w:sz w:val="18"/>
              </w:rPr>
              <w:t>eps_m = |m_dotin - m_dotout| / m_dotin</w:t>
            </w:r>
          </w:p>
        </w:tc>
        <w:tc>
          <w:tcPr>
            <w:tcW w:w="2381" w:type="dxa"/>
            <w:vAlign w:val="top"/>
          </w:tcPr>
          <w:p w14:paraId="68DB8FD7">
            <w:pPr>
              <w:spacing w:after="0"/>
            </w:pPr>
            <w:r>
              <w:rPr>
                <w:rFonts w:ascii="Prima Serif Std Roman" w:hAnsi="Prima Serif Std Roman" w:eastAsia="Prima Serif Std Roman"/>
                <w:b w:val="0"/>
                <w:sz w:val="18"/>
              </w:rPr>
              <w:t>&lt; 0.5% 或按课题统一标准</w:t>
            </w:r>
          </w:p>
        </w:tc>
        <w:tc>
          <w:tcPr>
            <w:tcW w:w="2835" w:type="dxa"/>
            <w:vAlign w:val="top"/>
          </w:tcPr>
          <w:p w14:paraId="31D6D3CE">
            <w:pPr>
              <w:spacing w:after="0"/>
            </w:pPr>
            <w:r>
              <w:rPr>
                <w:rFonts w:ascii="Prima Serif Std Roman" w:hAnsi="Prima Serif Std Roman" w:eastAsia="Prima Serif Std Roman"/>
                <w:b w:val="0"/>
                <w:sz w:val="18"/>
              </w:rPr>
              <w:t>超过阈值时 Isp 与 ηc 均可能失真</w:t>
            </w:r>
          </w:p>
        </w:tc>
      </w:tr>
      <w:tr w14:paraId="3068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3D361FFB">
            <w:pPr>
              <w:spacing w:after="0"/>
            </w:pPr>
            <w:r>
              <w:rPr>
                <w:rFonts w:ascii="Prima Serif Std Roman" w:hAnsi="Prima Serif Std Roman" w:eastAsia="Prima Serif Std Roman"/>
                <w:b w:val="0"/>
                <w:sz w:val="18"/>
              </w:rPr>
              <w:t>热释放合理性</w:t>
            </w:r>
          </w:p>
        </w:tc>
        <w:tc>
          <w:tcPr>
            <w:tcW w:w="2381" w:type="dxa"/>
            <w:vAlign w:val="top"/>
          </w:tcPr>
          <w:p w14:paraId="323217D9">
            <w:pPr>
              <w:spacing w:after="0"/>
            </w:pPr>
            <w:r>
              <w:rPr>
                <w:rFonts w:ascii="Prima Serif Std Roman" w:hAnsi="Prima Serif Std Roman" w:eastAsia="Prima Serif Std Roman"/>
                <w:b w:val="0"/>
                <w:sz w:val="18"/>
              </w:rPr>
              <w:t>0 &lt; ηc &lt; 1.2</w:t>
            </w:r>
          </w:p>
        </w:tc>
        <w:tc>
          <w:tcPr>
            <w:tcW w:w="2381" w:type="dxa"/>
            <w:vAlign w:val="top"/>
          </w:tcPr>
          <w:p w14:paraId="5F8863AA">
            <w:pPr>
              <w:spacing w:after="0"/>
            </w:pPr>
            <w:r>
              <w:rPr>
                <w:rFonts w:ascii="Prima Serif Std Roman" w:hAnsi="Prima Serif Std Roman" w:eastAsia="Prima Serif Std Roman"/>
                <w:b w:val="0"/>
                <w:sz w:val="18"/>
              </w:rPr>
              <w:t>不应出现明显负值或过大值</w:t>
            </w:r>
          </w:p>
        </w:tc>
        <w:tc>
          <w:tcPr>
            <w:tcW w:w="2835" w:type="dxa"/>
            <w:vAlign w:val="top"/>
          </w:tcPr>
          <w:p w14:paraId="48EDC15D">
            <w:pPr>
              <w:spacing w:after="0"/>
            </w:pPr>
            <w:r>
              <w:rPr>
                <w:rFonts w:ascii="Prima Serif Std Roman" w:hAnsi="Prima Serif Std Roman" w:eastAsia="Prima Serif Std Roman"/>
                <w:b w:val="0"/>
                <w:sz w:val="18"/>
              </w:rPr>
              <w:t>若 ηc&gt;1，检查热释放率单位和理论热输入质量流量</w:t>
            </w:r>
          </w:p>
        </w:tc>
      </w:tr>
      <w:tr w14:paraId="7C60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2AD8FE1E">
            <w:pPr>
              <w:spacing w:after="0"/>
            </w:pPr>
            <w:r>
              <w:rPr>
                <w:rFonts w:ascii="Prima Serif Std Roman" w:hAnsi="Prima Serif Std Roman" w:eastAsia="Prima Serif Std Roman"/>
                <w:b w:val="0"/>
                <w:sz w:val="18"/>
              </w:rPr>
              <w:t>出口压力项</w:t>
            </w:r>
          </w:p>
        </w:tc>
        <w:tc>
          <w:tcPr>
            <w:tcW w:w="2381" w:type="dxa"/>
            <w:vAlign w:val="top"/>
          </w:tcPr>
          <w:p w14:paraId="444DB6AB">
            <w:pPr>
              <w:spacing w:after="0"/>
            </w:pPr>
            <w:r>
              <w:rPr>
                <w:rFonts w:ascii="Prima Serif Std Roman" w:hAnsi="Prima Serif Std Roman" w:eastAsia="Prima Serif Std Roman"/>
                <w:b w:val="0"/>
                <w:sz w:val="18"/>
              </w:rPr>
              <w:t>压力推力占总推力比例</w:t>
            </w:r>
          </w:p>
        </w:tc>
        <w:tc>
          <w:tcPr>
            <w:tcW w:w="2381" w:type="dxa"/>
            <w:vAlign w:val="top"/>
          </w:tcPr>
          <w:p w14:paraId="46045EDC">
            <w:pPr>
              <w:spacing w:after="0"/>
            </w:pPr>
            <w:r>
              <w:rPr>
                <w:rFonts w:ascii="Prima Serif Std Roman" w:hAnsi="Prima Serif Std Roman" w:eastAsia="Prima Serif Std Roman"/>
                <w:b w:val="0"/>
                <w:sz w:val="18"/>
              </w:rPr>
              <w:t>与喷管工况相符</w:t>
            </w:r>
          </w:p>
        </w:tc>
        <w:tc>
          <w:tcPr>
            <w:tcW w:w="2835" w:type="dxa"/>
            <w:vAlign w:val="top"/>
          </w:tcPr>
          <w:p w14:paraId="43B40585">
            <w:pPr>
              <w:spacing w:after="0"/>
            </w:pPr>
            <w:r>
              <w:rPr>
                <w:rFonts w:ascii="Prima Serif Std Roman" w:hAnsi="Prima Serif Std Roman" w:eastAsia="Prima Serif Std Roman"/>
                <w:b w:val="0"/>
                <w:sz w:val="18"/>
              </w:rPr>
              <w:t>若异常大，检查 pa、出口边界和法向方向</w:t>
            </w:r>
          </w:p>
        </w:tc>
      </w:tr>
      <w:tr w14:paraId="08E2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6BAFACA2">
            <w:pPr>
              <w:spacing w:after="0"/>
            </w:pPr>
            <w:r>
              <w:rPr>
                <w:rFonts w:ascii="Prima Serif Std Roman" w:hAnsi="Prima Serif Std Roman" w:eastAsia="Prima Serif Std Roman"/>
                <w:b w:val="0"/>
                <w:sz w:val="18"/>
              </w:rPr>
              <w:t>φ 统计区</w:t>
            </w:r>
          </w:p>
        </w:tc>
        <w:tc>
          <w:tcPr>
            <w:tcW w:w="2381" w:type="dxa"/>
            <w:vAlign w:val="top"/>
          </w:tcPr>
          <w:p w14:paraId="1BD0168C">
            <w:pPr>
              <w:spacing w:after="0"/>
            </w:pPr>
            <w:r>
              <w:rPr>
                <w:rFonts w:ascii="Prima Serif Std Roman" w:hAnsi="Prima Serif Std Roman" w:eastAsia="Prima Serif Std Roman"/>
                <w:b w:val="0"/>
                <w:sz w:val="18"/>
              </w:rPr>
              <w:t>高温区体积占比、φ 极值</w:t>
            </w:r>
          </w:p>
        </w:tc>
        <w:tc>
          <w:tcPr>
            <w:tcW w:w="2381" w:type="dxa"/>
            <w:vAlign w:val="top"/>
          </w:tcPr>
          <w:p w14:paraId="738386A4">
            <w:pPr>
              <w:spacing w:after="0"/>
            </w:pPr>
            <w:r>
              <w:rPr>
                <w:rFonts w:ascii="Prima Serif Std Roman" w:hAnsi="Prima Serif Std Roman" w:eastAsia="Prima Serif Std Roman"/>
                <w:b w:val="0"/>
                <w:sz w:val="18"/>
              </w:rPr>
              <w:t>高温区不应过小；φ 极值不应由分母接近零主导</w:t>
            </w:r>
          </w:p>
        </w:tc>
        <w:tc>
          <w:tcPr>
            <w:tcW w:w="2835" w:type="dxa"/>
            <w:vAlign w:val="top"/>
          </w:tcPr>
          <w:p w14:paraId="3AAFA649">
            <w:pPr>
              <w:spacing w:after="0"/>
            </w:pPr>
            <w:r>
              <w:rPr>
                <w:rFonts w:ascii="Prima Serif Std Roman" w:hAnsi="Prima Serif Std Roman" w:eastAsia="Prima Serif Std Roman"/>
                <w:b w:val="0"/>
                <w:sz w:val="18"/>
              </w:rPr>
              <w:t>必要时调整 Tcomb 或采用混合分数</w:t>
            </w:r>
          </w:p>
        </w:tc>
      </w:tr>
      <w:tr w14:paraId="0FC5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6F1B0588">
            <w:pPr>
              <w:spacing w:after="0"/>
            </w:pPr>
            <w:r>
              <w:rPr>
                <w:rFonts w:ascii="Prima Serif Std Roman" w:hAnsi="Prima Serif Std Roman" w:eastAsia="Prima Serif Std Roman"/>
                <w:b w:val="0"/>
                <w:sz w:val="18"/>
              </w:rPr>
              <w:t>壁温指标</w:t>
            </w:r>
          </w:p>
        </w:tc>
        <w:tc>
          <w:tcPr>
            <w:tcW w:w="2381" w:type="dxa"/>
            <w:vAlign w:val="top"/>
          </w:tcPr>
          <w:p w14:paraId="4226955C">
            <w:pPr>
              <w:spacing w:after="0"/>
            </w:pPr>
            <w:r>
              <w:rPr>
                <w:rFonts w:ascii="Prima Serif Std Roman" w:hAnsi="Prima Serif Std Roman" w:eastAsia="Prima Serif Std Roman"/>
                <w:b w:val="0"/>
                <w:sz w:val="18"/>
              </w:rPr>
              <w:t>Tmax 位置和 P99.5(Tw)</w:t>
            </w:r>
          </w:p>
        </w:tc>
        <w:tc>
          <w:tcPr>
            <w:tcW w:w="2381" w:type="dxa"/>
            <w:vAlign w:val="top"/>
          </w:tcPr>
          <w:p w14:paraId="32CC6548">
            <w:pPr>
              <w:spacing w:after="0"/>
            </w:pPr>
            <w:r>
              <w:rPr>
                <w:rFonts w:ascii="Prima Serif Std Roman" w:hAnsi="Prima Serif Std Roman" w:eastAsia="Prima Serif Std Roman"/>
                <w:b w:val="0"/>
                <w:sz w:val="18"/>
              </w:rPr>
              <w:t>最大值应有物理连续性</w:t>
            </w:r>
          </w:p>
        </w:tc>
        <w:tc>
          <w:tcPr>
            <w:tcW w:w="2835" w:type="dxa"/>
            <w:vAlign w:val="top"/>
          </w:tcPr>
          <w:p w14:paraId="6CAEB774">
            <w:pPr>
              <w:spacing w:after="0"/>
            </w:pPr>
            <w:r>
              <w:rPr>
                <w:rFonts w:ascii="Prima Serif Std Roman" w:hAnsi="Prima Serif Std Roman" w:eastAsia="Prima Serif Std Roman"/>
                <w:b w:val="0"/>
                <w:sz w:val="18"/>
              </w:rPr>
              <w:t>单点峰值需结合壁面温度云图判读</w:t>
            </w:r>
          </w:p>
        </w:tc>
      </w:tr>
      <w:tr w14:paraId="332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1E49101C">
            <w:pPr>
              <w:spacing w:after="0"/>
            </w:pPr>
            <w:r>
              <w:rPr>
                <w:rFonts w:ascii="Prima Serif Std Roman" w:hAnsi="Prima Serif Std Roman" w:eastAsia="Prima Serif Std Roman"/>
                <w:b w:val="0"/>
                <w:sz w:val="18"/>
              </w:rPr>
              <w:t>网格相关性</w:t>
            </w:r>
          </w:p>
        </w:tc>
        <w:tc>
          <w:tcPr>
            <w:tcW w:w="2381" w:type="dxa"/>
            <w:vAlign w:val="top"/>
          </w:tcPr>
          <w:p w14:paraId="01F8B21D">
            <w:pPr>
              <w:spacing w:after="0"/>
            </w:pPr>
            <w:r>
              <w:rPr>
                <w:rFonts w:ascii="Prima Serif Std Roman" w:hAnsi="Prima Serif Std Roman" w:eastAsia="Prima Serif Std Roman"/>
                <w:b w:val="0"/>
                <w:sz w:val="18"/>
              </w:rPr>
              <w:t>基准构型压力、热释放、壁温随网格变化</w:t>
            </w:r>
          </w:p>
        </w:tc>
        <w:tc>
          <w:tcPr>
            <w:tcW w:w="2381" w:type="dxa"/>
            <w:vAlign w:val="top"/>
          </w:tcPr>
          <w:p w14:paraId="509F5247">
            <w:pPr>
              <w:spacing w:after="0"/>
            </w:pPr>
            <w:r>
              <w:rPr>
                <w:rFonts w:ascii="Prima Serif Std Roman" w:hAnsi="Prima Serif Std Roman" w:eastAsia="Prima Serif Std Roman"/>
                <w:b w:val="0"/>
                <w:sz w:val="18"/>
              </w:rPr>
              <w:t>变化趋于收敛</w:t>
            </w:r>
          </w:p>
        </w:tc>
        <w:tc>
          <w:tcPr>
            <w:tcW w:w="2835" w:type="dxa"/>
            <w:vAlign w:val="top"/>
          </w:tcPr>
          <w:p w14:paraId="025E0D70">
            <w:pPr>
              <w:spacing w:after="0"/>
            </w:pPr>
            <w:r>
              <w:rPr>
                <w:rFonts w:ascii="Prima Serif Std Roman" w:hAnsi="Prima Serif Std Roman" w:eastAsia="Prima Serif Std Roman"/>
                <w:b w:val="0"/>
                <w:sz w:val="18"/>
              </w:rPr>
              <w:t>网格无关性未通过时不应开展大规模优化</w:t>
            </w:r>
          </w:p>
        </w:tc>
      </w:tr>
    </w:tbl>
    <w:p w14:paraId="53467E76"/>
    <w:p w14:paraId="74CAA79B">
      <w:r>
        <w:t>对于稳态仿真，应在残差满足要求后继续观察关键物理量是否稳定，例如燃烧室压力、出口质量流量、体积热释放率、壁面平均温度和 Tmax。对于伪瞬态或非稳态仿真，应在时间平均窗口内计算上述指标，避免使用瞬时值作为训练标签。若研究阶段采用第一工况时间平均边界条件，则所有设计构型的边界条件应保持完全一致，只改变喷注器几何分布参数。</w:t>
      </w:r>
    </w:p>
    <w:p w14:paraId="0FD47119">
      <w:pPr>
        <w:pStyle w:val="3"/>
      </w:pPr>
      <w:r>
        <w:t>7 推荐输出数据表结构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814"/>
        <w:gridCol w:w="4535"/>
      </w:tblGrid>
      <w:tr w14:paraId="67F2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1" w:type="dxa"/>
            <w:shd w:val="clear" w:color="auto" w:fill="D9EAF7"/>
            <w:vAlign w:val="center"/>
          </w:tcPr>
          <w:p w14:paraId="749E22B9">
            <w:pPr>
              <w:spacing w:after="0"/>
            </w:pPr>
            <w:r>
              <w:rPr>
                <w:rFonts w:ascii="Prima Serif Std Roman" w:hAnsi="Prima Serif Std Roman" w:eastAsia="Prima Serif Std Roman"/>
                <w:b/>
                <w:sz w:val="18"/>
              </w:rPr>
              <w:t>字段名</w:t>
            </w:r>
          </w:p>
        </w:tc>
        <w:tc>
          <w:tcPr>
            <w:tcW w:w="1814" w:type="dxa"/>
            <w:shd w:val="clear" w:color="auto" w:fill="D9EAF7"/>
            <w:vAlign w:val="center"/>
          </w:tcPr>
          <w:p w14:paraId="78060A73">
            <w:pPr>
              <w:spacing w:after="0"/>
            </w:pPr>
            <w:r>
              <w:rPr>
                <w:rFonts w:ascii="Prima Serif Std Roman" w:hAnsi="Prima Serif Std Roman" w:eastAsia="Prima Serif Std Roman"/>
                <w:b/>
                <w:sz w:val="18"/>
              </w:rPr>
              <w:t>单位/类型</w:t>
            </w:r>
          </w:p>
        </w:tc>
        <w:tc>
          <w:tcPr>
            <w:tcW w:w="4535" w:type="dxa"/>
            <w:shd w:val="clear" w:color="auto" w:fill="D9EAF7"/>
            <w:vAlign w:val="center"/>
          </w:tcPr>
          <w:p w14:paraId="51820B7B">
            <w:pPr>
              <w:spacing w:after="0"/>
            </w:pPr>
            <w:r>
              <w:rPr>
                <w:rFonts w:ascii="Prima Serif Std Roman" w:hAnsi="Prima Serif Std Roman" w:eastAsia="Prima Serif Std Roman"/>
                <w:b/>
                <w:sz w:val="18"/>
              </w:rPr>
              <w:t>说明</w:t>
            </w:r>
          </w:p>
        </w:tc>
      </w:tr>
      <w:tr w14:paraId="3C90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1FA89B7F">
            <w:pPr>
              <w:spacing w:after="0"/>
            </w:pPr>
            <w:r>
              <w:rPr>
                <w:rFonts w:ascii="Prima Serif Std Roman" w:hAnsi="Prima Serif Std Roman" w:eastAsia="Prima Serif Std Roman"/>
                <w:b w:val="0"/>
                <w:sz w:val="18"/>
              </w:rPr>
              <w:t>case_id</w:t>
            </w:r>
          </w:p>
        </w:tc>
        <w:tc>
          <w:tcPr>
            <w:tcW w:w="1814" w:type="dxa"/>
            <w:vAlign w:val="top"/>
          </w:tcPr>
          <w:p w14:paraId="2F32353E">
            <w:pPr>
              <w:spacing w:after="0"/>
            </w:pPr>
            <w:r>
              <w:rPr>
                <w:rFonts w:ascii="Prima Serif Std Roman" w:hAnsi="Prima Serif Std Roman" w:eastAsia="Prima Serif Std Roman"/>
                <w:b w:val="0"/>
                <w:sz w:val="18"/>
              </w:rPr>
              <w:t>字符串</w:t>
            </w:r>
          </w:p>
        </w:tc>
        <w:tc>
          <w:tcPr>
            <w:tcW w:w="4535" w:type="dxa"/>
            <w:vAlign w:val="top"/>
          </w:tcPr>
          <w:p w14:paraId="28A135D3">
            <w:pPr>
              <w:spacing w:after="0"/>
            </w:pPr>
            <w:r>
              <w:rPr>
                <w:rFonts w:ascii="Prima Serif Std Roman" w:hAnsi="Prima Serif Std Roman" w:eastAsia="Prima Serif Std Roman"/>
                <w:b w:val="0"/>
                <w:sz w:val="18"/>
              </w:rPr>
              <w:t>算例编号，与几何参数文件和 Fluent case/data 文件对应</w:t>
            </w:r>
          </w:p>
        </w:tc>
      </w:tr>
      <w:tr w14:paraId="7AAA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762BD7FF">
            <w:pPr>
              <w:spacing w:after="0"/>
            </w:pPr>
            <w:r>
              <w:rPr>
                <w:rFonts w:ascii="Prima Serif Std Roman" w:hAnsi="Prima Serif Std Roman" w:eastAsia="Prima Serif Std Roman"/>
                <w:b w:val="0"/>
                <w:sz w:val="18"/>
              </w:rPr>
              <w:t>N1,N2,N3,N4 或其他设计变量</w:t>
            </w:r>
          </w:p>
        </w:tc>
        <w:tc>
          <w:tcPr>
            <w:tcW w:w="1814" w:type="dxa"/>
            <w:vAlign w:val="top"/>
          </w:tcPr>
          <w:p w14:paraId="184BA79E">
            <w:pPr>
              <w:spacing w:after="0"/>
            </w:pPr>
            <w:r>
              <w:rPr>
                <w:rFonts w:ascii="Prima Serif Std Roman" w:hAnsi="Prima Serif Std Roman" w:eastAsia="Prima Serif Std Roman"/>
                <w:b w:val="0"/>
                <w:sz w:val="18"/>
              </w:rPr>
              <w:t>整数/浮点</w:t>
            </w:r>
          </w:p>
        </w:tc>
        <w:tc>
          <w:tcPr>
            <w:tcW w:w="4535" w:type="dxa"/>
            <w:vAlign w:val="top"/>
          </w:tcPr>
          <w:p w14:paraId="54DC1585">
            <w:pPr>
              <w:spacing w:after="0"/>
            </w:pPr>
            <w:r>
              <w:rPr>
                <w:rFonts w:ascii="Prima Serif Std Roman" w:hAnsi="Prima Serif Std Roman" w:eastAsia="Prima Serif Std Roman"/>
                <w:b w:val="0"/>
                <w:sz w:val="18"/>
              </w:rPr>
              <w:t>喷注器参数化设计变量</w:t>
            </w:r>
          </w:p>
        </w:tc>
      </w:tr>
      <w:tr w14:paraId="4309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1B6DC7BE">
            <w:pPr>
              <w:spacing w:after="0"/>
            </w:pPr>
            <w:r>
              <w:rPr>
                <w:rFonts w:ascii="Prima Serif Std Roman" w:hAnsi="Prima Serif Std Roman" w:eastAsia="Prima Serif Std Roman"/>
                <w:b w:val="0"/>
                <w:sz w:val="18"/>
              </w:rPr>
              <w:t>mdot_ox, mdot_ch4, mdot_total</w:t>
            </w:r>
          </w:p>
        </w:tc>
        <w:tc>
          <w:tcPr>
            <w:tcW w:w="1814" w:type="dxa"/>
            <w:vAlign w:val="top"/>
          </w:tcPr>
          <w:p w14:paraId="4EBD90D9">
            <w:pPr>
              <w:spacing w:after="0"/>
            </w:pPr>
            <w:r>
              <w:rPr>
                <w:rFonts w:ascii="Prima Serif Std Roman" w:hAnsi="Prima Serif Std Roman" w:eastAsia="Prima Serif Std Roman"/>
                <w:b w:val="0"/>
                <w:sz w:val="18"/>
              </w:rPr>
              <w:t>kg/s</w:t>
            </w:r>
          </w:p>
        </w:tc>
        <w:tc>
          <w:tcPr>
            <w:tcW w:w="4535" w:type="dxa"/>
            <w:vAlign w:val="top"/>
          </w:tcPr>
          <w:p w14:paraId="04081C2B">
            <w:pPr>
              <w:spacing w:after="0"/>
            </w:pPr>
            <w:r>
              <w:rPr>
                <w:rFonts w:ascii="Prima Serif Std Roman" w:hAnsi="Prima Serif Std Roman" w:eastAsia="Prima Serif Std Roman"/>
                <w:b w:val="0"/>
                <w:sz w:val="18"/>
              </w:rPr>
              <w:t>入口流量和总流量</w:t>
            </w:r>
          </w:p>
        </w:tc>
      </w:tr>
      <w:tr w14:paraId="7758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262AD3C6">
            <w:pPr>
              <w:spacing w:after="0"/>
            </w:pPr>
            <w:r>
              <w:rPr>
                <w:rFonts w:ascii="Prima Serif Std Roman" w:hAnsi="Prima Serif Std Roman" w:eastAsia="Prima Serif Std Roman"/>
                <w:b w:val="0"/>
                <w:sz w:val="18"/>
              </w:rPr>
              <w:t>F_momentum, F_pressure, F_total</w:t>
            </w:r>
          </w:p>
        </w:tc>
        <w:tc>
          <w:tcPr>
            <w:tcW w:w="1814" w:type="dxa"/>
            <w:vAlign w:val="top"/>
          </w:tcPr>
          <w:p w14:paraId="7C62E5FC">
            <w:pPr>
              <w:spacing w:after="0"/>
            </w:pPr>
            <w:r>
              <w:rPr>
                <w:rFonts w:ascii="Prima Serif Std Roman" w:hAnsi="Prima Serif Std Roman" w:eastAsia="Prima Serif Std Roman"/>
                <w:b w:val="0"/>
                <w:sz w:val="18"/>
              </w:rPr>
              <w:t>N</w:t>
            </w:r>
          </w:p>
        </w:tc>
        <w:tc>
          <w:tcPr>
            <w:tcW w:w="4535" w:type="dxa"/>
            <w:vAlign w:val="top"/>
          </w:tcPr>
          <w:p w14:paraId="3A84522D">
            <w:pPr>
              <w:spacing w:after="0"/>
            </w:pPr>
            <w:r>
              <w:rPr>
                <w:rFonts w:ascii="Prima Serif Std Roman" w:hAnsi="Prima Serif Std Roman" w:eastAsia="Prima Serif Std Roman"/>
                <w:b w:val="0"/>
                <w:sz w:val="18"/>
              </w:rPr>
              <w:t>动量推力、压力推力、总推力</w:t>
            </w:r>
          </w:p>
        </w:tc>
      </w:tr>
      <w:tr w14:paraId="6197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5653EC54">
            <w:pPr>
              <w:spacing w:after="0"/>
            </w:pPr>
            <w:r>
              <w:rPr>
                <w:rFonts w:ascii="Prima Serif Std Roman" w:hAnsi="Prima Serif Std Roman" w:eastAsia="Prima Serif Std Roman"/>
                <w:b w:val="0"/>
                <w:sz w:val="18"/>
              </w:rPr>
              <w:t>Isp</w:t>
            </w:r>
          </w:p>
        </w:tc>
        <w:tc>
          <w:tcPr>
            <w:tcW w:w="1814" w:type="dxa"/>
            <w:vAlign w:val="top"/>
          </w:tcPr>
          <w:p w14:paraId="2ECDA4CD">
            <w:pPr>
              <w:spacing w:after="0"/>
            </w:pPr>
            <w:r>
              <w:rPr>
                <w:rFonts w:ascii="Prima Serif Std Roman" w:hAnsi="Prima Serif Std Roman" w:eastAsia="Prima Serif Std Roman"/>
                <w:b w:val="0"/>
                <w:sz w:val="18"/>
              </w:rPr>
              <w:t>s</w:t>
            </w:r>
          </w:p>
        </w:tc>
        <w:tc>
          <w:tcPr>
            <w:tcW w:w="4535" w:type="dxa"/>
            <w:vAlign w:val="top"/>
          </w:tcPr>
          <w:p w14:paraId="06C8FB98">
            <w:pPr>
              <w:spacing w:after="0"/>
            </w:pPr>
            <w:r>
              <w:rPr>
                <w:rFonts w:ascii="Prima Serif Std Roman" w:hAnsi="Prima Serif Std Roman" w:eastAsia="Prima Serif Std Roman"/>
                <w:b w:val="0"/>
                <w:sz w:val="18"/>
              </w:rPr>
              <w:t>比冲</w:t>
            </w:r>
          </w:p>
        </w:tc>
      </w:tr>
      <w:tr w14:paraId="37B2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65E50B2B">
            <w:pPr>
              <w:spacing w:after="0"/>
            </w:pPr>
            <w:r>
              <w:rPr>
                <w:rFonts w:ascii="Prima Serif Std Roman" w:hAnsi="Prima Serif Std Roman" w:eastAsia="Prima Serif Std Roman"/>
                <w:b w:val="0"/>
                <w:sz w:val="18"/>
              </w:rPr>
              <w:t>Qdot_actual, Qdot_theoretical, eta_c</w:t>
            </w:r>
          </w:p>
        </w:tc>
        <w:tc>
          <w:tcPr>
            <w:tcW w:w="1814" w:type="dxa"/>
            <w:vAlign w:val="top"/>
          </w:tcPr>
          <w:p w14:paraId="54A63119">
            <w:pPr>
              <w:spacing w:after="0"/>
            </w:pPr>
            <w:r>
              <w:rPr>
                <w:rFonts w:ascii="Prima Serif Std Roman" w:hAnsi="Prima Serif Std Roman" w:eastAsia="Prima Serif Std Roman"/>
                <w:b w:val="0"/>
                <w:sz w:val="18"/>
              </w:rPr>
              <w:t>W, W, -</w:t>
            </w:r>
          </w:p>
        </w:tc>
        <w:tc>
          <w:tcPr>
            <w:tcW w:w="4535" w:type="dxa"/>
            <w:vAlign w:val="top"/>
          </w:tcPr>
          <w:p w14:paraId="12249228">
            <w:pPr>
              <w:spacing w:after="0"/>
            </w:pPr>
            <w:r>
              <w:rPr>
                <w:rFonts w:ascii="Prima Serif Std Roman" w:hAnsi="Prima Serif Std Roman" w:eastAsia="Prima Serif Std Roman"/>
                <w:b w:val="0"/>
                <w:sz w:val="18"/>
              </w:rPr>
              <w:t>实际热释放、理论热输入、燃烧效率</w:t>
            </w:r>
          </w:p>
        </w:tc>
      </w:tr>
      <w:tr w14:paraId="3DB1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1F5D53B3">
            <w:pPr>
              <w:spacing w:after="0"/>
            </w:pPr>
            <w:r>
              <w:rPr>
                <w:rFonts w:ascii="Prima Serif Std Roman" w:hAnsi="Prima Serif Std Roman" w:eastAsia="Prima Serif Std Roman"/>
                <w:b w:val="0"/>
                <w:sz w:val="18"/>
              </w:rPr>
              <w:t>phi_mean, phi_std, hot_volume</w:t>
            </w:r>
          </w:p>
        </w:tc>
        <w:tc>
          <w:tcPr>
            <w:tcW w:w="1814" w:type="dxa"/>
            <w:vAlign w:val="top"/>
          </w:tcPr>
          <w:p w14:paraId="2A747943">
            <w:pPr>
              <w:spacing w:after="0"/>
            </w:pPr>
            <w:r>
              <w:rPr>
                <w:rFonts w:ascii="Prima Serif Std Roman" w:hAnsi="Prima Serif Std Roman" w:eastAsia="Prima Serif Std Roman"/>
                <w:b w:val="0"/>
                <w:sz w:val="18"/>
              </w:rPr>
              <w:t>-, -, m³</w:t>
            </w:r>
          </w:p>
        </w:tc>
        <w:tc>
          <w:tcPr>
            <w:tcW w:w="4535" w:type="dxa"/>
            <w:vAlign w:val="top"/>
          </w:tcPr>
          <w:p w14:paraId="1033C655">
            <w:pPr>
              <w:spacing w:after="0"/>
            </w:pPr>
            <w:r>
              <w:rPr>
                <w:rFonts w:ascii="Prima Serif Std Roman" w:hAnsi="Prima Serif Std Roman" w:eastAsia="Prima Serif Std Roman"/>
                <w:b w:val="0"/>
                <w:sz w:val="18"/>
              </w:rPr>
              <w:t>高温区等效混合比均值、标准差和统计体积</w:t>
            </w:r>
          </w:p>
        </w:tc>
      </w:tr>
      <w:tr w14:paraId="4671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7F393971">
            <w:pPr>
              <w:spacing w:after="0"/>
            </w:pPr>
            <w:r>
              <w:rPr>
                <w:rFonts w:ascii="Prima Serif Std Roman" w:hAnsi="Prima Serif Std Roman" w:eastAsia="Prima Serif Std Roman"/>
                <w:b w:val="0"/>
                <w:sz w:val="18"/>
              </w:rPr>
              <w:t>Twall_inj, Twall_chamber, Twall_nozzle, Twall_total</w:t>
            </w:r>
          </w:p>
        </w:tc>
        <w:tc>
          <w:tcPr>
            <w:tcW w:w="1814" w:type="dxa"/>
            <w:vAlign w:val="top"/>
          </w:tcPr>
          <w:p w14:paraId="77E76326">
            <w:pPr>
              <w:spacing w:after="0"/>
            </w:pPr>
            <w:r>
              <w:rPr>
                <w:rFonts w:ascii="Prima Serif Std Roman" w:hAnsi="Prima Serif Std Roman" w:eastAsia="Prima Serif Std Roman"/>
                <w:b w:val="0"/>
                <w:sz w:val="18"/>
              </w:rPr>
              <w:t>K</w:t>
            </w:r>
          </w:p>
        </w:tc>
        <w:tc>
          <w:tcPr>
            <w:tcW w:w="4535" w:type="dxa"/>
            <w:vAlign w:val="top"/>
          </w:tcPr>
          <w:p w14:paraId="44F2A14C">
            <w:pPr>
              <w:spacing w:after="0"/>
            </w:pPr>
            <w:r>
              <w:rPr>
                <w:rFonts w:ascii="Prima Serif Std Roman" w:hAnsi="Prima Serif Std Roman" w:eastAsia="Prima Serif Std Roman"/>
                <w:b w:val="0"/>
                <w:sz w:val="18"/>
              </w:rPr>
              <w:t>分区和总壁面平均温度</w:t>
            </w:r>
          </w:p>
        </w:tc>
      </w:tr>
      <w:tr w14:paraId="5C941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476135FE">
            <w:pPr>
              <w:spacing w:after="0"/>
            </w:pPr>
            <w:r>
              <w:rPr>
                <w:rFonts w:ascii="Prima Serif Std Roman" w:hAnsi="Prima Serif Std Roman" w:eastAsia="Prima Serif Std Roman"/>
                <w:b w:val="0"/>
                <w:sz w:val="18"/>
              </w:rPr>
              <w:t>Tmax_throat, Tmax_all, T_p995_wall</w:t>
            </w:r>
          </w:p>
        </w:tc>
        <w:tc>
          <w:tcPr>
            <w:tcW w:w="1814" w:type="dxa"/>
            <w:vAlign w:val="top"/>
          </w:tcPr>
          <w:p w14:paraId="3EE12C1D">
            <w:pPr>
              <w:spacing w:after="0"/>
            </w:pPr>
            <w:r>
              <w:rPr>
                <w:rFonts w:ascii="Prima Serif Std Roman" w:hAnsi="Prima Serif Std Roman" w:eastAsia="Prima Serif Std Roman"/>
                <w:b w:val="0"/>
                <w:sz w:val="18"/>
              </w:rPr>
              <w:t>K</w:t>
            </w:r>
          </w:p>
        </w:tc>
        <w:tc>
          <w:tcPr>
            <w:tcW w:w="4535" w:type="dxa"/>
            <w:vAlign w:val="top"/>
          </w:tcPr>
          <w:p w14:paraId="4D0564FE">
            <w:pPr>
              <w:spacing w:after="0"/>
            </w:pPr>
            <w:r>
              <w:rPr>
                <w:rFonts w:ascii="Prima Serif Std Roman" w:hAnsi="Prima Serif Std Roman" w:eastAsia="Prima Serif Std Roman"/>
                <w:b w:val="0"/>
                <w:sz w:val="18"/>
              </w:rPr>
              <w:t>喉部最大壁温、全壁面最大壁温、稳健高分位温度</w:t>
            </w:r>
          </w:p>
        </w:tc>
      </w:tr>
      <w:tr w14:paraId="31D8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top"/>
          </w:tcPr>
          <w:p w14:paraId="524E4356">
            <w:pPr>
              <w:spacing w:after="0"/>
            </w:pPr>
            <w:r>
              <w:rPr>
                <w:rFonts w:ascii="Prima Serif Std Roman" w:hAnsi="Prima Serif Std Roman" w:eastAsia="Prima Serif Std Roman"/>
                <w:b w:val="0"/>
                <w:sz w:val="18"/>
              </w:rPr>
              <w:t>mass_imbalance, residual_status, convergence_flag</w:t>
            </w:r>
          </w:p>
        </w:tc>
        <w:tc>
          <w:tcPr>
            <w:tcW w:w="1814" w:type="dxa"/>
            <w:vAlign w:val="top"/>
          </w:tcPr>
          <w:p w14:paraId="2C8ECC4A">
            <w:pPr>
              <w:spacing w:after="0"/>
            </w:pPr>
            <w:r>
              <w:rPr>
                <w:rFonts w:ascii="Prima Serif Std Roman" w:hAnsi="Prima Serif Std Roman" w:eastAsia="Prima Serif Std Roman"/>
                <w:b w:val="0"/>
                <w:sz w:val="18"/>
              </w:rPr>
              <w:t>-, 字符串, 0/1</w:t>
            </w:r>
          </w:p>
        </w:tc>
        <w:tc>
          <w:tcPr>
            <w:tcW w:w="4535" w:type="dxa"/>
            <w:vAlign w:val="top"/>
          </w:tcPr>
          <w:p w14:paraId="019E75B6">
            <w:pPr>
              <w:spacing w:after="0"/>
            </w:pPr>
            <w:r>
              <w:rPr>
                <w:rFonts w:ascii="Prima Serif Std Roman" w:hAnsi="Prima Serif Std Roman" w:eastAsia="Prima Serif Std Roman"/>
                <w:b w:val="0"/>
                <w:sz w:val="18"/>
              </w:rPr>
              <w:t>质量控制字段</w:t>
            </w:r>
          </w:p>
        </w:tc>
      </w:tr>
    </w:tbl>
    <w:p w14:paraId="17F99244"/>
    <w:p w14:paraId="719B0E64">
      <w:pPr>
        <w:pStyle w:val="3"/>
      </w:pPr>
      <w:r>
        <w:t>8 结论</w:t>
      </w:r>
    </w:p>
    <w:p w14:paraId="7D8D304D">
      <w:r>
        <w:t>本报告给出的 Fluent 后处理方案，将五项研究指标分别映射到明确的数据采集位置和计算公式：Isp 来自入口总质量流量和喷管出口推力积分；ηc 来自反应域体积热释放率和甲烷理论热输入；φ̄ 与 σφ 来自燃烧室高温区混合分数或氧/燃质量分数的体积加权统计；Twall 来自喷注器面、燃烧室壁面和喷管壁面的面积加权平均；Tmax 来自喉部和全壁面的最大壁温统计。</w:t>
      </w:r>
    </w:p>
    <w:p w14:paraId="1FEE1248">
      <w:r>
        <w:t>在自动化仿真体系中，应把 Fluent 计算结果统一转化为 metrics_summary.csv，并保留出口面、燃烧室体单元和壁面面元的原始导出数据。这样既能满足代理模型训练对结构化标签的需求，也能在后续误差分析、异常算例复查和物理一致性验证中追溯原始流场依据。</w:t>
      </w:r>
    </w:p>
    <w:p w14:paraId="5C57479B">
      <w:pPr>
        <w:pStyle w:val="3"/>
      </w:pPr>
      <w:r>
        <w:t>附录 A：单算例后处理伪代码</w:t>
      </w:r>
    </w:p>
    <w:p w14:paraId="3EEA9138">
      <w:pPr>
        <w:pStyle w:val="16"/>
        <w:spacing w:after="40"/>
      </w:pPr>
      <w:r>
        <w:rPr>
          <w:rFonts w:ascii="Prima Serif Std Roman" w:hAnsi="Prima Serif Std Roman" w:eastAsia="Prima Serif Std Roman"/>
          <w:sz w:val="21"/>
        </w:rPr>
        <w:t>输入：case_id、Fluent case/data 文件、边界名称列表、Tcomb、pa、LHVCH4</w:t>
      </w:r>
    </w:p>
    <w:p w14:paraId="1B475B85">
      <w:pPr>
        <w:pStyle w:val="16"/>
        <w:spacing w:after="40"/>
      </w:pPr>
      <w:r>
        <w:rPr>
          <w:rFonts w:ascii="Prima Serif Std Roman" w:hAnsi="Prima Serif Std Roman" w:eastAsia="Prima Serif Std Roman"/>
          <w:sz w:val="21"/>
        </w:rPr>
        <w:t>1. 检查必要边界：ox_inlet_*、fuel_inlet_*、nozzle_exit、chamber_wall、nozzle_wall、throat_wall 是否存在。</w:t>
      </w:r>
    </w:p>
    <w:p w14:paraId="72C61F66">
      <w:pPr>
        <w:pStyle w:val="16"/>
        <w:spacing w:after="40"/>
      </w:pPr>
      <w:r>
        <w:rPr>
          <w:rFonts w:ascii="Prima Serif Std Roman" w:hAnsi="Prima Serif Std Roman" w:eastAsia="Prima Serif Std Roman"/>
          <w:sz w:val="21"/>
        </w:rPr>
        <w:t>2. 从入口面读取 m_dot_ox、m_dot_CH4，计算 m_dot_total。</w:t>
      </w:r>
    </w:p>
    <w:p w14:paraId="45660C35">
      <w:pPr>
        <w:pStyle w:val="16"/>
        <w:spacing w:after="40"/>
      </w:pPr>
      <w:r>
        <w:rPr>
          <w:rFonts w:ascii="Prima Serif Std Roman" w:hAnsi="Prima Serif Std Roman" w:eastAsia="Prima Serif Std Roman"/>
          <w:sz w:val="21"/>
        </w:rPr>
        <w:t>3. 从 nozzle_exit 导出 ρ、ux、uy、uz、p、面法向 n、面元面积 dA，计算 Fmomentum、Fpressure、Ftotal 和 Isp。</w:t>
      </w:r>
    </w:p>
    <w:p w14:paraId="73050F1F">
      <w:pPr>
        <w:pStyle w:val="16"/>
        <w:spacing w:after="40"/>
      </w:pPr>
      <w:r>
        <w:rPr>
          <w:rFonts w:ascii="Prima Serif Std Roman" w:hAnsi="Prima Serif Std Roman" w:eastAsia="Prima Serif Std Roman"/>
          <w:sz w:val="21"/>
        </w:rPr>
        <w:t>4. 对 all_reactive_fluid 积分 Heat Release Rate，得到 Q_dot_actual；用 m_dot_CH4 LHVCH4 得到 Q_dot_theoretical，计算 ηc。</w:t>
      </w:r>
    </w:p>
    <w:p w14:paraId="2B6B8916">
      <w:pPr>
        <w:pStyle w:val="16"/>
        <w:spacing w:after="40"/>
      </w:pPr>
      <w:r>
        <w:rPr>
          <w:rFonts w:ascii="Prima Serif Std Roman" w:hAnsi="Prima Serif Std Roman" w:eastAsia="Prima Serif Std Roman"/>
          <w:sz w:val="21"/>
        </w:rPr>
        <w:t>5. 从 combustion_chamber_fluid 导出 T、Z 或 Yox/Yfuel、cell volume；筛选 T&gt;Tcomb 的单元，计算 φ̄ 与 σφ。</w:t>
      </w:r>
    </w:p>
    <w:p w14:paraId="34A555F0">
      <w:pPr>
        <w:pStyle w:val="16"/>
        <w:spacing w:after="40"/>
      </w:pPr>
      <w:r>
        <w:rPr>
          <w:rFonts w:ascii="Prima Serif Std Roman" w:hAnsi="Prima Serif Std Roman" w:eastAsia="Prima Serif Std Roman"/>
          <w:sz w:val="21"/>
        </w:rPr>
        <w:t>6. 对 injector_face_wall、chamber_wall、nozzle_wall 分别计算面积加权平均壁温，再计算 Twall,total。</w:t>
      </w:r>
    </w:p>
    <w:p w14:paraId="1F525726">
      <w:pPr>
        <w:pStyle w:val="16"/>
        <w:spacing w:after="40"/>
      </w:pPr>
      <w:r>
        <w:rPr>
          <w:rFonts w:ascii="Prima Serif Std Roman" w:hAnsi="Prima Serif Std Roman" w:eastAsia="Prima Serif Std Roman"/>
          <w:sz w:val="21"/>
        </w:rPr>
        <w:t>7. 对 throat_wall 和全部壁面求壁温最大值，同时输出 P99.5 壁温和热点坐标。</w:t>
      </w:r>
    </w:p>
    <w:p w14:paraId="176F49C1">
      <w:pPr>
        <w:pStyle w:val="16"/>
        <w:spacing w:after="40"/>
      </w:pPr>
      <w:r>
        <w:rPr>
          <w:rFonts w:ascii="Prima Serif Std Roman" w:hAnsi="Prima Serif Std Roman" w:eastAsia="Prima Serif Std Roman"/>
          <w:sz w:val="21"/>
        </w:rPr>
        <w:t>8. 计算质量守恒误差、统计区体积、关键物理量范围，写入 convergence_flag。</w:t>
      </w:r>
    </w:p>
    <w:p w14:paraId="7D480D14">
      <w:pPr>
        <w:pStyle w:val="16"/>
        <w:spacing w:after="40"/>
      </w:pPr>
      <w:r>
        <w:rPr>
          <w:rFonts w:ascii="Prima Serif Std Roman" w:hAnsi="Prima Serif Std Roman" w:eastAsia="Prima Serif Std Roman"/>
          <w:sz w:val="21"/>
        </w:rPr>
        <w:t>9. 输出 metrics_summary.csv，并保存 exit_surface.csv、chamber_cells.csv、wall_faces.csv。</w:t>
      </w:r>
    </w:p>
    <w:p w14:paraId="6A8745CA">
      <w:pPr>
        <w:pStyle w:val="3"/>
      </w:pPr>
      <w:r>
        <w:t>附录 B：常见错误及修正方式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118"/>
        <w:gridCol w:w="3685"/>
      </w:tblGrid>
      <w:tr w14:paraId="414A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AF7"/>
            <w:vAlign w:val="center"/>
          </w:tcPr>
          <w:p w14:paraId="1F3308E9">
            <w:pPr>
              <w:spacing w:after="0"/>
            </w:pPr>
            <w:r>
              <w:rPr>
                <w:rFonts w:ascii="Prima Serif Std Roman" w:hAnsi="Prima Serif Std Roman" w:eastAsia="Prima Serif Std Roman"/>
                <w:b/>
                <w:sz w:val="18"/>
              </w:rPr>
              <w:t>问题</w:t>
            </w:r>
          </w:p>
        </w:tc>
        <w:tc>
          <w:tcPr>
            <w:tcW w:w="3118" w:type="dxa"/>
            <w:shd w:val="clear" w:color="auto" w:fill="D9EAF7"/>
            <w:vAlign w:val="center"/>
          </w:tcPr>
          <w:p w14:paraId="11CB2F2E">
            <w:pPr>
              <w:spacing w:after="0"/>
            </w:pPr>
            <w:r>
              <w:rPr>
                <w:rFonts w:ascii="Prima Serif Std Roman" w:hAnsi="Prima Serif Std Roman" w:eastAsia="Prima Serif Std Roman"/>
                <w:b/>
                <w:sz w:val="18"/>
              </w:rPr>
              <w:t>可能原因</w:t>
            </w:r>
          </w:p>
        </w:tc>
        <w:tc>
          <w:tcPr>
            <w:tcW w:w="3685" w:type="dxa"/>
            <w:shd w:val="clear" w:color="auto" w:fill="D9EAF7"/>
            <w:vAlign w:val="center"/>
          </w:tcPr>
          <w:p w14:paraId="467B33B0">
            <w:pPr>
              <w:spacing w:after="0"/>
            </w:pPr>
            <w:r>
              <w:rPr>
                <w:rFonts w:ascii="Prima Serif Std Roman" w:hAnsi="Prima Serif Std Roman" w:eastAsia="Prima Serif Std Roman"/>
                <w:b/>
                <w:sz w:val="18"/>
              </w:rPr>
              <w:t>修正方式</w:t>
            </w:r>
          </w:p>
        </w:tc>
      </w:tr>
      <w:tr w14:paraId="0684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5624C620">
            <w:pPr>
              <w:spacing w:after="0"/>
            </w:pPr>
            <w:r>
              <w:rPr>
                <w:rFonts w:ascii="Prima Serif Std Roman" w:hAnsi="Prima Serif Std Roman" w:eastAsia="Prima Serif Std Roman"/>
                <w:b w:val="0"/>
                <w:sz w:val="18"/>
              </w:rPr>
              <w:t>入口质量流量符号为负</w:t>
            </w:r>
          </w:p>
        </w:tc>
        <w:tc>
          <w:tcPr>
            <w:tcW w:w="3118" w:type="dxa"/>
            <w:vAlign w:val="top"/>
          </w:tcPr>
          <w:p w14:paraId="5F30C433">
            <w:pPr>
              <w:spacing w:after="0"/>
            </w:pPr>
            <w:r>
              <w:rPr>
                <w:rFonts w:ascii="Prima Serif Std Roman" w:hAnsi="Prima Serif Std Roman" w:eastAsia="Prima Serif Std Roman"/>
                <w:b w:val="0"/>
                <w:sz w:val="18"/>
              </w:rPr>
              <w:t>Fluent 面法向导致入口 Mass Flow Rate 为负</w:t>
            </w:r>
          </w:p>
        </w:tc>
        <w:tc>
          <w:tcPr>
            <w:tcW w:w="3685" w:type="dxa"/>
            <w:vAlign w:val="top"/>
          </w:tcPr>
          <w:p w14:paraId="3FE40983">
            <w:pPr>
              <w:spacing w:after="0"/>
            </w:pPr>
            <w:r>
              <w:rPr>
                <w:rFonts w:ascii="Prima Serif Std Roman" w:hAnsi="Prima Serif Std Roman" w:eastAsia="Prima Serif Std Roman"/>
                <w:b w:val="0"/>
                <w:sz w:val="18"/>
              </w:rPr>
              <w:t>计算 m_dot 时取入口绝对值，并用出口流量做守恒检查</w:t>
            </w:r>
          </w:p>
        </w:tc>
      </w:tr>
      <w:tr w14:paraId="2AA6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7891DB86">
            <w:pPr>
              <w:spacing w:after="0"/>
            </w:pPr>
            <w:r>
              <w:rPr>
                <w:rFonts w:ascii="Prima Serif Std Roman" w:hAnsi="Prima Serif Std Roman" w:eastAsia="Prima Serif Std Roman"/>
                <w:b w:val="0"/>
                <w:sz w:val="18"/>
              </w:rPr>
              <w:t>ηc 明显小于合理值</w:t>
            </w:r>
          </w:p>
        </w:tc>
        <w:tc>
          <w:tcPr>
            <w:tcW w:w="3118" w:type="dxa"/>
            <w:vAlign w:val="top"/>
          </w:tcPr>
          <w:p w14:paraId="14DDC66D">
            <w:pPr>
              <w:spacing w:after="0"/>
            </w:pPr>
            <w:r>
              <w:rPr>
                <w:rFonts w:ascii="Prima Serif Std Roman" w:hAnsi="Prima Serif Std Roman" w:eastAsia="Prima Serif Std Roman"/>
                <w:b w:val="0"/>
                <w:sz w:val="18"/>
              </w:rPr>
              <w:t>误用总推进剂流量计算理论热输入</w:t>
            </w:r>
          </w:p>
        </w:tc>
        <w:tc>
          <w:tcPr>
            <w:tcW w:w="3685" w:type="dxa"/>
            <w:vAlign w:val="top"/>
          </w:tcPr>
          <w:p w14:paraId="38D2D478">
            <w:pPr>
              <w:spacing w:after="0"/>
            </w:pPr>
            <w:r>
              <w:rPr>
                <w:rFonts w:ascii="Prima Serif Std Roman" w:hAnsi="Prima Serif Std Roman" w:eastAsia="Prima Serif Std Roman"/>
                <w:b w:val="0"/>
                <w:sz w:val="18"/>
              </w:rPr>
              <w:t>用 m_dot_CH4 而非 m_dot_total 乘以 LHVCH4</w:t>
            </w:r>
          </w:p>
        </w:tc>
      </w:tr>
      <w:tr w14:paraId="552E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7AA009D7">
            <w:pPr>
              <w:spacing w:after="0"/>
            </w:pPr>
            <w:r>
              <w:rPr>
                <w:rFonts w:ascii="Prima Serif Std Roman" w:hAnsi="Prima Serif Std Roman" w:eastAsia="Prima Serif Std Roman"/>
                <w:b w:val="0"/>
                <w:sz w:val="18"/>
              </w:rPr>
              <w:t>ηc 大于 1 很多</w:t>
            </w:r>
          </w:p>
        </w:tc>
        <w:tc>
          <w:tcPr>
            <w:tcW w:w="3118" w:type="dxa"/>
            <w:vAlign w:val="top"/>
          </w:tcPr>
          <w:p w14:paraId="40C48D56">
            <w:pPr>
              <w:spacing w:after="0"/>
            </w:pPr>
            <w:r>
              <w:rPr>
                <w:rFonts w:ascii="Prima Serif Std Roman" w:hAnsi="Prima Serif Std Roman" w:eastAsia="Prima Serif Std Roman"/>
                <w:b w:val="0"/>
                <w:sz w:val="18"/>
              </w:rPr>
              <w:t>热释放率单位重复乘体积，或 LHV/HHV、质量流量单位不一致</w:t>
            </w:r>
          </w:p>
        </w:tc>
        <w:tc>
          <w:tcPr>
            <w:tcW w:w="3685" w:type="dxa"/>
            <w:vAlign w:val="top"/>
          </w:tcPr>
          <w:p w14:paraId="30280D45">
            <w:pPr>
              <w:spacing w:after="0"/>
            </w:pPr>
            <w:r>
              <w:rPr>
                <w:rFonts w:ascii="Prima Serif Std Roman" w:hAnsi="Prima Serif Std Roman" w:eastAsia="Prima Serif Std Roman"/>
                <w:b w:val="0"/>
                <w:sz w:val="18"/>
              </w:rPr>
              <w:t>核对 Heat Release Rate 单位；统一 W、kg/s、J/kg</w:t>
            </w:r>
          </w:p>
        </w:tc>
      </w:tr>
      <w:tr w14:paraId="5A9C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318B1F19">
            <w:pPr>
              <w:spacing w:after="0"/>
            </w:pPr>
            <w:r>
              <w:rPr>
                <w:rFonts w:ascii="Prima Serif Std Roman" w:hAnsi="Prima Serif Std Roman" w:eastAsia="Prima Serif Std Roman"/>
                <w:b w:val="0"/>
                <w:sz w:val="18"/>
              </w:rPr>
              <w:t>φ 出现极大值</w:t>
            </w:r>
          </w:p>
        </w:tc>
        <w:tc>
          <w:tcPr>
            <w:tcW w:w="3118" w:type="dxa"/>
            <w:vAlign w:val="top"/>
          </w:tcPr>
          <w:p w14:paraId="4B558433">
            <w:pPr>
              <w:spacing w:after="0"/>
            </w:pPr>
            <w:r>
              <w:rPr>
                <w:rFonts w:ascii="Prima Serif Std Roman" w:hAnsi="Prima Serif Std Roman" w:eastAsia="Prima Serif Std Roman"/>
                <w:b w:val="0"/>
                <w:sz w:val="18"/>
              </w:rPr>
              <w:t>Yfuel 接近 0 或反应物被消耗</w:t>
            </w:r>
          </w:p>
        </w:tc>
        <w:tc>
          <w:tcPr>
            <w:tcW w:w="3685" w:type="dxa"/>
            <w:vAlign w:val="top"/>
          </w:tcPr>
          <w:p w14:paraId="4B3099AA">
            <w:pPr>
              <w:spacing w:after="0"/>
            </w:pPr>
            <w:r>
              <w:rPr>
                <w:rFonts w:ascii="Prima Serif Std Roman" w:hAnsi="Prima Serif Std Roman" w:eastAsia="Prima Serif Std Roman"/>
                <w:b w:val="0"/>
                <w:sz w:val="18"/>
              </w:rPr>
              <w:t>优先用 mixture fraction；必要时设置分母下限或改用守恒标量</w:t>
            </w:r>
          </w:p>
        </w:tc>
      </w:tr>
      <w:tr w14:paraId="185A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4EAFA3BA">
            <w:pPr>
              <w:spacing w:after="0"/>
            </w:pPr>
            <w:r>
              <w:rPr>
                <w:rFonts w:ascii="Prima Serif Std Roman" w:hAnsi="Prima Serif Std Roman" w:eastAsia="Prima Serif Std Roman"/>
                <w:b w:val="0"/>
                <w:sz w:val="18"/>
              </w:rPr>
              <w:t>Twall 不随设计变化</w:t>
            </w:r>
          </w:p>
        </w:tc>
        <w:tc>
          <w:tcPr>
            <w:tcW w:w="3118" w:type="dxa"/>
            <w:vAlign w:val="top"/>
          </w:tcPr>
          <w:p w14:paraId="44A2B561">
            <w:pPr>
              <w:spacing w:after="0"/>
            </w:pPr>
            <w:r>
              <w:rPr>
                <w:rFonts w:ascii="Prima Serif Std Roman" w:hAnsi="Prima Serif Std Roman" w:eastAsia="Prima Serif Std Roman"/>
                <w:b w:val="0"/>
                <w:sz w:val="18"/>
              </w:rPr>
              <w:t>壁面边界被设置为固定温度</w:t>
            </w:r>
          </w:p>
        </w:tc>
        <w:tc>
          <w:tcPr>
            <w:tcW w:w="3685" w:type="dxa"/>
            <w:vAlign w:val="top"/>
          </w:tcPr>
          <w:p w14:paraId="73C50885">
            <w:pPr>
              <w:spacing w:after="0"/>
            </w:pPr>
            <w:r>
              <w:rPr>
                <w:rFonts w:ascii="Prima Serif Std Roman" w:hAnsi="Prima Serif Std Roman" w:eastAsia="Prima Serif Std Roman"/>
                <w:b w:val="0"/>
                <w:sz w:val="18"/>
              </w:rPr>
              <w:t>改用壁面热流，或采用绝热壁/共轭传热模型后再比较壁温</w:t>
            </w:r>
          </w:p>
        </w:tc>
      </w:tr>
      <w:tr w14:paraId="053C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40919712">
            <w:pPr>
              <w:spacing w:after="0"/>
            </w:pPr>
            <w:r>
              <w:rPr>
                <w:rFonts w:ascii="Prima Serif Std Roman" w:hAnsi="Prima Serif Std Roman" w:eastAsia="Prima Serif Std Roman"/>
                <w:b w:val="0"/>
                <w:sz w:val="18"/>
              </w:rPr>
              <w:t>Tmax 被单个面元控制</w:t>
            </w:r>
          </w:p>
        </w:tc>
        <w:tc>
          <w:tcPr>
            <w:tcW w:w="3118" w:type="dxa"/>
            <w:vAlign w:val="top"/>
          </w:tcPr>
          <w:p w14:paraId="05F9C0BF">
            <w:pPr>
              <w:spacing w:after="0"/>
            </w:pPr>
            <w:r>
              <w:rPr>
                <w:rFonts w:ascii="Prima Serif Std Roman" w:hAnsi="Prima Serif Std Roman" w:eastAsia="Prima Serif Std Roman"/>
                <w:b w:val="0"/>
                <w:sz w:val="18"/>
              </w:rPr>
              <w:t>局部网格畸变或数值尖峰</w:t>
            </w:r>
          </w:p>
        </w:tc>
        <w:tc>
          <w:tcPr>
            <w:tcW w:w="3685" w:type="dxa"/>
            <w:vAlign w:val="top"/>
          </w:tcPr>
          <w:p w14:paraId="3D603EBD">
            <w:pPr>
              <w:spacing w:after="0"/>
            </w:pPr>
            <w:r>
              <w:rPr>
                <w:rFonts w:ascii="Prima Serif Std Roman" w:hAnsi="Prima Serif Std Roman" w:eastAsia="Prima Serif Std Roman"/>
                <w:b w:val="0"/>
                <w:sz w:val="18"/>
              </w:rPr>
              <w:t>同时输出 P99/P99.5 和热点坐标，并查看温度云图</w:t>
            </w:r>
          </w:p>
        </w:tc>
      </w:tr>
      <w:tr w14:paraId="5264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413A0BDC">
            <w:pPr>
              <w:spacing w:after="0"/>
            </w:pPr>
            <w:r>
              <w:rPr>
                <w:rFonts w:ascii="Prima Serif Std Roman" w:hAnsi="Prima Serif Std Roman" w:eastAsia="Prima Serif Std Roman"/>
                <w:b w:val="0"/>
                <w:sz w:val="18"/>
              </w:rPr>
              <w:t>推力压力项符号错误</w:t>
            </w:r>
          </w:p>
        </w:tc>
        <w:tc>
          <w:tcPr>
            <w:tcW w:w="3118" w:type="dxa"/>
            <w:vAlign w:val="top"/>
          </w:tcPr>
          <w:p w14:paraId="0C04EA59">
            <w:pPr>
              <w:spacing w:after="0"/>
            </w:pPr>
            <w:r>
              <w:rPr>
                <w:rFonts w:ascii="Prima Serif Std Roman" w:hAnsi="Prima Serif Std Roman" w:eastAsia="Prima Serif Std Roman"/>
                <w:b w:val="0"/>
                <w:sz w:val="18"/>
              </w:rPr>
              <w:t>出口法向或推力方向定义不一致</w:t>
            </w:r>
          </w:p>
        </w:tc>
        <w:tc>
          <w:tcPr>
            <w:tcW w:w="3685" w:type="dxa"/>
            <w:vAlign w:val="top"/>
          </w:tcPr>
          <w:p w14:paraId="745D59A6">
            <w:pPr>
              <w:spacing w:after="0"/>
            </w:pPr>
            <w:r>
              <w:rPr>
                <w:rFonts w:ascii="Prima Serif Std Roman" w:hAnsi="Prima Serif Std Roman" w:eastAsia="Prima Serif Std Roman"/>
                <w:b w:val="0"/>
                <w:sz w:val="18"/>
              </w:rPr>
              <w:t>确认 nozzle_exit 法向 nx 与发动机轴向定义；必要时统一用矢量积分</w:t>
            </w:r>
          </w:p>
        </w:tc>
      </w:tr>
    </w:tbl>
    <w:p w14:paraId="362113AC"/>
    <w:p w14:paraId="6323273D">
      <w:pPr>
        <w:pStyle w:val="3"/>
      </w:pPr>
      <w:r>
        <w:t>参考依据</w:t>
      </w:r>
    </w:p>
    <w:p w14:paraId="4817221A">
      <w:r>
        <w:t>[1] 谢铠舟. 基于深度学习方法的液氧甲烷发动机喷注器优化设计研究（中期报告）. 北京航空航天大学，2026. 主要依据第 2.1.2 节研究指标、第 2.2 节技术路径、第 3.3.3 节边界条件和求解方法、第 4.1 节仿真模型问题。</w:t>
      </w:r>
    </w:p>
    <w:sectPr>
      <w:footerReference r:id="rId5" w:type="default"/>
      <w:pgSz w:w="11906" w:h="16838"/>
      <w:pgMar w:top="1304" w:right="1304" w:bottom="1191"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80126B08-622E-44EC-BDEB-6E71C8F65843}"/>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Noto Serif CJK SC">
    <w:altName w:val="Noto Serif CJK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embedRegular r:id="rId2" w:fontKey="{D426A130-2890-4F1E-9479-ED6E5008F235}"/>
  </w:font>
  <w:font w:name="朗太書体">
    <w:panose1 w:val="02000009000000000000"/>
    <w:charset w:val="80"/>
    <w:family w:val="auto"/>
    <w:pitch w:val="default"/>
    <w:sig w:usb0="800002A3" w:usb1="38C7ECF8" w:usb2="00000016" w:usb3="00000000" w:csb0="00020000" w:csb1="00000000"/>
  </w:font>
  <w:font w:name="Courier New">
    <w:panose1 w:val="02070309020205020404"/>
    <w:charset w:val="00"/>
    <w:family w:val="auto"/>
    <w:pitch w:val="default"/>
    <w:sig w:usb0="E0002EFF" w:usb1="C0007843" w:usb2="00000009" w:usb3="00000000" w:csb0="400001FF" w:csb1="FFFF0000"/>
  </w:font>
  <w:font w:name="Corbel">
    <w:panose1 w:val="020B0503020204020204"/>
    <w:charset w:val="00"/>
    <w:family w:val="auto"/>
    <w:pitch w:val="default"/>
    <w:sig w:usb0="A00002EF" w:usb1="4000A44B" w:usb2="00000000" w:usb3="00000000" w:csb0="2000019F" w:csb1="00000000"/>
  </w:font>
  <w:font w:name="Prima Serif Std Roman">
    <w:panose1 w:val="02010600010101010101"/>
    <w:charset w:val="86"/>
    <w:family w:val="auto"/>
    <w:pitch w:val="default"/>
    <w:sig w:usb0="00000001" w:usb1="080E0000" w:usb2="00000000" w:usb3="00000000" w:csb0="00040000" w:csb1="00000000"/>
    <w:embedRegular r:id="rId3" w:fontKey="{A4AC4790-F03D-442A-B8BF-D6AFC7AD4BF1}"/>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3483">
    <w:pPr>
      <w:pStyle w:val="24"/>
      <w:jc w:val="center"/>
    </w:pPr>
    <w:r>
      <w:rPr>
        <w:rFonts w:ascii="Prima Serif Std Roman" w:hAnsi="Prima Serif Std Roman" w:eastAsia="Prima Serif Std Roman"/>
        <w:sz w:val="18"/>
      </w:rPr>
      <w:t>Fluent 仿真数据采集与指标计算报告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1660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Prima Serif Std Roman" w:hAnsi="Prima Serif Std Roman" w:eastAsia="Prima Serif Std Roman"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rbel" w:hAnsi="Corbel"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rbel" w:hAnsi="Corbel"/>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uiPriority w:val="0"/>
    <w:pPr>
      <w:spacing w:before="60" w:after="120" w:line="276" w:lineRule="auto"/>
      <w:jc w:val="center"/>
    </w:pPr>
    <w:rPr>
      <w:rFonts w:ascii="Prima Serif Std Roman" w:hAnsi="Prima Serif Std Roman" w:eastAsia="方正VDL哥特明朝 简 M" w:cstheme="minorBidi"/>
      <w:sz w:val="21"/>
      <w:szCs w:val="22"/>
      <w:lang w:val="en-US" w:eastAsia="en-US" w:bidi="ar-SA"/>
    </w:rPr>
  </w:style>
  <w:style w:type="paragraph" w:customStyle="1" w:styleId="165">
    <w:name w:val="Note"/>
    <w:uiPriority w:val="0"/>
    <w:pPr>
      <w:spacing w:before="40" w:after="80" w:line="276" w:lineRule="auto"/>
      <w:ind w:left="283" w:right="170"/>
    </w:pPr>
    <w:rPr>
      <w:rFonts w:ascii="Prima Serif Std Roman" w:hAnsi="Prima Serif Std Roman" w:eastAsia="Prima Serif Std Roman" w:cstheme="minorBidi"/>
      <w: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834</Words>
  <Characters>1018</Characters>
  <Lines>0</Lines>
  <Paragraphs>0</Paragraphs>
  <TotalTime>1</TotalTime>
  <ScaleCrop>false</ScaleCrop>
  <LinksUpToDate>false</LinksUpToDate>
  <CharactersWithSpaces>1093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谢铠舟</cp:lastModifiedBy>
  <dcterms:modified xsi:type="dcterms:W3CDTF">2026-06-05T03:37:02Z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eyJoZGlkIjoiZTA0NjYwMWYxZDM4NjkyNjkzZDE1MTk3ZDNhMjJiYWMiLCJ1c2VySWQiOiIxNTcxOTU5MTE5In0=</vt:lpwstr>
  </property>
  <property fmtid="{D5CDD505-2E9C-101B-9397-08002B2CF9AE}" pid="3" name="KSOProductBuildVer">
    <vt:lpwstr>2052-12.1.0.24034</vt:lpwstr>
  </property>
  <property fmtid="{D5CDD505-2E9C-101B-9397-08002B2CF9AE}" pid="4" name="ICV">
    <vt:lpwstr>91D1B5EBB2784306BAB29716A4A752FB_12</vt:lpwstr>
  </property>
</Properties>
</file>