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34D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4D34" w:rsidRDefault="00834D34">
            <w:pPr>
              <w:jc w:val="right"/>
              <w:rPr>
                <w:rFonts w:eastAsia="Times New Roman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790"/>
        <w:gridCol w:w="300"/>
        <w:gridCol w:w="2160"/>
      </w:tblGrid>
      <w:tr w:rsidR="00834D34">
        <w:trPr>
          <w:divId w:val="1173764615"/>
          <w:tblCellSpacing w:w="0" w:type="dxa"/>
          <w:jc w:val="center"/>
        </w:trPr>
        <w:tc>
          <w:tcPr>
            <w:tcW w:w="8790" w:type="dxa"/>
            <w:vAlign w:val="bottom"/>
            <w:hideMark/>
          </w:tcPr>
          <w:p w:rsidR="00834D34" w:rsidRDefault="000E1245">
            <w:pPr>
              <w:spacing w:line="0" w:lineRule="atLeast"/>
              <w:rPr>
                <w:rFonts w:eastAsia="Times New Roman"/>
                <w:b/>
                <w:bCs/>
              </w:rPr>
            </w:pPr>
            <w:r>
              <w:rPr>
                <w:rStyle w:val="bdjapplicantsname1"/>
                <w:rFonts w:eastAsia="Times New Roman"/>
              </w:rPr>
              <w:t>RASEL AHMED</w:t>
            </w:r>
          </w:p>
        </w:tc>
        <w:tc>
          <w:tcPr>
            <w:tcW w:w="300" w:type="dxa"/>
            <w:vMerge w:val="restart"/>
            <w:vAlign w:val="center"/>
            <w:hideMark/>
          </w:tcPr>
          <w:p w:rsidR="00834D34" w:rsidRDefault="000E1245">
            <w:pPr>
              <w:spacing w:line="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:rsidR="00834D34" w:rsidRDefault="000E1245">
            <w:pPr>
              <w:spacing w:line="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drawing>
                <wp:inline distT="0" distB="0" distL="0" distR="0">
                  <wp:extent cx="1181100" cy="1285875"/>
                  <wp:effectExtent l="19050" t="0" r="0" b="0"/>
                  <wp:docPr id="1" name="Picture 1" descr="jobseek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b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 w:rsidP="00364E16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Address: </w:t>
            </w:r>
            <w:proofErr w:type="spellStart"/>
            <w:r>
              <w:rPr>
                <w:rStyle w:val="bdjnormaltext041"/>
                <w:rFonts w:eastAsia="Times New Roman"/>
              </w:rPr>
              <w:t>Vill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: East </w:t>
            </w:r>
            <w:proofErr w:type="spellStart"/>
            <w:r>
              <w:rPr>
                <w:rStyle w:val="bdjnormaltext041"/>
                <w:rFonts w:eastAsia="Times New Roman"/>
              </w:rPr>
              <w:t>Archipur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Post: </w:t>
            </w:r>
            <w:proofErr w:type="spellStart"/>
            <w:r>
              <w:rPr>
                <w:rStyle w:val="bdjnormaltext041"/>
                <w:rFonts w:eastAsia="Times New Roman"/>
              </w:rPr>
              <w:t>Monnogar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Thana: </w:t>
            </w:r>
            <w:proofErr w:type="spellStart"/>
            <w:r>
              <w:rPr>
                <w:rStyle w:val="bdjnormaltext041"/>
                <w:rFonts w:eastAsia="Times New Roman"/>
              </w:rPr>
              <w:t>Tongi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District: -1710 </w:t>
            </w: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 No 1: 01919218058</w:t>
            </w:r>
            <w:r w:rsidR="00364E16">
              <w:rPr>
                <w:rStyle w:val="bdjnormaltext041"/>
                <w:rFonts w:eastAsia="Times New Roman"/>
              </w:rPr>
              <w:t xml:space="preserve"> (Personal Number)</w:t>
            </w: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 w:rsidP="00364E16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 No 2 : 01728699973</w:t>
            </w:r>
            <w:r w:rsidR="00364E16">
              <w:rPr>
                <w:rStyle w:val="bdjnormaltext041"/>
                <w:rFonts w:eastAsia="Times New Roman"/>
              </w:rPr>
              <w:t xml:space="preserve"> (Official Number)</w:t>
            </w: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364E16" w:rsidP="00364E16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E</w:t>
            </w:r>
            <w:r w:rsidR="000E1245">
              <w:rPr>
                <w:rStyle w:val="bdjnormaltext041"/>
                <w:rFonts w:eastAsia="Times New Roman"/>
              </w:rPr>
              <w:t>-mail : ahmed.rasel1971@gmail.com, rasel.purchase@</w:t>
            </w:r>
            <w:r>
              <w:rPr>
                <w:rStyle w:val="bdjnormaltext041"/>
                <w:rFonts w:eastAsia="Times New Roman"/>
              </w:rPr>
              <w:t>mallick-bd</w:t>
            </w:r>
            <w:r w:rsidR="000E1245">
              <w:rPr>
                <w:rStyle w:val="bdjnormaltext041"/>
                <w:rFonts w:eastAsia="Times New Roman"/>
              </w:rPr>
              <w:t>.com</w:t>
            </w: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34D34" w:rsidRDefault="00834D34">
            <w:pPr>
              <w:rPr>
                <w:rFonts w:eastAsia="Times New Roman"/>
                <w:b/>
                <w:bCs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</w:rPr>
              <w:t>empty cell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</w:rPr>
              <w:t>empty cell2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Objective: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0E124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Looking for challenging and rewarding any position in Financial Institute / Textile / Garments / Buying House / Telecommunication / Marketing / Research and progressive organization where use my potential mettle and knowledge to make contribution.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Summary: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0E1245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serve in an organization where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can show my competencies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an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creativity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have a chance to work higher management authority.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 Qualification: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0E1245" w:rsidP="00364E16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Have an experience to work in a reputed company in purchase department more than </w:t>
            </w:r>
            <w:r w:rsidR="00364E16">
              <w:rPr>
                <w:rFonts w:ascii="Verdana" w:eastAsia="Times New Roman" w:hAnsi="Verdana"/>
                <w:sz w:val="17"/>
                <w:szCs w:val="17"/>
              </w:rPr>
              <w:t>9.8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years.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16"/>
        <w:gridCol w:w="10934"/>
      </w:tblGrid>
      <w:tr w:rsidR="00834D34" w:rsidTr="00AF05DD">
        <w:trPr>
          <w:divId w:val="1173764615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Employment History:</w:t>
            </w:r>
          </w:p>
        </w:tc>
      </w:tr>
      <w:tr w:rsidR="00834D34" w:rsidTr="00AF05DD">
        <w:trPr>
          <w:divId w:val="11737646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0E1245" w:rsidP="00364E16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 w:rsidR="00364E16">
              <w:rPr>
                <w:rFonts w:ascii="Verdana" w:eastAsia="Times New Roman" w:hAnsi="Verdana"/>
                <w:sz w:val="17"/>
                <w:szCs w:val="17"/>
              </w:rPr>
              <w:t xml:space="preserve"> 9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  <w:r w:rsidR="00364E16">
              <w:rPr>
                <w:rFonts w:ascii="Verdana" w:eastAsia="Times New Roman" w:hAnsi="Verdana"/>
                <w:sz w:val="17"/>
                <w:szCs w:val="17"/>
              </w:rPr>
              <w:t>8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Year(s) </w:t>
            </w:r>
          </w:p>
          <w:p w:rsidR="00330B31" w:rsidRDefault="00330B31" w:rsidP="00330B31">
            <w:pP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</w:pPr>
            <w:r w:rsidRPr="00330B31">
              <w:rPr>
                <w:rFonts w:ascii="Verdana" w:eastAsia="Times New Roman" w:hAnsi="Verdana"/>
                <w:sz w:val="17"/>
                <w:szCs w:val="17"/>
              </w:rPr>
              <w:t>1.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250AAB">
              <w:rPr>
                <w:rFonts w:ascii="Verdana" w:eastAsia="Times New Roman" w:hAnsi="Verdana"/>
                <w:b/>
                <w:sz w:val="17"/>
                <w:szCs w:val="17"/>
                <w:u w:val="single"/>
              </w:rPr>
              <w:t xml:space="preserve">Asst. Manager Purchase Department ( </w:t>
            </w:r>
            <w:r w:rsidRPr="00330B31">
              <w:rPr>
                <w:rFonts w:ascii="Verdana" w:eastAsia="Times New Roman" w:hAnsi="Verdana"/>
                <w:b/>
                <w:sz w:val="17"/>
                <w:szCs w:val="17"/>
                <w:u w:val="single"/>
              </w:rPr>
              <w:t xml:space="preserve"> </w:t>
            </w:r>
            <w:r w:rsidR="00250AAB">
              <w:rPr>
                <w:rFonts w:ascii="Verdana" w:eastAsia="Times New Roman" w:hAnsi="Verdana"/>
                <w:b/>
                <w:sz w:val="17"/>
                <w:szCs w:val="17"/>
                <w:u w:val="single"/>
              </w:rPr>
              <w:t xml:space="preserve">November </w:t>
            </w:r>
            <w:r w:rsidRPr="00330B31">
              <w:rPr>
                <w:rFonts w:ascii="Verdana" w:eastAsia="Times New Roman" w:hAnsi="Verdana"/>
                <w:b/>
                <w:sz w:val="17"/>
                <w:szCs w:val="17"/>
                <w:u w:val="single"/>
              </w:rPr>
              <w:t>1,</w:t>
            </w:r>
            <w:r w:rsidRPr="00330B31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201</w:t>
            </w:r>
            <w:r w:rsid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8</w:t>
            </w:r>
            <w:r w:rsidRPr="00330B31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- Continue)</w:t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  <w:p w:rsidR="00250AAB" w:rsidRDefault="00250AAB" w:rsidP="00330B31">
            <w:pP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</w:pPr>
            <w:r w:rsidRP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 </w:t>
            </w:r>
            <w:r w:rsidR="00330B31" w:rsidRP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</w:t>
            </w:r>
            <w:r w:rsidR="00363241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ENCORE GROUP</w:t>
            </w:r>
          </w:p>
          <w:p w:rsidR="00330B31" w:rsidRPr="00250AAB" w:rsidRDefault="00250AAB" w:rsidP="00330B31">
            <w:pP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  </w:t>
            </w:r>
            <w:r w:rsidR="00330B31" w:rsidRP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</w:t>
            </w:r>
            <w:proofErr w:type="spellStart"/>
            <w:r w:rsidR="00330B31" w:rsidRP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>Mallick</w:t>
            </w:r>
            <w:proofErr w:type="spellEnd"/>
            <w:r w:rsidR="00330B31" w:rsidRP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Fabrics Limited</w:t>
            </w:r>
          </w:p>
          <w:p w:rsidR="00330B31" w:rsidRPr="00330B31" w:rsidRDefault="00330B31" w:rsidP="00330B31">
            <w:pPr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</w:pPr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    Factory </w:t>
            </w:r>
            <w:proofErr w:type="gram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Location :</w:t>
            </w:r>
            <w:proofErr w:type="gram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 </w:t>
            </w:r>
            <w:proofErr w:type="spell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Noyapara</w:t>
            </w:r>
            <w:proofErr w:type="spell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, </w:t>
            </w:r>
            <w:proofErr w:type="spell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Kashimpur</w:t>
            </w:r>
            <w:proofErr w:type="spell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, </w:t>
            </w:r>
            <w:proofErr w:type="spell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Konabari</w:t>
            </w:r>
            <w:proofErr w:type="spell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, </w:t>
            </w:r>
            <w:proofErr w:type="spell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Gazipur</w:t>
            </w:r>
            <w:proofErr w:type="spell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.</w:t>
            </w:r>
          </w:p>
          <w:p w:rsidR="00330B31" w:rsidRPr="00330B31" w:rsidRDefault="00330B31" w:rsidP="00330B31">
            <w:pPr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</w:pPr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 xml:space="preserve">    Head Office Location : House #43, Road # 38,Sector # 7, </w:t>
            </w:r>
            <w:proofErr w:type="spellStart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Uttara</w:t>
            </w:r>
            <w:proofErr w:type="spellEnd"/>
            <w:r w:rsidRPr="00330B31">
              <w:rPr>
                <w:rStyle w:val="Emphasis"/>
                <w:rFonts w:ascii="Verdana" w:eastAsia="Times New Roman" w:hAnsi="Verdana"/>
                <w:bCs/>
                <w:sz w:val="17"/>
                <w:szCs w:val="17"/>
                <w:u w:val="none"/>
              </w:rPr>
              <w:t>, Dhaka-1730</w:t>
            </w:r>
          </w:p>
          <w:p w:rsidR="00AF05DD" w:rsidRDefault="00330B31" w:rsidP="00AF05DD">
            <w:pP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</w:t>
            </w:r>
            <w:r w:rsidR="00AF05DD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  Duties / Responsibilities :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  <w:u w:val="none"/>
              </w:rPr>
              <w:t xml:space="preserve">   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Purchase &amp;Procurement of stores through indigenous sources as required in accordance with the rules in force.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Checking of requisitions / purchase indents Manual &amp; EPR.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Selection of suppliers for issue of inquiries.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Issuing Inquiring/tenders and obtaining quotations.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Analyzing quotations and bids etc., and preparation of comparative statement (quotation chart).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Consultation with the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Indentor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for selection and approval of quotations and with Account Officer for pre- Audit.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Issue of Purchase Order by ERP system.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Follow-up of purchase orders for delivery in due time.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Verification and passing of suppliers bills to see that payment are promptly.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 Correspondence &amp; dealing with suppliers, carriers etc, regarding shortages, rejections, etc. reported by the store department,           Maintenance Purchase Records.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Maintenance progressive expenditure statement, sub-head wise. </w:t>
            </w:r>
          </w:p>
          <w:p w:rsidR="00AF05DD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Preparing Monthly, Half Yearly &amp; Yearly Statement, Preparing L/C Approval Sheet &amp; L/C Document, Report of every month cost,    MD &amp; FC Monthly basis. </w:t>
            </w:r>
          </w:p>
          <w:p w:rsidR="00330B31" w:rsidRPr="00330B31" w:rsidRDefault="00AF05DD" w:rsidP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  Maintaining Ledger with supplier,</w:t>
            </w:r>
          </w:p>
        </w:tc>
      </w:tr>
      <w:tr w:rsidR="00834D34" w:rsidTr="00AF05DD">
        <w:trPr>
          <w:divId w:val="117376461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330B3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363241" w:rsidP="00250AA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Sr. Officer then Asst. Manager</w:t>
            </w:r>
            <w:r w:rsidR="000E1245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(Purchase </w:t>
            </w:r>
            <w:r w:rsidR="00364E16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Department</w:t>
            </w:r>
            <w:r w:rsidR="000E1245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) ( June 18, 2016 </w:t>
            </w:r>
            <w:r w:rsidR="00330B31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–</w:t>
            </w:r>
            <w:r w:rsid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October</w:t>
            </w:r>
            <w:r w:rsidR="00330B31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30</w:t>
            </w:r>
            <w:r w:rsidR="000E1245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, 201</w:t>
            </w:r>
            <w:r w:rsidR="00250AAB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8</w:t>
            </w:r>
            <w:r w:rsidR="000E1245"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) </w:t>
            </w:r>
          </w:p>
        </w:tc>
      </w:tr>
      <w:tr w:rsidR="00834D34" w:rsidTr="00AF05DD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Keya Group Of Companies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Journ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,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Konabari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Kasempur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Gazipur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</w:t>
            </w:r>
            <w:r w:rsidR="00364E16">
              <w:rPr>
                <w:rFonts w:ascii="Verdana" w:eastAsia="Times New Roman" w:hAnsi="Verdana"/>
                <w:sz w:val="17"/>
                <w:szCs w:val="17"/>
              </w:rPr>
              <w:t>Purchase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Department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Purchase &amp;Procurement of stores through indigenous sources as required in accordance with the rules in force.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Checking of requisitions / purchase indents Manual &amp; EPR.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Selection of suppliers for issue of inquiries.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Issuing Inquiring/tenders and obtaining quotations.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Analyzing quotations and bids etc., and preparation of comparative statement (quotation chart).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Consultation with the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Indentor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for selection and approval of quotations and with Account Officer for pre- Audit.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Issue of Purchase Order by ERP system.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Follow-up of purchase orders for delivery in due time.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Verification and passing of suppliers bills to see that payment are promptly.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Correspondence &amp; dealing with suppliers, carriers etc, regarding shortages, rejections, etc. reported by the store department, Maintenance Purchase Records.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Maintenance progressive expenditure statement, sub-head wise. </w:t>
            </w:r>
          </w:p>
          <w:p w:rsidR="00364E16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Preparing Monthly, Half Yearly &amp; Yearly Statement, Preparing L/C Approval Sheet &amp; L/C Document, Report of every month cost, MD &amp; FC Monthly basis. </w:t>
            </w:r>
          </w:p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Maintaining Ledger with supplier, </w:t>
            </w:r>
          </w:p>
        </w:tc>
      </w:tr>
      <w:tr w:rsidR="00834D34" w:rsidTr="00AF05DD">
        <w:trPr>
          <w:divId w:val="1173764615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250AA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proofErr w:type="spellStart"/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Sr.Purchase</w:t>
            </w:r>
            <w:proofErr w:type="spellEnd"/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 Officer ( November 25, 2010 - June 1, 2016) </w:t>
            </w:r>
          </w:p>
        </w:tc>
      </w:tr>
      <w:tr w:rsidR="00834D34" w:rsidTr="00AF05DD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SM Group of Company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Location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(SM Tower) House # 14, Road # 02, Sector # 03,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Uttara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Dhaka-1230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Purchase </w:t>
            </w:r>
            <w:r w:rsidR="00364E16">
              <w:rPr>
                <w:rFonts w:ascii="Verdana" w:eastAsia="Times New Roman" w:hAnsi="Verdana"/>
                <w:sz w:val="17"/>
                <w:szCs w:val="17"/>
              </w:rPr>
              <w:t>Department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Purchase &amp;Procurement of stores through indigenous sources as required in accordance with the rules in force.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Checking of requisitions / purchase indents Manual &amp; EPR.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Selection of suppliers for issue of inquiries.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Issuing Inquiring/tenders and obtaining quotations.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Analyzing quotations and bids etc., and preparation of comparative statement (quotation chart).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Consultation with the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Indentor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for selection and approval of quotations and with Account Officer for pre- Audit.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Issue of Purchase Order by ERP system.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Follow-up of purchase orders for delivery in due time.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Verification and passing of suppliers bills to see that payment are promptly.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Correspondence &amp; dealing with suppliers, carriers etc, regarding shortages, rejections, etc. reported by the store department,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Maintenance Purchase Records.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Maintenance progressive expenditure statement, sub-head wise.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Preparing Monthly, Half Yearly &amp; Yearly Statement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,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Preparing L/C Approval Sheet &amp; L/C Document,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Report of every month cost, MD &amp; FC Monthly basis.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Maintaining Ledger with supplier,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/>
      </w:tblPr>
      <w:tblGrid>
        <w:gridCol w:w="2272"/>
        <w:gridCol w:w="2272"/>
        <w:gridCol w:w="2272"/>
        <w:gridCol w:w="1364"/>
        <w:gridCol w:w="1364"/>
        <w:gridCol w:w="1706"/>
      </w:tblGrid>
      <w:tr w:rsidR="00834D34">
        <w:trPr>
          <w:divId w:val="1173764615"/>
          <w:tblCellSpacing w:w="0" w:type="dxa"/>
          <w:jc w:val="center"/>
        </w:trPr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1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7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Master of Social Science (MSS)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Masters of Social Science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National University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Second Class, Marks :50%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2015  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2  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B. S.S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 of Social Science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National University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Second Class, Marks :50%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2012  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3  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Humanities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Tongi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Govt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College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CGPA:2.7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2006  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2  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Humanities   </w:t>
            </w:r>
          </w:p>
        </w:tc>
        <w:tc>
          <w:tcPr>
            <w:tcW w:w="10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 A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Chowdhury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High School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CGPA:2.5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2003  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2  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training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training table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training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Training Summary: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37"/>
        <w:gridCol w:w="2024"/>
        <w:gridCol w:w="1688"/>
        <w:gridCol w:w="1688"/>
        <w:gridCol w:w="1688"/>
        <w:gridCol w:w="1125"/>
        <w:gridCol w:w="900"/>
      </w:tblGrid>
      <w:tr w:rsidR="00834D34">
        <w:trPr>
          <w:divId w:val="1173764615"/>
          <w:tblCellSpacing w:w="0" w:type="dxa"/>
          <w:jc w:val="center"/>
        </w:trPr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9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1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80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Course Completion Certificate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MS Word, Excel, Power Point, Access, Publisher And internet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Agami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Multimedia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Tongi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Pailot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School Super Market, Gaziapur-1710   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2011  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Six Months  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Career and Application Information table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and Application Information: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00"/>
        <w:gridCol w:w="225"/>
        <w:gridCol w:w="7425"/>
      </w:tblGrid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Commercial/Supply Chain, Garments/Textile </w:t>
            </w:r>
          </w:p>
        </w:tc>
      </w:tr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Mid Level Job </w:t>
            </w:r>
          </w:p>
        </w:tc>
      </w:tr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Time </w:t>
            </w:r>
          </w:p>
        </w:tc>
      </w:tr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Present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250AAB" w:rsidP="00250AA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42</w:t>
            </w:r>
            <w:r w:rsidR="00AF05DD">
              <w:rPr>
                <w:rFonts w:ascii="Verdana" w:eastAsia="Times New Roman" w:hAnsi="Verdana"/>
                <w:sz w:val="17"/>
                <w:szCs w:val="17"/>
              </w:rPr>
              <w:t>,000.00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AF05DD" w:rsidP="00250AA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</w:t>
            </w:r>
            <w:r w:rsidR="00250AAB">
              <w:rPr>
                <w:rFonts w:ascii="Verdana" w:eastAsia="Times New Roman" w:hAnsi="Verdana"/>
                <w:sz w:val="17"/>
                <w:szCs w:val="17"/>
              </w:rPr>
              <w:t>4</w:t>
            </w:r>
            <w:r>
              <w:rPr>
                <w:rFonts w:ascii="Verdana" w:eastAsia="Times New Roman" w:hAnsi="Verdana"/>
                <w:sz w:val="17"/>
                <w:szCs w:val="17"/>
              </w:rPr>
              <w:t>5,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>000</w:t>
            </w:r>
            <w:r>
              <w:rPr>
                <w:rFonts w:ascii="Verdana" w:eastAsia="Times New Roman" w:hAnsi="Verdana"/>
                <w:sz w:val="17"/>
                <w:szCs w:val="17"/>
              </w:rPr>
              <w:t>.00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34D34" w:rsidTr="00250AAB">
        <w:trPr>
          <w:divId w:val="1173764615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Dhaka,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Gazipur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Specialization table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Specialization: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 w:rsidTr="009D378D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Have an experience to work in a reputed company in p</w:t>
            </w:r>
            <w:r w:rsidR="00AF05DD">
              <w:rPr>
                <w:rFonts w:ascii="Verdana" w:eastAsia="Times New Roman" w:hAnsi="Verdana"/>
                <w:sz w:val="17"/>
                <w:szCs w:val="17"/>
              </w:rPr>
              <w:t>urchase department more than 9.8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years.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understand the demanded materials &amp; users specific requirement I have to visit factory to order appropriate material.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Monthly or summary budget is to be made for fund approval to purchase materials.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At present my purchase sector included the following items : </w:t>
            </w:r>
          </w:p>
          <w:p w:rsidR="00363241" w:rsidRDefault="00363241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 Electrical</w:t>
            </w:r>
            <w:r w:rsidR="00AF05DD">
              <w:rPr>
                <w:rFonts w:ascii="Verdana" w:eastAsia="Times New Roman" w:hAnsi="Verdana"/>
                <w:sz w:val="17"/>
                <w:szCs w:val="17"/>
              </w:rPr>
              <w:t xml:space="preserve"> (Local Market </w:t>
            </w:r>
            <w:proofErr w:type="spellStart"/>
            <w:r w:rsidR="00AF05DD">
              <w:rPr>
                <w:rFonts w:ascii="Verdana" w:eastAsia="Times New Roman" w:hAnsi="Verdana"/>
                <w:sz w:val="17"/>
                <w:szCs w:val="17"/>
              </w:rPr>
              <w:t>Nawabpur</w:t>
            </w:r>
            <w:proofErr w:type="spellEnd"/>
            <w:r w:rsidR="00AF05DD">
              <w:rPr>
                <w:rFonts w:ascii="Verdana" w:eastAsia="Times New Roman" w:hAnsi="Verdana"/>
                <w:sz w:val="17"/>
                <w:szCs w:val="17"/>
              </w:rPr>
              <w:t>)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 xml:space="preserve"> Nine Years Eight Months Experience.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 Mechanical</w:t>
            </w:r>
            <w:r w:rsidR="00AF05DD">
              <w:rPr>
                <w:rFonts w:ascii="Verdana" w:eastAsia="Times New Roman" w:hAnsi="Verdana"/>
                <w:sz w:val="17"/>
                <w:szCs w:val="17"/>
              </w:rPr>
              <w:t xml:space="preserve"> Local Market </w:t>
            </w:r>
            <w:proofErr w:type="spellStart"/>
            <w:r w:rsidR="00AF05DD">
              <w:rPr>
                <w:rFonts w:ascii="Verdana" w:eastAsia="Times New Roman" w:hAnsi="Verdana"/>
                <w:sz w:val="17"/>
                <w:szCs w:val="17"/>
              </w:rPr>
              <w:t>nawabpur</w:t>
            </w:r>
            <w:proofErr w:type="spellEnd"/>
            <w:r w:rsidR="00AF05DD">
              <w:rPr>
                <w:rFonts w:ascii="Verdana" w:eastAsia="Times New Roman" w:hAnsi="Verdana"/>
                <w:sz w:val="17"/>
                <w:szCs w:val="17"/>
              </w:rPr>
              <w:t>)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 xml:space="preserve"> Nine Years Eight Months Experience.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3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Days Chemical. (Basic &amp; 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Auxiliary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4.Yarn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5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Dyeing &amp; Finishing Machinery : (Bruckner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Stenter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Luffer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Compactor Machine, Ferraro Compactor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Carino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Slitting Machine, Fong’s Dyeing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Thise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Dyeing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Binnco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Slitting Machine, AK Dying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Selavos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Dying Machine, Then Dying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Dilminler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Dying Machine, PMM Dying Machine, Tube Tex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Heng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Cheng Dryer Machine, Raising Machine, Shearing Machine, etc) 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6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Knitting </w:t>
            </w:r>
            <w:proofErr w:type="gramStart"/>
            <w:r w:rsidR="000E1245">
              <w:rPr>
                <w:rFonts w:ascii="Verdana" w:eastAsia="Times New Roman" w:hAnsi="Verdana"/>
                <w:sz w:val="17"/>
                <w:szCs w:val="17"/>
              </w:rPr>
              <w:t>Machine :</w:t>
            </w:r>
            <w:proofErr w:type="gram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(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Lisky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Vangurad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Junglong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Fukuhara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Pailong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Fukuhama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Mitsuha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Shima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sheki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Jy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ley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Falmac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Knitting Machine etc.) 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7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>. Sewing Machine : (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Paggsus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Sewing Machine, Brother Sewing Machine, Juki Sewing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Zoji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Sewing Machine, Kansai Sewing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Yahmoto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Sewing Machine, JMC Sewing Machine etc.)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8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Auto Cutting </w:t>
            </w:r>
            <w:proofErr w:type="gramStart"/>
            <w:r w:rsidR="000E1245">
              <w:rPr>
                <w:rFonts w:ascii="Verdana" w:eastAsia="Times New Roman" w:hAnsi="Verdana"/>
                <w:sz w:val="17"/>
                <w:szCs w:val="17"/>
              </w:rPr>
              <w:t>Machine :</w:t>
            </w:r>
            <w:proofErr w:type="gram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(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Lectra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Auto Cutting Machine, EMA Auto Cutting Machine, Gerber Auto Cu</w:t>
            </w:r>
            <w:r>
              <w:rPr>
                <w:rFonts w:ascii="Verdana" w:eastAsia="Times New Roman" w:hAnsi="Verdana"/>
                <w:sz w:val="17"/>
                <w:szCs w:val="17"/>
              </w:rPr>
              <w:t>tting, KM Cutter machine etc). 9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Plotter Marker Printing </w:t>
            </w:r>
            <w:proofErr w:type="gramStart"/>
            <w:r w:rsidR="000E1245">
              <w:rPr>
                <w:rFonts w:ascii="Verdana" w:eastAsia="Times New Roman" w:hAnsi="Verdana"/>
                <w:sz w:val="17"/>
                <w:szCs w:val="17"/>
              </w:rPr>
              <w:t>Machine :</w:t>
            </w:r>
            <w:proofErr w:type="gram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(TKT Brain power plotter,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Alys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Plotter,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Algotex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Plotter,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Ioline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Plotter etc.) 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10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. Embroidery </w:t>
            </w:r>
            <w:proofErr w:type="gramStart"/>
            <w:r w:rsidR="000E1245">
              <w:rPr>
                <w:rFonts w:ascii="Verdana" w:eastAsia="Times New Roman" w:hAnsi="Verdana"/>
                <w:sz w:val="17"/>
                <w:szCs w:val="17"/>
              </w:rPr>
              <w:t>Machine :</w:t>
            </w:r>
            <w:proofErr w:type="gram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(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Jentel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embroidery machine, MPI embroidery machine, Tajima CN embroidery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Autowin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embroidery machine, </w:t>
            </w:r>
            <w:proofErr w:type="spellStart"/>
            <w:r w:rsidR="000E1245">
              <w:rPr>
                <w:rFonts w:ascii="Verdana" w:eastAsia="Times New Roman" w:hAnsi="Verdana"/>
                <w:sz w:val="17"/>
                <w:szCs w:val="17"/>
              </w:rPr>
              <w:t>Zhany</w:t>
            </w:r>
            <w:proofErr w:type="spellEnd"/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 embroidery machine etc.)</w:t>
            </w:r>
          </w:p>
          <w:p w:rsidR="00AF05DD" w:rsidRDefault="00AF05D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11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>. Construction : (Rod, Cement, Bricks, Ceramics Bricks, Tiles, Bamboo, Angel, Building Chemical, Paint, Tools, electrical goods, fire door, glass, fire pump, elevator, lift etc.)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2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Printing Machinery &amp;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chemical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M &amp; R printing machine, Jupiter Heat press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octopas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printing machine, Heat press printing table etc.)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3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ETP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(Ion water treatment plant,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simon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water treatment plant etc.)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4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Boiler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Section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( Lose Boiler,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Kukrun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Boiler, BSB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Boiler,Boss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Boiler, Lung Chuan Boiler,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Huayuan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Exhust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Gas Boiler,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Thermax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Heat Exhaust Gas Boiler etc.) </w:t>
            </w:r>
          </w:p>
          <w:p w:rsidR="00AF05DD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5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Compressor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Machine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Bogge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Compressor,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Igersoel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Compressor, Atlas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Capco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Bumatec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compressor,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Kaizer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Compressor,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Dalgakiran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compressor etc.) </w:t>
            </w:r>
          </w:p>
          <w:p w:rsidR="00834D34" w:rsidRDefault="000E1245" w:rsidP="009D37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9D378D">
              <w:rPr>
                <w:rFonts w:ascii="Verdana" w:eastAsia="Times New Roman" w:hAnsi="Verdana"/>
                <w:sz w:val="17"/>
                <w:szCs w:val="17"/>
              </w:rPr>
              <w:t>6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Generator </w:t>
            </w:r>
            <w:proofErr w:type="spellStart"/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Machin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Bangla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cat gas generator, Waukesha gas generator,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perkins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gsa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generator, Gems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beakcher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gas generator etc.)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Language Proficiency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Language Proficiency: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812"/>
        <w:gridCol w:w="2812"/>
        <w:gridCol w:w="2813"/>
        <w:gridCol w:w="2813"/>
      </w:tblGrid>
      <w:tr w:rsidR="00834D34">
        <w:trPr>
          <w:divId w:val="1173764615"/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Speaking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Bengali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Medium 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34D34" w:rsidRDefault="000E124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Personal Details table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 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5"/>
        <w:gridCol w:w="8550"/>
      </w:tblGrid>
      <w:tr w:rsidR="00834D34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Hossain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Ali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Molla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Mrs.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Abeka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Begum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January 1, 1989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Male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Married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3323017417924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Islam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 w:rsidP="009D378D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Vill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Bawoisona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Post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Bawoisona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Thana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Naragati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Dist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Gazipur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34D34">
        <w:trPr>
          <w:divId w:val="1173764615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Reference table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Reference (s):</w:t>
            </w:r>
          </w:p>
        </w:tc>
      </w:tr>
      <w:tr w:rsidR="00834D34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34D34" w:rsidRDefault="00834D34">
      <w:pPr>
        <w:divId w:val="1173764615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4"/>
        <w:gridCol w:w="225"/>
        <w:gridCol w:w="3938"/>
        <w:gridCol w:w="4613"/>
      </w:tblGrid>
      <w:tr w:rsidR="00834D34" w:rsidTr="00B019BA">
        <w:trPr>
          <w:divId w:val="1173764615"/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 </w:t>
            </w:r>
            <w:r>
              <w:rPr>
                <w:rStyle w:val="sr-only1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empty 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02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Hasan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Mahmud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Rezaul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Karim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Reza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SM Group of Companies Ltd.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Keya Group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GM (HR &amp; Admin)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B019B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Sr.</w:t>
            </w:r>
            <w:r w:rsidR="000E1245">
              <w:rPr>
                <w:rFonts w:ascii="Verdana" w:eastAsia="Times New Roman" w:hAnsi="Verdana"/>
                <w:sz w:val="17"/>
                <w:szCs w:val="17"/>
              </w:rPr>
              <w:t xml:space="preserve">GM Supply Chain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House #14, Road #2, Sector -3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Corporate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Office 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Navana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Tower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Gulshan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1, 14th floor Keya Group.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Phone (Off.)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02-8931250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B019B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02-98</w:t>
            </w:r>
            <w:r w:rsidR="00C6692A">
              <w:rPr>
                <w:rFonts w:ascii="Verdana" w:eastAsia="Times New Roman" w:hAnsi="Verdana"/>
                <w:sz w:val="17"/>
                <w:szCs w:val="17"/>
              </w:rPr>
              <w:t>96973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01617143630  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01713-333929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Hasan.hr-admin@smknitwear.com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rezaul@keya-bd.com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Professional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Professional </w:t>
            </w:r>
          </w:p>
        </w:tc>
      </w:tr>
      <w:tr w:rsidR="00834D34" w:rsidTr="00B019BA">
        <w:trPr>
          <w:divId w:val="117376461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0E1245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34D34" w:rsidRDefault="00834D34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E1245" w:rsidRDefault="000E1245">
      <w:pPr>
        <w:divId w:val="1173764615"/>
        <w:rPr>
          <w:rFonts w:eastAsia="Times New Roman"/>
        </w:rPr>
      </w:pPr>
    </w:p>
    <w:sectPr w:rsidR="000E1245" w:rsidSect="0083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F79F7"/>
    <w:multiLevelType w:val="hybridMultilevel"/>
    <w:tmpl w:val="E920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913451"/>
    <w:rsid w:val="000E1245"/>
    <w:rsid w:val="00250AAB"/>
    <w:rsid w:val="00330B31"/>
    <w:rsid w:val="00363241"/>
    <w:rsid w:val="00364E16"/>
    <w:rsid w:val="00487987"/>
    <w:rsid w:val="00834D34"/>
    <w:rsid w:val="00913451"/>
    <w:rsid w:val="009D378D"/>
    <w:rsid w:val="00AF05DD"/>
    <w:rsid w:val="00B019BA"/>
    <w:rsid w:val="00C6692A"/>
    <w:rsid w:val="00D3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4D34"/>
    <w:rPr>
      <w:i w:val="0"/>
      <w:iCs w:val="0"/>
      <w:u w:val="single"/>
    </w:rPr>
  </w:style>
  <w:style w:type="paragraph" w:customStyle="1" w:styleId="bdjapplicantsname">
    <w:name w:val="bdjapplicantsname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834D34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834D34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834D34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834D34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834D34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834D34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834D34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rsid w:val="00834D34"/>
    <w:pPr>
      <w:ind w:left="-15" w:right="-15"/>
    </w:pPr>
    <w:rPr>
      <w:vanish/>
    </w:rPr>
  </w:style>
  <w:style w:type="character" w:customStyle="1" w:styleId="style51">
    <w:name w:val="style51"/>
    <w:basedOn w:val="DefaultParagraphFont"/>
    <w:rsid w:val="00834D34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834D34"/>
    <w:rPr>
      <w:color w:val="FF0000"/>
    </w:rPr>
  </w:style>
  <w:style w:type="character" w:customStyle="1" w:styleId="style21">
    <w:name w:val="style21"/>
    <w:basedOn w:val="DefaultParagraphFont"/>
    <w:rsid w:val="00834D34"/>
    <w:rPr>
      <w:color w:val="006600"/>
    </w:rPr>
  </w:style>
  <w:style w:type="character" w:customStyle="1" w:styleId="style31">
    <w:name w:val="style31"/>
    <w:basedOn w:val="DefaultParagraphFont"/>
    <w:rsid w:val="00834D34"/>
    <w:rPr>
      <w:color w:val="330099"/>
    </w:rPr>
  </w:style>
  <w:style w:type="character" w:customStyle="1" w:styleId="style41">
    <w:name w:val="style41"/>
    <w:basedOn w:val="DefaultParagraphFont"/>
    <w:rsid w:val="00834D34"/>
    <w:rPr>
      <w:color w:val="FFCC00"/>
    </w:rPr>
  </w:style>
  <w:style w:type="character" w:customStyle="1" w:styleId="bdjapplicantsname1">
    <w:name w:val="bdjapplicantsname1"/>
    <w:basedOn w:val="DefaultParagraphFont"/>
    <w:rsid w:val="00834D34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sid w:val="00834D34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sid w:val="00834D34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834D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1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6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my.bdjobs.com/photos/2025001-2050000/822033705b1w2b.jpg?var=1710202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2020-10-17T04:00:00Z</dcterms:created>
  <dcterms:modified xsi:type="dcterms:W3CDTF">2020-10-26T17:10:00Z</dcterms:modified>
</cp:coreProperties>
</file>