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 Vision and IoT-Sensor Prototype for Hydroponic Crop Monitoring, and a Case Study in Validity Pitfalls</w:t>
      </w:r>
    </w:p>
    <w:p>
      <w:pPr>
        <w:spacing w:after="100"/>
      </w:pPr>
      <w:r>
        <w:rPr>
          <w:i/>
          <w:iCs/>
          <w:color w:val="555555"/>
          <w:sz w:val="22"/>
          <w:szCs w:val="22"/>
        </w:rPr>
        <w:t xml:space="preserve">Motivated by Gulf-region food security and controlled-environment agriculture</w:t>
      </w:r>
    </w:p>
    <w:p>
      <w:pPr>
        <w:spacing w:after="300"/>
      </w:pPr>
      <w:r>
        <w:rPr>
          <w:color w:val="777777"/>
          <w:sz w:val="20"/>
          <w:szCs w:val="20"/>
        </w:rPr>
        <w:t xml:space="preserve">Habib Adnan Abdulla  |  Independent research prototype, prepared for PhD application</w:t>
      </w:r>
    </w:p>
    <w:p>
      <w:pPr>
        <w:pStyle w:val="Heading1"/>
        <w:spacing w:after="150" w:before="300"/>
      </w:pPr>
      <w:r>
        <w:t xml:space="preserve">1. Motivation</w:t>
      </w:r>
    </w:p>
    <w:p>
      <w:pPr>
        <w:spacing w:after="150"/>
      </w:pPr>
      <w:r>
        <w:t xml:space="preserve">Gulf Cooperation Council countries import most of their food because of arid climate, water scarcity and limited arable land. Indoor hydroponic farming is one path toward food security, but scaling it depends on reducing manual monitoring of plant health and nutrient conditions. This project prototypes machine-learning components for such monitoring: computer vision for leaf-level stress and disease, and sensor-based modelling of growth. Its second purpose is methodological: to test, with proper validation, how far public datasets can support claims about these systems.</w:t>
      </w:r>
    </w:p>
    <w:p>
      <w:pPr>
        <w:spacing w:after="150"/>
      </w:pPr>
      <w:r>
        <w:t xml:space="preserve">The work was done independently as preparation for doctoral research, to demonstrate applied machine-learning ability and honest evaluation practice in the intersection of AI and IoT.</w:t>
      </w:r>
    </w:p>
    <w:p>
      <w:pPr>
        <w:pStyle w:val="Heading1"/>
        <w:spacing w:after="150" w:before="300"/>
      </w:pPr>
      <w:r>
        <w:t xml:space="preserve">2. Overview</w:t>
      </w:r>
    </w:p>
    <w:p>
      <w:pPr>
        <w:pStyle w:val="ListParagraph"/>
        <w:numPr>
          <w:ilvl w:val="0"/>
          <w:numId w:val="1"/>
        </w:numPr>
        <w:spacing w:after="80"/>
      </w:pPr>
      <w:r>
        <w:t xml:space="preserve">A vision classifier that identifies nitrogen deficiency, potassium deficiency and fungal wilt from photographs of lettuce leaves.</w:t>
      </w:r>
    </w:p>
    <w:p>
      <w:pPr>
        <w:pStyle w:val="ListParagraph"/>
        <w:numPr>
          <w:ilvl w:val="0"/>
          <w:numId w:val="1"/>
        </w:numPr>
        <w:spacing w:after="80"/>
      </w:pPr>
      <w:r>
        <w:t xml:space="preserve">A sensor-based regressor that predicts growth day from temperature, humidity, total dissolved solids (TDS) and pH, together with a validity analysis of what that model can and cannot be said to have learned.</w:t>
      </w:r>
    </w:p>
    <w:p>
      <w:pPr>
        <w:spacing w:after="150"/>
      </w:pPr>
      <w:r>
        <w:t xml:space="preserve">Both are exposed in an interactive Streamlit demonstration. The two models are trained independently; combining them (multi-modal fusion) is proposed future work and has not been built or evaluated.</w:t>
      </w:r>
    </w:p>
    <w:p>
      <w:pPr>
        <w:pStyle w:val="Heading1"/>
        <w:spacing w:after="150" w:before="300"/>
      </w:pPr>
      <w:r>
        <w:t xml:space="preserve">3. Component 1: Vision-Based Leaf Health Classifier</w:t>
      </w:r>
    </w:p>
    <w:p>
      <w:pPr>
        <w:pStyle w:val="Heading2"/>
        <w:spacing w:after="100" w:before="200"/>
      </w:pPr>
      <w:r>
        <w:t xml:space="preserve">3.1 Dataset</w:t>
      </w:r>
    </w:p>
    <w:p>
      <w:pPr>
        <w:spacing w:after="150"/>
      </w:pPr>
      <w:r>
        <w:t xml:space="preserve">The Lettuce Plant Leaf Disease Dataset (Rathor, Kaggle; CC0) was collected from a Raspberry Pi-monitored Nutrient Film Technique system at the University of Petroleum and Energy Studies, India. It contains 209 images in four classes: Healthy (62), Potassium deficient (66), Nitrogen deficient (36) and Wilt (45).</w:t>
      </w:r>
    </w:p>
    <w:p>
      <w:pPr>
        <w:pStyle w:val="Heading2"/>
        <w:spacing w:after="100" w:before="200"/>
      </w:pPr>
      <w:r>
        <w:t xml:space="preserve">3.2 Method</w:t>
      </w:r>
    </w:p>
    <w:p>
      <w:pPr>
        <w:spacing w:after="150"/>
      </w:pPr>
      <w:r>
        <w:t xml:space="preserve">Evaluation used 5-fold cross-validation, stratified by class, with near-duplicate images (see 3.4) kept in the same fold. A MobileNetV2 backbone pretrained on ImageNet was used with a frozen feature extractor and a trained classification head, with rotation, colour-jitter and random-crop augmentation on the training set. A second run applied inverse-frequency class weighting to the loss.</w:t>
      </w:r>
    </w:p>
    <w:p>
      <w:pPr>
        <w:pStyle w:val="Heading2"/>
        <w:spacing w:after="100" w:before="200"/>
      </w:pPr>
      <w:r>
        <w:t xml:space="preserve">3.3 Results (5-fold group-aware cross-validation)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700"/>
      </w:tblGrid>
      <w:tr>
        <w:tc>
          <w:tcPr>
            <w:tcW w:type="dxa" w:w="3900"/>
            <w:shd w:fill="2E5339" w:val="clear"/>
          </w:tcPr>
          <w:p>
            <w:r>
              <w:rPr>
                <w:b/>
                <w:bCs/>
                <w:color w:val="FFFFFF"/>
                <w:sz w:val="19"/>
                <w:szCs w:val="19"/>
              </w:rPr>
              <w:t xml:space="preserve">Metric</w:t>
            </w:r>
          </w:p>
        </w:tc>
        <w:tc>
          <w:tcPr>
            <w:tcW w:type="dxa" w:w="2400"/>
            <w:shd w:fill="2E5339" w:val="clear"/>
          </w:tcPr>
          <w:p>
            <w:r>
              <w:rPr>
                <w:b/>
                <w:bCs/>
                <w:color w:val="FFFFFF"/>
                <w:sz w:val="19"/>
                <w:szCs w:val="19"/>
              </w:rPr>
              <w:t xml:space="preserve">Standard loss</w:t>
            </w:r>
          </w:p>
        </w:tc>
        <w:tc>
          <w:tcPr>
            <w:tcW w:type="dxa" w:w="2700"/>
            <w:shd w:fill="2E5339" w:val="clear"/>
          </w:tcPr>
          <w:p>
            <w:r>
              <w:rPr>
                <w:b/>
                <w:bCs/>
                <w:color w:val="FFFFFF"/>
                <w:sz w:val="19"/>
                <w:szCs w:val="19"/>
              </w:rPr>
              <w:t xml:space="preserve">Class-weighted loss</w:t>
            </w:r>
          </w:p>
        </w:tc>
      </w:tr>
      <w:tr>
        <w:tc>
          <w:tcPr>
            <w:tcW w:type="dxa" w:w="3900"/>
          </w:tcPr>
          <w:p>
            <w:r>
              <w:rPr>
                <w:b w:val="false"/>
                <w:bCs w:val="false"/>
                <w:sz w:val="19"/>
                <w:szCs w:val="19"/>
              </w:rPr>
              <w:t xml:space="preserve">Overall accuracy (mean ± SD over folds)</w:t>
            </w:r>
          </w:p>
        </w:tc>
        <w:tc>
          <w:tcPr>
            <w:tcW w:type="dxa" w:w="2400"/>
          </w:tcPr>
          <w:p>
            <w:r>
              <w:rPr>
                <w:b w:val="false"/>
                <w:bCs w:val="false"/>
                <w:sz w:val="19"/>
                <w:szCs w:val="19"/>
              </w:rPr>
              <w:t xml:space="preserve">0.842 ± 0.090</w:t>
            </w:r>
          </w:p>
        </w:tc>
        <w:tc>
          <w:tcPr>
            <w:tcW w:type="dxa" w:w="2700"/>
          </w:tcPr>
          <w:p>
            <w:r>
              <w:rPr>
                <w:b w:val="false"/>
                <w:bCs w:val="false"/>
                <w:sz w:val="19"/>
                <w:szCs w:val="19"/>
              </w:rPr>
              <w:t xml:space="preserve">0.833 ± 0.097</w:t>
            </w:r>
          </w:p>
        </w:tc>
      </w:tr>
      <w:tr>
        <w:tc>
          <w:tcPr>
            <w:tcW w:type="dxa" w:w="3900"/>
          </w:tcPr>
          <w:p>
            <w:r>
              <w:rPr>
                <w:b w:val="false"/>
                <w:bCs w:val="false"/>
                <w:sz w:val="19"/>
                <w:szCs w:val="19"/>
              </w:rPr>
              <w:t xml:space="preserve">Accuracy, pooled 95% bootstrap CI</w:t>
            </w:r>
          </w:p>
        </w:tc>
        <w:tc>
          <w:tcPr>
            <w:tcW w:type="dxa" w:w="2400"/>
          </w:tcPr>
          <w:p>
            <w:r>
              <w:rPr>
                <w:b w:val="false"/>
                <w:bCs w:val="false"/>
                <w:sz w:val="19"/>
                <w:szCs w:val="19"/>
              </w:rPr>
              <w:t xml:space="preserve">[0.789, 0.890]</w:t>
            </w:r>
          </w:p>
        </w:tc>
        <w:tc>
          <w:tcPr>
            <w:tcW w:type="dxa" w:w="2700"/>
          </w:tcPr>
          <w:p>
            <w:r>
              <w:rPr>
                <w:b w:val="false"/>
                <w:bCs w:val="false"/>
                <w:sz w:val="19"/>
                <w:szCs w:val="19"/>
              </w:rPr>
              <w:t xml:space="preserve">[0.780, 0.880]</w:t>
            </w:r>
          </w:p>
        </w:tc>
      </w:tr>
      <w:tr>
        <w:tc>
          <w:tcPr>
            <w:tcW w:type="dxa" w:w="3900"/>
          </w:tcPr>
          <w:p>
            <w:r>
              <w:rPr>
                <w:b w:val="false"/>
                <w:bCs w:val="false"/>
                <w:sz w:val="19"/>
                <w:szCs w:val="19"/>
              </w:rPr>
              <w:t xml:space="preserve">Macro-F1</w:t>
            </w:r>
          </w:p>
        </w:tc>
        <w:tc>
          <w:tcPr>
            <w:tcW w:type="dxa" w:w="2400"/>
          </w:tcPr>
          <w:p>
            <w:r>
              <w:rPr>
                <w:b w:val="false"/>
                <w:bCs w:val="false"/>
                <w:sz w:val="19"/>
                <w:szCs w:val="19"/>
              </w:rPr>
              <w:t xml:space="preserve">0.837 ± 0.084</w:t>
            </w:r>
          </w:p>
        </w:tc>
        <w:tc>
          <w:tcPr>
            <w:tcW w:type="dxa" w:w="2700"/>
          </w:tcPr>
          <w:p>
            <w:r>
              <w:rPr>
                <w:b w:val="false"/>
                <w:bCs w:val="false"/>
                <w:sz w:val="19"/>
                <w:szCs w:val="19"/>
              </w:rPr>
              <w:t xml:space="preserve">0.829 ± 0.088</w:t>
            </w:r>
          </w:p>
        </w:tc>
      </w:tr>
      <w:tr>
        <w:tc>
          <w:tcPr>
            <w:tcW w:type="dxa" w:w="3900"/>
          </w:tcPr>
          <w:p>
            <w:r>
              <w:rPr>
                <w:b w:val="false"/>
                <w:bCs w:val="false"/>
                <w:sz w:val="19"/>
                <w:szCs w:val="19"/>
              </w:rPr>
              <w:t xml:space="preserve">Recall: Healthy</w:t>
            </w:r>
          </w:p>
        </w:tc>
        <w:tc>
          <w:tcPr>
            <w:tcW w:type="dxa" w:w="2400"/>
          </w:tcPr>
          <w:p>
            <w:r>
              <w:rPr>
                <w:b w:val="false"/>
                <w:bCs w:val="false"/>
                <w:sz w:val="19"/>
                <w:szCs w:val="19"/>
              </w:rPr>
              <w:t xml:space="preserve">0.95 ± 0.07</w:t>
            </w:r>
          </w:p>
        </w:tc>
        <w:tc>
          <w:tcPr>
            <w:tcW w:type="dxa" w:w="2700"/>
          </w:tcPr>
          <w:p>
            <w:r>
              <w:rPr>
                <w:b w:val="false"/>
                <w:bCs w:val="false"/>
                <w:sz w:val="19"/>
                <w:szCs w:val="19"/>
              </w:rPr>
              <w:t xml:space="preserve">0.94 ± 0.10</w:t>
            </w:r>
          </w:p>
        </w:tc>
      </w:tr>
      <w:tr>
        <w:tc>
          <w:tcPr>
            <w:tcW w:type="dxa" w:w="3900"/>
          </w:tcPr>
          <w:p>
            <w:r>
              <w:rPr>
                <w:b w:val="false"/>
                <w:bCs w:val="false"/>
                <w:sz w:val="19"/>
                <w:szCs w:val="19"/>
              </w:rPr>
              <w:t xml:space="preserve">Recall: K deficient</w:t>
            </w:r>
          </w:p>
        </w:tc>
        <w:tc>
          <w:tcPr>
            <w:tcW w:type="dxa" w:w="2400"/>
          </w:tcPr>
          <w:p>
            <w:r>
              <w:rPr>
                <w:b w:val="false"/>
                <w:bCs w:val="false"/>
                <w:sz w:val="19"/>
                <w:szCs w:val="19"/>
              </w:rPr>
              <w:t xml:space="preserve">0.72 ± 0.27</w:t>
            </w:r>
          </w:p>
        </w:tc>
        <w:tc>
          <w:tcPr>
            <w:tcW w:type="dxa" w:w="2700"/>
          </w:tcPr>
          <w:p>
            <w:r>
              <w:rPr>
                <w:b w:val="false"/>
                <w:bCs w:val="false"/>
                <w:sz w:val="19"/>
                <w:szCs w:val="19"/>
              </w:rPr>
              <w:t xml:space="preserve">0.71 ± 0.28</w:t>
            </w:r>
          </w:p>
        </w:tc>
      </w:tr>
      <w:tr>
        <w:tc>
          <w:tcPr>
            <w:tcW w:type="dxa" w:w="3900"/>
          </w:tcPr>
          <w:p>
            <w:r>
              <w:rPr>
                <w:b w:val="false"/>
                <w:bCs w:val="false"/>
                <w:sz w:val="19"/>
                <w:szCs w:val="19"/>
              </w:rPr>
              <w:t xml:space="preserve">Recall: N deficient</w:t>
            </w:r>
          </w:p>
        </w:tc>
        <w:tc>
          <w:tcPr>
            <w:tcW w:type="dxa" w:w="2400"/>
          </w:tcPr>
          <w:p>
            <w:r>
              <w:rPr>
                <w:b w:val="false"/>
                <w:bCs w:val="false"/>
                <w:sz w:val="19"/>
                <w:szCs w:val="19"/>
              </w:rPr>
              <w:t xml:space="preserve">0.86 ± 0.14</w:t>
            </w:r>
          </w:p>
        </w:tc>
        <w:tc>
          <w:tcPr>
            <w:tcW w:type="dxa" w:w="2700"/>
          </w:tcPr>
          <w:p>
            <w:r>
              <w:rPr>
                <w:b w:val="false"/>
                <w:bCs w:val="false"/>
                <w:sz w:val="19"/>
                <w:szCs w:val="19"/>
              </w:rPr>
              <w:t xml:space="preserve">0.89 ± 0.12</w:t>
            </w:r>
          </w:p>
        </w:tc>
      </w:tr>
      <w:tr>
        <w:tc>
          <w:tcPr>
            <w:tcW w:type="dxa" w:w="3900"/>
          </w:tcPr>
          <w:p>
            <w:r>
              <w:rPr>
                <w:b w:val="false"/>
                <w:bCs w:val="false"/>
                <w:sz w:val="19"/>
                <w:szCs w:val="19"/>
              </w:rPr>
              <w:t xml:space="preserve">Recall: Wilt (fungal)</w:t>
            </w:r>
          </w:p>
        </w:tc>
        <w:tc>
          <w:tcPr>
            <w:tcW w:type="dxa" w:w="2400"/>
          </w:tcPr>
          <w:p>
            <w:r>
              <w:rPr>
                <w:b w:val="false"/>
                <w:bCs w:val="false"/>
                <w:sz w:val="19"/>
                <w:szCs w:val="19"/>
              </w:rPr>
              <w:t xml:space="preserve">0.84 ± 0.17</w:t>
            </w:r>
          </w:p>
        </w:tc>
        <w:tc>
          <w:tcPr>
            <w:tcW w:type="dxa" w:w="2700"/>
          </w:tcPr>
          <w:p>
            <w:r>
              <w:rPr>
                <w:b w:val="false"/>
                <w:bCs w:val="false"/>
                <w:sz w:val="19"/>
                <w:szCs w:val="19"/>
              </w:rPr>
              <w:t xml:space="preserve">0.82 ± 0.15</w:t>
            </w:r>
          </w:p>
        </w:tc>
      </w:tr>
    </w:tbl>
    <w:p>
      <w:pPr>
        <w:spacing w:after="120"/>
      </w:pPr>
    </w:p>
    <w:p>
      <w:pPr>
        <w:spacing w:after="150"/>
      </w:pPr>
      <w:r>
        <w:t xml:space="preserve">All 209 images were tested once, in five folds that keep near-duplicate images together (one repeat). Accuracy is about 84%, with a confidence interval of roughly 79–89%; fold accuracies ranged from 0.67 to 0.91, so small splits are noisy. Potassium deficiency was the hardest class (recall about 0.72). Class weighting gave no significant change (exact McNemar test on pooled predictions: p = 0.625; 3 images correct only without weighting, 1 only with it).</w:t>
      </w:r>
    </w:p>
    <w:p>
      <w:pPr>
        <w:spacing w:after="150"/>
      </w:pPr>
      <w:r>
        <w:t xml:space="preserve">An earlier single 35-image split gave 91% (94% unweighted) and suggested a nitrogen-deficiency recall gap (67%) that class weighting appeared to fix. That result did not replicate: under cross-validation, nitrogen-deficient recall is 0.86 without weighting. The single-split figures are therefore not reported as results. They rested on six test images in the minority class.</w:t>
      </w:r>
    </w:p>
    <w:p>
      <w:pPr>
        <w:pStyle w:val="Heading2"/>
        <w:spacing w:after="100" w:before="200"/>
      </w:pPr>
      <w:r>
        <w:t xml:space="preserve">3.4 Leakage analysis</w:t>
      </w:r>
    </w:p>
    <w:p>
      <w:pPr>
        <w:spacing w:after="150"/>
      </w:pPr>
      <w:r>
        <w:t xml:space="preserve">The dataset has no plant identifiers. A 64-bit perceptual-hash analysis found 25 groups of near-duplicate images (52 of 209 images) and showed that 3 of the 35 test images (8.6%) have a near-identical image in the training set. The single-split accuracy is therefore probably optimistic. Group-aware cross-validation, with near-duplicates kept in the same fold, produces the estimates in Section 3.3. The hash check cannot detect different views of the same plant, so some leakage may remain undetected.</w:t>
      </w:r>
    </w:p>
    <w:p>
      <w:pPr>
        <w:pStyle w:val="Heading1"/>
        <w:spacing w:after="150" w:before="300"/>
      </w:pPr>
      <w:r>
        <w:t xml:space="preserve">4. Component 2: Sensor-Based Growth-Day Model and a Validity Finding</w:t>
      </w:r>
    </w:p>
    <w:p>
      <w:pPr>
        <w:pStyle w:val="Heading2"/>
        <w:spacing w:after="100" w:before="200"/>
      </w:pPr>
      <w:r>
        <w:t xml:space="preserve">4.1 Dataset</w:t>
      </w:r>
    </w:p>
    <w:p>
      <w:pPr>
        <w:spacing w:after="150"/>
      </w:pPr>
      <w:r>
        <w:t xml:space="preserve">The Lettuce Growth Days dataset (jurijsruko, Kaggle; Apache-2.0) contains 3,169 daily readings of temperature, humidity, TDS and pH for 70 plants over a 48-day window. The target is Growth Day, a counter of days since a plant started being monitored.</w:t>
      </w:r>
    </w:p>
    <w:p>
      <w:pPr>
        <w:pStyle w:val="Heading2"/>
        <w:spacing w:after="100" w:before="200"/>
      </w:pPr>
      <w:r>
        <w:t xml:space="preserve">4.2 Method</w:t>
      </w:r>
    </w:p>
    <w:p>
      <w:pPr>
        <w:spacing w:after="150"/>
      </w:pPr>
      <w:r>
        <w:t xml:space="preserve">Models were evaluated with plant-grouped cross-validation (5 folds, 5 repeats) so that no plant appears in both training and test folds. To test what the model was actually using, we compared feature sets, including a model given only the calendar date.</w:t>
      </w:r>
    </w:p>
    <w:p>
      <w:pPr>
        <w:pStyle w:val="Heading2"/>
        <w:spacing w:after="100" w:before="200"/>
      </w:pPr>
      <w:r>
        <w:t xml:space="preserve">4.3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000"/>
        <w:gridCol w:w="1600"/>
      </w:tblGrid>
      <w:tr>
        <w:tc>
          <w:tcPr>
            <w:tcW w:type="dxa" w:w="3300"/>
            <w:shd w:fill="2E5339" w:val="clear"/>
          </w:tcPr>
          <w:p>
            <w:r>
              <w:rPr>
                <w:b/>
                <w:bCs/>
                <w:color w:val="FFFFFF"/>
                <w:sz w:val="19"/>
                <w:szCs w:val="19"/>
              </w:rPr>
              <w:t xml:space="preserve">Features</w:t>
            </w:r>
          </w:p>
        </w:tc>
        <w:tc>
          <w:tcPr>
            <w:tcW w:type="dxa" w:w="2100"/>
            <w:shd w:fill="2E5339" w:val="clear"/>
          </w:tcPr>
          <w:p>
            <w:r>
              <w:rPr>
                <w:b/>
                <w:bCs/>
                <w:color w:val="FFFFFF"/>
                <w:sz w:val="19"/>
                <w:szCs w:val="19"/>
              </w:rPr>
              <w:t xml:space="preserve">Model</w:t>
            </w:r>
          </w:p>
        </w:tc>
        <w:tc>
          <w:tcPr>
            <w:tcW w:type="dxa" w:w="2000"/>
            <w:shd w:fill="2E5339" w:val="clear"/>
          </w:tcPr>
          <w:p>
            <w:r>
              <w:rPr>
                <w:b/>
                <w:bCs/>
                <w:color w:val="FFFFFF"/>
                <w:sz w:val="19"/>
                <w:szCs w:val="19"/>
              </w:rPr>
              <w:t xml:space="preserve">R² (mean ± SD)</w:t>
            </w:r>
          </w:p>
        </w:tc>
        <w:tc>
          <w:tcPr>
            <w:tcW w:type="dxa" w:w="1600"/>
            <w:shd w:fill="2E5339" w:val="clear"/>
          </w:tcPr>
          <w:p>
            <w:r>
              <w:rPr>
                <w:b/>
                <w:bCs/>
                <w:color w:val="FFFFFF"/>
                <w:sz w:val="19"/>
                <w:szCs w:val="19"/>
              </w:rPr>
              <w:t xml:space="preserve">MAE, days</w:t>
            </w:r>
          </w:p>
        </w:tc>
      </w:tr>
      <w:tr>
        <w:tc>
          <w:tcPr>
            <w:tcW w:type="dxa" w:w="3300"/>
          </w:tcPr>
          <w:p>
            <w:r>
              <w:rPr>
                <w:b w:val="false"/>
                <w:bCs w:val="false"/>
                <w:sz w:val="19"/>
                <w:szCs w:val="19"/>
              </w:rPr>
              <w:t xml:space="preserve">Calendar date only</w:t>
            </w:r>
          </w:p>
        </w:tc>
        <w:tc>
          <w:tcPr>
            <w:tcW w:type="dxa" w:w="2100"/>
          </w:tcPr>
          <w:p>
            <w:r>
              <w:rPr>
                <w:b w:val="false"/>
                <w:bCs w:val="false"/>
                <w:sz w:val="19"/>
                <w:szCs w:val="19"/>
              </w:rPr>
              <w:t xml:space="preserve">Random Forest</w:t>
            </w:r>
          </w:p>
        </w:tc>
        <w:tc>
          <w:tcPr>
            <w:tcW w:type="dxa" w:w="2000"/>
          </w:tcPr>
          <w:p>
            <w:r>
              <w:rPr>
                <w:b w:val="false"/>
                <w:bCs w:val="false"/>
                <w:sz w:val="19"/>
                <w:szCs w:val="19"/>
              </w:rPr>
              <w:t xml:space="preserve">1.000 ± 0.000</w:t>
            </w:r>
          </w:p>
        </w:tc>
        <w:tc>
          <w:tcPr>
            <w:tcW w:type="dxa" w:w="1600"/>
          </w:tcPr>
          <w:p>
            <w:r>
              <w:rPr>
                <w:b w:val="false"/>
                <w:bCs w:val="false"/>
                <w:sz w:val="19"/>
                <w:szCs w:val="19"/>
              </w:rPr>
              <w:t xml:space="preserve">0.00</w:t>
            </w:r>
          </w:p>
        </w:tc>
      </w:tr>
      <w:tr>
        <w:tc>
          <w:tcPr>
            <w:tcW w:type="dxa" w:w="3300"/>
          </w:tcPr>
          <w:p>
            <w:r>
              <w:rPr>
                <w:b w:val="false"/>
                <w:bCs w:val="false"/>
                <w:sz w:val="19"/>
                <w:szCs w:val="19"/>
              </w:rPr>
              <w:t xml:space="preserve">Temperature only</w:t>
            </w:r>
          </w:p>
        </w:tc>
        <w:tc>
          <w:tcPr>
            <w:tcW w:type="dxa" w:w="2100"/>
          </w:tcPr>
          <w:p>
            <w:r>
              <w:rPr>
                <w:b w:val="false"/>
                <w:bCs w:val="false"/>
                <w:sz w:val="19"/>
                <w:szCs w:val="19"/>
              </w:rPr>
              <w:t xml:space="preserve">Random Forest</w:t>
            </w:r>
          </w:p>
        </w:tc>
        <w:tc>
          <w:tcPr>
            <w:tcW w:type="dxa" w:w="2000"/>
          </w:tcPr>
          <w:p>
            <w:r>
              <w:rPr>
                <w:b w:val="false"/>
                <w:bCs w:val="false"/>
                <w:sz w:val="19"/>
                <w:szCs w:val="19"/>
              </w:rPr>
              <w:t xml:space="preserve">0.633 ± 0.124</w:t>
            </w:r>
          </w:p>
        </w:tc>
        <w:tc>
          <w:tcPr>
            <w:tcW w:type="dxa" w:w="1600"/>
          </w:tcPr>
          <w:p>
            <w:r>
              <w:rPr>
                <w:b w:val="false"/>
                <w:bCs w:val="false"/>
                <w:sz w:val="19"/>
                <w:szCs w:val="19"/>
              </w:rPr>
              <w:t xml:space="preserve">4.88</w:t>
            </w:r>
          </w:p>
        </w:tc>
      </w:tr>
      <w:tr>
        <w:tc>
          <w:tcPr>
            <w:tcW w:type="dxa" w:w="3300"/>
          </w:tcPr>
          <w:p>
            <w:r>
              <w:rPr>
                <w:b w:val="false"/>
                <w:bCs w:val="false"/>
                <w:sz w:val="19"/>
                <w:szCs w:val="19"/>
              </w:rPr>
              <w:t xml:space="preserve">All four sensors</w:t>
            </w:r>
          </w:p>
        </w:tc>
        <w:tc>
          <w:tcPr>
            <w:tcW w:type="dxa" w:w="2100"/>
          </w:tcPr>
          <w:p>
            <w:r>
              <w:rPr>
                <w:b w:val="false"/>
                <w:bCs w:val="false"/>
                <w:sz w:val="19"/>
                <w:szCs w:val="19"/>
              </w:rPr>
              <w:t xml:space="preserve">Random Forest</w:t>
            </w:r>
          </w:p>
        </w:tc>
        <w:tc>
          <w:tcPr>
            <w:tcW w:type="dxa" w:w="2000"/>
          </w:tcPr>
          <w:p>
            <w:r>
              <w:rPr>
                <w:b w:val="false"/>
                <w:bCs w:val="false"/>
                <w:sz w:val="19"/>
                <w:szCs w:val="19"/>
              </w:rPr>
              <w:t xml:space="preserve">0.624 ± 0.118</w:t>
            </w:r>
          </w:p>
        </w:tc>
        <w:tc>
          <w:tcPr>
            <w:tcW w:type="dxa" w:w="1600"/>
          </w:tcPr>
          <w:p>
            <w:r>
              <w:rPr>
                <w:b w:val="false"/>
                <w:bCs w:val="false"/>
                <w:sz w:val="19"/>
                <w:szCs w:val="19"/>
              </w:rPr>
              <w:t xml:space="preserve">5.00</w:t>
            </w:r>
          </w:p>
        </w:tc>
      </w:tr>
      <w:tr>
        <w:tc>
          <w:tcPr>
            <w:tcW w:type="dxa" w:w="3300"/>
          </w:tcPr>
          <w:p>
            <w:r>
              <w:rPr>
                <w:b w:val="false"/>
                <w:bCs w:val="false"/>
                <w:sz w:val="19"/>
                <w:szCs w:val="19"/>
              </w:rPr>
              <w:t xml:space="preserve">All four sensors</w:t>
            </w:r>
          </w:p>
        </w:tc>
        <w:tc>
          <w:tcPr>
            <w:tcW w:type="dxa" w:w="2100"/>
          </w:tcPr>
          <w:p>
            <w:r>
              <w:rPr>
                <w:b w:val="false"/>
                <w:bCs w:val="false"/>
                <w:sz w:val="19"/>
                <w:szCs w:val="19"/>
              </w:rPr>
              <w:t xml:space="preserve">Gradient boosting</w:t>
            </w:r>
          </w:p>
        </w:tc>
        <w:tc>
          <w:tcPr>
            <w:tcW w:type="dxa" w:w="2000"/>
          </w:tcPr>
          <w:p>
            <w:r>
              <w:rPr>
                <w:b w:val="false"/>
                <w:bCs w:val="false"/>
                <w:sz w:val="19"/>
                <w:szCs w:val="19"/>
              </w:rPr>
              <w:t xml:space="preserve">0.614 ± 0.121</w:t>
            </w:r>
          </w:p>
        </w:tc>
        <w:tc>
          <w:tcPr>
            <w:tcW w:type="dxa" w:w="1600"/>
          </w:tcPr>
          <w:p>
            <w:r>
              <w:rPr>
                <w:b w:val="false"/>
                <w:bCs w:val="false"/>
                <w:sz w:val="19"/>
                <w:szCs w:val="19"/>
              </w:rPr>
              <w:t xml:space="preserve">5.35</w:t>
            </w:r>
          </w:p>
        </w:tc>
      </w:tr>
      <w:tr>
        <w:tc>
          <w:tcPr>
            <w:tcW w:type="dxa" w:w="3300"/>
          </w:tcPr>
          <w:p>
            <w:r>
              <w:rPr>
                <w:b w:val="false"/>
                <w:bCs w:val="false"/>
                <w:sz w:val="19"/>
                <w:szCs w:val="19"/>
              </w:rPr>
              <w:t xml:space="preserve">All four sensors</w:t>
            </w:r>
          </w:p>
        </w:tc>
        <w:tc>
          <w:tcPr>
            <w:tcW w:type="dxa" w:w="2100"/>
          </w:tcPr>
          <w:p>
            <w:r>
              <w:rPr>
                <w:b w:val="false"/>
                <w:bCs w:val="false"/>
                <w:sz w:val="19"/>
                <w:szCs w:val="19"/>
              </w:rPr>
              <w:t xml:space="preserve">Linear regression</w:t>
            </w:r>
          </w:p>
        </w:tc>
        <w:tc>
          <w:tcPr>
            <w:tcW w:type="dxa" w:w="2000"/>
          </w:tcPr>
          <w:p>
            <w:r>
              <w:rPr>
                <w:b w:val="false"/>
                <w:bCs w:val="false"/>
                <w:sz w:val="19"/>
                <w:szCs w:val="19"/>
              </w:rPr>
              <w:t xml:space="preserve">0.003 ± 0.005</w:t>
            </w:r>
          </w:p>
        </w:tc>
        <w:tc>
          <w:tcPr>
            <w:tcW w:type="dxa" w:w="1600"/>
          </w:tcPr>
          <w:p>
            <w:r>
              <w:rPr>
                <w:b w:val="false"/>
                <w:bCs w:val="false"/>
                <w:sz w:val="19"/>
                <w:szCs w:val="19"/>
              </w:rPr>
              <w:t xml:space="preserve">11.29</w:t>
            </w:r>
          </w:p>
        </w:tc>
      </w:tr>
      <w:tr>
        <w:tc>
          <w:tcPr>
            <w:tcW w:type="dxa" w:w="3300"/>
          </w:tcPr>
          <w:p>
            <w:r>
              <w:rPr>
                <w:b w:val="false"/>
                <w:bCs w:val="false"/>
                <w:sz w:val="19"/>
                <w:szCs w:val="19"/>
              </w:rPr>
              <w:t xml:space="preserve">Humidity + TDS + pH (no temperature)</w:t>
            </w:r>
          </w:p>
        </w:tc>
        <w:tc>
          <w:tcPr>
            <w:tcW w:type="dxa" w:w="2100"/>
          </w:tcPr>
          <w:p>
            <w:r>
              <w:rPr>
                <w:b w:val="false"/>
                <w:bCs w:val="false"/>
                <w:sz w:val="19"/>
                <w:szCs w:val="19"/>
              </w:rPr>
              <w:t xml:space="preserve">Random Forest</w:t>
            </w:r>
          </w:p>
        </w:tc>
        <w:tc>
          <w:tcPr>
            <w:tcW w:type="dxa" w:w="2000"/>
          </w:tcPr>
          <w:p>
            <w:r>
              <w:rPr>
                <w:b w:val="false"/>
                <w:bCs w:val="false"/>
                <w:sz w:val="19"/>
                <w:szCs w:val="19"/>
              </w:rPr>
              <w:t xml:space="preserve">-0.038 ± 0.016</w:t>
            </w:r>
          </w:p>
        </w:tc>
        <w:tc>
          <w:tcPr>
            <w:tcW w:type="dxa" w:w="1600"/>
          </w:tcPr>
          <w:p>
            <w:r>
              <w:rPr>
                <w:b w:val="false"/>
                <w:bCs w:val="false"/>
                <w:sz w:val="19"/>
                <w:szCs w:val="19"/>
              </w:rPr>
              <w:t xml:space="preserve">11.45</w:t>
            </w:r>
          </w:p>
        </w:tc>
      </w:tr>
      <w:tr>
        <w:tc>
          <w:tcPr>
            <w:tcW w:type="dxa" w:w="3300"/>
          </w:tcPr>
          <w:p>
            <w:r>
              <w:rPr>
                <w:b w:val="false"/>
                <w:bCs w:val="false"/>
                <w:sz w:val="19"/>
                <w:szCs w:val="19"/>
              </w:rPr>
              <w:t xml:space="preserve">Mean baseline</w:t>
            </w:r>
          </w:p>
        </w:tc>
        <w:tc>
          <w:tcPr>
            <w:tcW w:type="dxa" w:w="2100"/>
          </w:tcPr>
          <w:p>
            <w:r>
              <w:rPr>
                <w:b w:val="false"/>
                <w:bCs w:val="false"/>
                <w:sz w:val="19"/>
                <w:szCs w:val="19"/>
              </w:rPr>
              <w:t xml:space="preserve">-</w:t>
            </w:r>
          </w:p>
        </w:tc>
        <w:tc>
          <w:tcPr>
            <w:tcW w:type="dxa" w:w="2000"/>
          </w:tcPr>
          <w:p>
            <w:r>
              <w:rPr>
                <w:b w:val="false"/>
                <w:bCs w:val="false"/>
                <w:sz w:val="19"/>
                <w:szCs w:val="19"/>
              </w:rPr>
              <w:t xml:space="preserve">0.000 ± 0.000</w:t>
            </w:r>
          </w:p>
        </w:tc>
        <w:tc>
          <w:tcPr>
            <w:tcW w:type="dxa" w:w="1600"/>
          </w:tcPr>
          <w:p>
            <w:r>
              <w:rPr>
                <w:b w:val="false"/>
                <w:bCs w:val="false"/>
                <w:sz w:val="19"/>
                <w:szCs w:val="19"/>
              </w:rPr>
              <w:t xml:space="preserve">11.32</w:t>
            </w:r>
          </w:p>
        </w:tc>
      </w:tr>
    </w:tbl>
    <w:p>
      <w:pPr>
        <w:spacing w:after="120"/>
      </w:pPr>
    </w:p>
    <w:p>
      <w:pPr>
        <w:spacing w:after="150"/>
      </w:pPr>
      <w:r>
        <w:t xml:space="preserve">All 70 plants started on the same date (2023-08-03). Growth Day is therefore the calendar date minus a constant, and calendar date alone predicts it perfectly. Temperature predicts it only because the temperature trace identifies the day within a single shared period: within individual plants, temperature and growth day are negatively correlated in 83% of plants (median Spearman ρ = -0.27) as conditions cooled from August into September, the opposite of what a growth-promoting effect of warmth would produce. Humidity, TDS and pH carry essentially no information.</w:t>
      </w:r>
    </w:p>
    <w:p>
      <w:pPr>
        <w:pStyle w:val="Heading2"/>
        <w:spacing w:after="100" w:before="200"/>
      </w:pPr>
      <w:r>
        <w:t xml:space="preserve">4.4 Interpretation</w:t>
      </w:r>
    </w:p>
    <w:p>
      <w:pPr>
        <w:spacing w:after="150"/>
      </w:pPr>
      <w:r>
        <w:t xml:space="preserve">This dataset cannot support the claim that temperature drives growth stage. An earlier version of this analysis reported temperature as the dominant feature (random-forest importance 0.87) and linked it to heat stress in Gulf climates; that interpretation is withdrawn, because the importance reflects the shared calendar rather than plant biology. The model is best described as a date detector. A valid test of environmental effects on growth would require staggered planting dates, so that environment and plant age vary independently, and held-out cohorts or seasons for evaluation.</w:t>
      </w:r>
    </w:p>
    <w:p>
      <w:pPr>
        <w:spacing w:after="150"/>
      </w:pPr>
      <w:r>
        <w:t xml:space="preserve">The finding is retained deliberately: it shows that grouped cross-validation alone does not protect against a design confound, and it motivates collecting purpose-built data.</w:t>
      </w:r>
    </w:p>
    <w:p>
      <w:pPr>
        <w:pStyle w:val="Heading1"/>
        <w:spacing w:after="150" w:before="300"/>
      </w:pPr>
      <w:r>
        <w:t xml:space="preserve">5. Interactive Demonstration</w:t>
      </w:r>
    </w:p>
    <w:p>
      <w:pPr>
        <w:spacing w:after="150"/>
      </w:pPr>
      <w:r>
        <w:t xml:space="preserve">Both models are available in a Streamlit application (app/app.py). The growth-day tab is labelled as a demonstration of a model with the confound described above, not as a validated predictor.</w:t>
      </w:r>
    </w:p>
    <w:p>
      <w:pPr>
        <w:pStyle w:val="Heading1"/>
        <w:spacing w:after="150" w:before="300"/>
      </w:pPr>
      <w:r>
        <w:t xml:space="preserve">6. Future Work</w:t>
      </w:r>
    </w:p>
    <w:p>
      <w:pPr>
        <w:pStyle w:val="ListParagraph"/>
        <w:numPr>
          <w:ilvl w:val="0"/>
          <w:numId w:val="1"/>
        </w:numPr>
        <w:spacing w:after="80"/>
      </w:pPr>
      <w:r>
        <w:t xml:space="preserve">Collect an original dataset with staggered planting dates, logged air and root-zone temperature, light, and nutrient dosing, using a low-cost sensor node and camera, so that fusion can be tested on data that permits valid conclusions.</w:t>
      </w:r>
    </w:p>
    <w:p>
      <w:pPr>
        <w:pStyle w:val="ListParagraph"/>
        <w:numPr>
          <w:ilvl w:val="0"/>
          <w:numId w:val="1"/>
        </w:numPr>
        <w:spacing w:after="80"/>
      </w:pPr>
      <w:r>
        <w:t xml:space="preserve">Multi-modal fusion of leaf imagery with sensor time series, evaluated against each modality alone under group-aware, temporal and external validation.</w:t>
      </w:r>
    </w:p>
    <w:p>
      <w:pPr>
        <w:pStyle w:val="ListParagraph"/>
        <w:numPr>
          <w:ilvl w:val="0"/>
          <w:numId w:val="1"/>
        </w:numPr>
        <w:spacing w:after="80"/>
      </w:pPr>
      <w:r>
        <w:t xml:space="preserve">Heat- and salinity-stress classes relevant to arid-region cultivation, which are not covered by the datasets used here.</w:t>
      </w:r>
    </w:p>
    <w:p>
      <w:pPr>
        <w:pStyle w:val="ListParagraph"/>
        <w:numPr>
          <w:ilvl w:val="0"/>
          <w:numId w:val="1"/>
        </w:numPr>
        <w:spacing w:after="80"/>
      </w:pPr>
      <w:r>
        <w:t xml:space="preserve">Larger and more diverse image data, with plant identifiers, to replace the small single-farm dataset; explainability analysis (Grad-CAM) to check that the network attends to the leaf.</w:t>
      </w:r>
    </w:p>
    <w:p>
      <w:pPr>
        <w:pStyle w:val="ListParagraph"/>
        <w:numPr>
          <w:ilvl w:val="0"/>
          <w:numId w:val="1"/>
        </w:numPr>
        <w:spacing w:after="80"/>
      </w:pPr>
      <w:r>
        <w:t xml:space="preserve">A systematic review of validation practice in machine-learning studies of hydroponic monitoring, using this case study as a worked example.</w:t>
      </w:r>
    </w:p>
    <w:p>
      <w:pPr>
        <w:pStyle w:val="Heading1"/>
        <w:spacing w:after="150" w:before="300"/>
      </w:pPr>
      <w:r>
        <w:t xml:space="preserve">7. Conclusion</w:t>
      </w:r>
    </w:p>
    <w:p>
      <w:pPr>
        <w:spacing w:after="150"/>
      </w:pPr>
      <w:r>
        <w:t xml:space="preserve">This project delivers a working vision classifier and sensor model with reproducible pipelines, a demonstration application, and a candid validity analysis. The analysis found two specific problems in public data: near-duplicate images, and a sensor dataset in which all plants share one calendar, making any temperature effect unidentifiable. It also showed that a single small split overstated accuracy (91% against about 84% under cross-validation) and produced an apparent class-weighting benefit that did not replicate. The main contribution is not a performance figure but the demonstration of how such problems are detected, and a concrete plan for data collection and fusion research that avoids them.</w:t>
      </w:r>
    </w:p>
    <w:p>
      <w:pPr>
        <w:pStyle w:val="Heading1"/>
        <w:spacing w:after="150" w:before="300"/>
      </w:pPr>
      <w:r>
        <w:t xml:space="preserve">Data Sources and Code</w:t>
      </w:r>
    </w:p>
    <w:p>
      <w:pPr>
        <w:spacing w:after="150"/>
      </w:pPr>
      <w:r>
        <w:rPr>
          <w:sz w:val="20"/>
          <w:szCs w:val="20"/>
        </w:rPr>
        <w:t xml:space="preserve">Rathor, A. Lettuce Plant Leaf Disease Dataset. Kaggle, CC0.</w:t>
      </w:r>
    </w:p>
    <w:p>
      <w:pPr>
        <w:spacing w:after="150"/>
      </w:pPr>
      <w:r>
        <w:rPr>
          <w:sz w:val="20"/>
          <w:szCs w:val="20"/>
        </w:rPr>
        <w:t xml:space="preserve">jurijsruko. Lettuce Growth Days. Kaggle, Apache-2.0.</w:t>
      </w:r>
    </w:p>
    <w:p>
      <w:pPr>
        <w:spacing w:after="150"/>
      </w:pPr>
      <w:r>
        <w:rPr>
          <w:sz w:val="20"/>
          <w:szCs w:val="20"/>
        </w:rPr>
        <w:t xml:space="preserve">Code and documentation: github.com/HabibAdnan4286/hydroponic-ai-project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2026-10-13T21:42:53.590Z</dcterms:created>
  <dcterms:modified xsi:type="dcterms:W3CDTF">2026-10-13T21:42:53.590Z</dcterms:modified>
</cp:coreProperties>
</file>

<file path=docProps/custom.xml><?xml version="1.0" encoding="utf-8"?>
<Properties xmlns="http://schemas.openxmlformats.org/officeDocument/2006/custom-properties" xmlns:vt="http://schemas.openxmlformats.org/officeDocument/2006/docPropsVTypes"/>
</file>