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AI-Driven Vision and IoT System for Nutrient Stress Detection and Growth Monitoring in Indoor Hydroponic Farming</w:t>
      </w:r>
    </w:p>
    <w:p>
      <w:pPr>
        <w:spacing w:after="100"/>
      </w:pPr>
      <w:r>
        <w:rPr>
          <w:i/>
          <w:iCs/>
          <w:color w:val="555555"/>
          <w:sz w:val="22"/>
          <w:szCs w:val="22"/>
        </w:rPr>
        <w:t xml:space="preserve">A prototype system toward addressing Gulf-region food security through controlled-environment agriculture</w:t>
      </w:r>
    </w:p>
    <w:p>
      <w:pPr>
        <w:spacing w:after="300"/>
      </w:pPr>
      <w:r>
        <w:rPr>
          <w:color w:val="777777"/>
          <w:sz w:val="20"/>
          <w:szCs w:val="20"/>
        </w:rPr>
        <w:t xml:space="preserve">Habib Adnan  |  Independent research prototype, prepared for PhD application</w:t>
      </w:r>
    </w:p>
    <w:p>
      <w:pPr>
        <w:pStyle w:val="Heading1"/>
        <w:spacing w:after="150" w:before="300"/>
      </w:pPr>
      <w:r>
        <w:t xml:space="preserve">1. Motivation</w:t>
      </w:r>
    </w:p>
    <w:p>
      <w:pPr>
        <w:spacing w:after="150"/>
      </w:pPr>
      <w:r>
        <w:t xml:space="preserve">Gulf Cooperation Council countries import the substantial majority of their food due to arid climate, water scarcity, and limited arable land. Indoor hydroponic farming offers a path toward food security in this context, but scaling it requires reducing dependence on manual monitoring of plant health and nutrient conditions. This project prototypes an AI-driven monitoring system that combines computer vision (leaf-level nutrient stress and disease detection) with IoT sensor analysis (environmental growth prediction) as a foundation for autonomous, low-labor indoor farm management suited to regional climate constraints.</w:t>
      </w:r>
    </w:p>
    <w:p>
      <w:pPr>
        <w:spacing w:after="150"/>
      </w:pPr>
      <w:r>
        <w:t xml:space="preserve">The work was undertaken independently, prior to and in support of a PhD application, to demonstrate applied capability in machine learning, systems thinking, and the specific intersection of AI and IoT relevant to controlled-environment agriculture.</w:t>
      </w:r>
    </w:p>
    <w:p>
      <w:pPr>
        <w:pStyle w:val="Heading1"/>
        <w:spacing w:after="150" w:before="300"/>
      </w:pPr>
      <w:r>
        <w:t xml:space="preserve">2. System Overview</w:t>
      </w:r>
    </w:p>
    <w:p>
      <w:pPr>
        <w:spacing w:after="150"/>
      </w:pPr>
      <w:r>
        <w:t xml:space="preserve">The system consists of two independently trained components, unified under a single interactive demo application:</w:t>
      </w:r>
    </w:p>
    <w:p>
      <w:pPr>
        <w:pStyle w:val="ListParagraph"/>
        <w:numPr>
          <w:ilvl w:val="0"/>
          <w:numId w:val="1"/>
        </w:numPr>
        <w:spacing w:after="80"/>
      </w:pPr>
      <w:r>
        <w:t xml:space="preserve">A vision-based classifier that identifies nutrient deficiency (Nitrogen, Potassium) and fungal disease (Wilt) from a photograph of a lettuce leaf.</w:t>
      </w:r>
    </w:p>
    <w:p>
      <w:pPr>
        <w:pStyle w:val="ListParagraph"/>
        <w:numPr>
          <w:ilvl w:val="0"/>
          <w:numId w:val="1"/>
        </w:numPr>
        <w:spacing w:after="80"/>
      </w:pPr>
      <w:r>
        <w:t xml:space="preserve">A sensor-based regressor that predicts a plant's growth stage (day within a 48-day cycle) from environmental readings: temperature, humidity, total dissolved solids (TDS), and pH.</w:t>
      </w:r>
    </w:p>
    <w:p>
      <w:pPr>
        <w:spacing w:after="150"/>
      </w:pPr>
      <w:r>
        <w:t xml:space="preserve">Both components share a common motivation: detecting plant stress earlier and more reliably than manual inspection allows, using signals (visual and environmental) that are each individually informative but incomplete on their own. This motivates the primary direction of future work: multi-modal fusion of both signals, discussed in Section 6.</w:t>
      </w:r>
    </w:p>
    <w:p>
      <w:pPr>
        <w:pStyle w:val="Heading1"/>
        <w:spacing w:after="150" w:before="300"/>
      </w:pPr>
      <w:r>
        <w:t xml:space="preserve">3. Component 1: Vision-Based Leaf Health Classifier</w:t>
      </w:r>
    </w:p>
    <w:p>
      <w:pPr>
        <w:pStyle w:val="Heading2"/>
        <w:spacing w:after="100" w:before="200"/>
      </w:pPr>
      <w:r>
        <w:t xml:space="preserve">3.1 Dataset</w:t>
      </w:r>
    </w:p>
    <w:p>
      <w:pPr>
        <w:spacing w:after="150"/>
      </w:pPr>
      <w:r>
        <w:t xml:space="preserve">The Locarno Lettuce Disease Dataset (Rathor, Kaggle; CC0 Public Domain) was used, collected from a Raspberry Pi 4B-monitored Nutrient Film Technique (NFT) vertical hydroponics system at the University of Petroleum and Energy Studies, India. The dataset contains 209 images across four classes: Healthy (62), Potassium Deficient (66), Nitrogen Deficient (36), and Wilt (fungal, 45). Notably, the source system also logged pH, TDS, temperature, and humidity alongside imagery — direct precedent for the vision + IoT fusion approach this project builds toward.</w:t>
      </w:r>
    </w:p>
    <w:p>
      <w:pPr>
        <w:pStyle w:val="Heading2"/>
        <w:spacing w:after="100" w:before="200"/>
      </w:pPr>
      <w:r>
        <w:t xml:space="preserve">3.2 Method</w:t>
      </w:r>
    </w:p>
    <w:p>
      <w:pPr>
        <w:spacing w:after="150"/>
      </w:pPr>
      <w:r>
        <w:t xml:space="preserve">Data was split 70/15/15 (train/val/test) with stratification by class. Given the small dataset size, a MobileNetV2 backbone pretrained on ImageNet was used with a frozen feature extractor and a fine-tuned classification head — a standard transfer-learning approach appropriate for limited data. Training-set augmentation (rotation, color jitter, random resized crop) was applied to improve robustness given the small sample size, particularly for the minority Nitrogen-deficient class.</w:t>
      </w:r>
    </w:p>
    <w:p>
      <w:pPr>
        <w:pStyle w:val="Heading2"/>
        <w:spacing w:after="100" w:before="200"/>
      </w:pPr>
      <w:r>
        <w:t xml:space="preserve">3.3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2E5339" w:val="clear"/>
          </w:tcPr>
          <w:p>
            <w:r>
              <w:rPr>
                <w:b/>
                <w:bCs/>
                <w:color w:val="FFFFFF"/>
              </w:rPr>
              <w:t xml:space="preserve">Class</w:t>
            </w:r>
          </w:p>
        </w:tc>
        <w:tc>
          <w:tcPr>
            <w:tcW w:type="dxa" w:w="2250"/>
            <w:shd w:fill="2E5339" w:val="clear"/>
          </w:tcPr>
          <w:p>
            <w:r>
              <w:rPr>
                <w:b/>
                <w:bCs/>
                <w:color w:val="FFFFFF"/>
              </w:rPr>
              <w:t xml:space="preserve">Precision</w:t>
            </w:r>
          </w:p>
        </w:tc>
        <w:tc>
          <w:tcPr>
            <w:tcW w:type="dxa" w:w="2250"/>
            <w:shd w:fill="2E5339" w:val="clear"/>
          </w:tcPr>
          <w:p>
            <w:r>
              <w:rPr>
                <w:b/>
                <w:bCs/>
                <w:color w:val="FFFFFF"/>
              </w:rPr>
              <w:t xml:space="preserve">Recall</w:t>
            </w:r>
          </w:p>
        </w:tc>
        <w:tc>
          <w:tcPr>
            <w:tcW w:type="dxa" w:w="2250"/>
            <w:shd w:fill="2E5339" w:val="clear"/>
          </w:tcPr>
          <w:p>
            <w:r>
              <w:rPr>
                <w:b/>
                <w:bCs/>
                <w:color w:val="FFFFFF"/>
              </w:rPr>
              <w:t xml:space="preserve">F1</w:t>
            </w:r>
          </w:p>
        </w:tc>
      </w:tr>
      <w:tr>
        <w:tc>
          <w:tcPr>
            <w:tcW w:type="dxa" w:w="2250"/>
          </w:tcPr>
          <w:p>
            <w:r>
              <w:rPr>
                <w:b w:val="false"/>
                <w:bCs w:val="false"/>
              </w:rPr>
              <w:t xml:space="preserve">Healthy</w:t>
            </w:r>
          </w:p>
        </w:tc>
        <w:tc>
          <w:tcPr>
            <w:tcW w:type="dxa" w:w="2250"/>
          </w:tcPr>
          <w:p>
            <w:r>
              <w:rPr>
                <w:b w:val="false"/>
                <w:bCs w:val="false"/>
              </w:rPr>
              <w:t xml:space="preserve">1.00</w:t>
            </w:r>
          </w:p>
        </w:tc>
        <w:tc>
          <w:tcPr>
            <w:tcW w:type="dxa" w:w="2250"/>
          </w:tcPr>
          <w:p>
            <w:r>
              <w:rPr>
                <w:b w:val="false"/>
                <w:bCs w:val="false"/>
              </w:rPr>
              <w:t xml:space="preserve">0.90</w:t>
            </w:r>
          </w:p>
        </w:tc>
        <w:tc>
          <w:tcPr>
            <w:tcW w:type="dxa" w:w="2250"/>
          </w:tcPr>
          <w:p>
            <w:r>
              <w:rPr>
                <w:b w:val="false"/>
                <w:bCs w:val="false"/>
              </w:rPr>
              <w:t xml:space="preserve">0.95</w:t>
            </w:r>
          </w:p>
        </w:tc>
      </w:tr>
      <w:tr>
        <w:tc>
          <w:tcPr>
            <w:tcW w:type="dxa" w:w="2250"/>
          </w:tcPr>
          <w:p>
            <w:r>
              <w:rPr>
                <w:b w:val="false"/>
                <w:bCs w:val="false"/>
              </w:rPr>
              <w:t xml:space="preserve">K Deficient</w:t>
            </w:r>
          </w:p>
        </w:tc>
        <w:tc>
          <w:tcPr>
            <w:tcW w:type="dxa" w:w="2250"/>
          </w:tcPr>
          <w:p>
            <w:r>
              <w:rPr>
                <w:b w:val="false"/>
                <w:bCs w:val="false"/>
              </w:rPr>
              <w:t xml:space="preserve">0.91</w:t>
            </w:r>
          </w:p>
        </w:tc>
        <w:tc>
          <w:tcPr>
            <w:tcW w:type="dxa" w:w="2250"/>
          </w:tcPr>
          <w:p>
            <w:r>
              <w:rPr>
                <w:b w:val="false"/>
                <w:bCs w:val="false"/>
              </w:rPr>
              <w:t xml:space="preserve">0.91</w:t>
            </w:r>
          </w:p>
        </w:tc>
        <w:tc>
          <w:tcPr>
            <w:tcW w:type="dxa" w:w="2250"/>
          </w:tcPr>
          <w:p>
            <w:r>
              <w:rPr>
                <w:b w:val="false"/>
                <w:bCs w:val="false"/>
              </w:rPr>
              <w:t xml:space="preserve">0.91</w:t>
            </w:r>
          </w:p>
        </w:tc>
      </w:tr>
      <w:tr>
        <w:tc>
          <w:tcPr>
            <w:tcW w:type="dxa" w:w="2250"/>
          </w:tcPr>
          <w:p>
            <w:r>
              <w:rPr>
                <w:b w:val="false"/>
                <w:bCs w:val="false"/>
              </w:rPr>
              <w:t xml:space="preserve">N Deficient</w:t>
            </w:r>
          </w:p>
        </w:tc>
        <w:tc>
          <w:tcPr>
            <w:tcW w:type="dxa" w:w="2250"/>
          </w:tcPr>
          <w:p>
            <w:r>
              <w:rPr>
                <w:b w:val="false"/>
                <w:bCs w:val="false"/>
              </w:rPr>
              <w:t xml:space="preserve">0.86</w:t>
            </w:r>
          </w:p>
        </w:tc>
        <w:tc>
          <w:tcPr>
            <w:tcW w:type="dxa" w:w="2250"/>
          </w:tcPr>
          <w:p>
            <w:r>
              <w:rPr>
                <w:b w:val="false"/>
                <w:bCs w:val="false"/>
              </w:rPr>
              <w:t xml:space="preserve">1.00</w:t>
            </w:r>
          </w:p>
        </w:tc>
        <w:tc>
          <w:tcPr>
            <w:tcW w:type="dxa" w:w="2250"/>
          </w:tcPr>
          <w:p>
            <w:r>
              <w:rPr>
                <w:b w:val="false"/>
                <w:bCs w:val="false"/>
              </w:rPr>
              <w:t xml:space="preserve">0.92</w:t>
            </w:r>
          </w:p>
        </w:tc>
      </w:tr>
      <w:tr>
        <w:tc>
          <w:tcPr>
            <w:tcW w:type="dxa" w:w="2250"/>
          </w:tcPr>
          <w:p>
            <w:r>
              <w:rPr>
                <w:b w:val="false"/>
                <w:bCs w:val="false"/>
              </w:rPr>
              <w:t xml:space="preserve">Wilt (fungal)</w:t>
            </w:r>
          </w:p>
        </w:tc>
        <w:tc>
          <w:tcPr>
            <w:tcW w:type="dxa" w:w="2250"/>
          </w:tcPr>
          <w:p>
            <w:r>
              <w:rPr>
                <w:b w:val="false"/>
                <w:bCs w:val="false"/>
              </w:rPr>
              <w:t xml:space="preserve">0.88</w:t>
            </w:r>
          </w:p>
        </w:tc>
        <w:tc>
          <w:tcPr>
            <w:tcW w:type="dxa" w:w="2250"/>
          </w:tcPr>
          <w:p>
            <w:r>
              <w:rPr>
                <w:b w:val="false"/>
                <w:bCs w:val="false"/>
              </w:rPr>
              <w:t xml:space="preserve">0.88</w:t>
            </w:r>
          </w:p>
        </w:tc>
        <w:tc>
          <w:tcPr>
            <w:tcW w:type="dxa" w:w="2250"/>
          </w:tcPr>
          <w:p>
            <w:r>
              <w:rPr>
                <w:b w:val="false"/>
                <w:bCs w:val="false"/>
              </w:rPr>
              <w:t xml:space="preserve">0.88</w:t>
            </w:r>
          </w:p>
        </w:tc>
      </w:tr>
    </w:tbl>
    <w:p>
      <w:pPr>
        <w:spacing w:after="150"/>
      </w:pPr>
    </w:p>
    <w:p>
      <w:pPr>
        <w:spacing w:after="150"/>
      </w:pPr>
      <w:r>
        <w:t xml:space="preserve">Overall test accuracy: 91% (35 held-out test images). An initial unweighted training run achieved a higher overall accuracy (94%) but with markedly weaker recall on the Nitrogen-deficient class (67%) — the smallest training class (25 images). Applying inverse-frequency class weighting to the loss function corrected this gap entirely (67% → 100% recall) at a modest cost to overall accuracy. This trade-off was judged worthwhile: in a deployed monitoring system, an undetected nitrogen deficiency (false negative) compounds in cost over time, whereas a misclassification among majority classes is more readily caught on a subsequent inspection.</w:t>
      </w:r>
    </w:p>
    <w:p>
      <w:pPr>
        <w:pStyle w:val="Heading2"/>
        <w:spacing w:after="100" w:before="200"/>
      </w:pPr>
      <w:r>
        <w:t xml:space="preserve">3.4 Limitation</w:t>
      </w:r>
    </w:p>
    <w:p>
      <w:pPr>
        <w:spacing w:after="150"/>
      </w:pPr>
      <w:r>
        <w:t xml:space="preserve">The test set (35 images, 6–11 per class) is small; these metrics are indicative rather than statistically robust. Larger-scale data collection, particularly for the Nitrogen-deficient class, is identified as future work.</w:t>
      </w:r>
    </w:p>
    <w:p>
      <w:pPr>
        <w:pStyle w:val="Heading1"/>
        <w:spacing w:after="150" w:before="300"/>
      </w:pPr>
      <w:r>
        <w:t xml:space="preserve">4. Component 2: Sensor-Based Growth-Day Predictor</w:t>
      </w:r>
    </w:p>
    <w:p>
      <w:pPr>
        <w:pStyle w:val="Heading2"/>
        <w:spacing w:after="100" w:before="200"/>
      </w:pPr>
      <w:r>
        <w:t xml:space="preserve">4.1 Dataset</w:t>
      </w:r>
    </w:p>
    <w:p>
      <w:pPr>
        <w:spacing w:after="150"/>
      </w:pPr>
      <w:r>
        <w:t xml:space="preserve">A second Kaggle dataset ("Lettuce Growth Days," jurijsruko) was used: 3,169 daily sensor readings (temperature, humidity, TDS, pH) across 70 individually tracked plants over a 48-day growth cycle.</w:t>
      </w:r>
    </w:p>
    <w:p>
      <w:pPr>
        <w:pStyle w:val="Heading2"/>
        <w:spacing w:after="100" w:before="200"/>
      </w:pPr>
      <w:r>
        <w:t xml:space="preserve">4.2 Method</w:t>
      </w:r>
    </w:p>
    <w:p>
      <w:pPr>
        <w:spacing w:after="150"/>
      </w:pPr>
      <w:r>
        <w:t xml:space="preserve">Because readings are repeated measurements of the same 70 plants over time, the data was split by Plant_ID (49/10/11 plants for train/val/test) rather than by row, preventing information leakage across a single plant's growth trajectory. A Random Forest Regressor (200 trees, max depth 10) was trained to predict growth day from the four sensor features — a model choice appropriately scaled to a four-feature tabular regression problem, rather than defaulting to a deep learning approach where it was not warranted.</w:t>
      </w:r>
    </w:p>
    <w:p>
      <w:pPr>
        <w:pStyle w:val="Heading2"/>
        <w:spacing w:after="100" w:before="200"/>
      </w:pPr>
      <w:r>
        <w:t xml:space="preserve">4.3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E5339" w:val="clear"/>
          </w:tcPr>
          <w:p>
            <w:r>
              <w:rPr>
                <w:b/>
                <w:bCs/>
                <w:color w:val="FFFFFF"/>
              </w:rPr>
              <w:t xml:space="preserve">Metric</w:t>
            </w:r>
          </w:p>
        </w:tc>
        <w:tc>
          <w:tcPr>
            <w:tcW w:type="dxa" w:w="3000"/>
            <w:shd w:fill="2E5339" w:val="clear"/>
          </w:tcPr>
          <w:p>
            <w:r>
              <w:rPr>
                <w:b/>
                <w:bCs/>
                <w:color w:val="FFFFFF"/>
              </w:rPr>
              <w:t xml:space="preserve">Validation</w:t>
            </w:r>
          </w:p>
        </w:tc>
        <w:tc>
          <w:tcPr>
            <w:tcW w:type="dxa" w:w="3000"/>
            <w:shd w:fill="2E5339" w:val="clear"/>
          </w:tcPr>
          <w:p>
            <w:r>
              <w:rPr>
                <w:b/>
                <w:bCs/>
                <w:color w:val="FFFFFF"/>
              </w:rPr>
              <w:t xml:space="preserve">Test</w:t>
            </w:r>
          </w:p>
        </w:tc>
      </w:tr>
      <w:tr>
        <w:tc>
          <w:tcPr>
            <w:tcW w:type="dxa" w:w="3000"/>
          </w:tcPr>
          <w:p>
            <w:r>
              <w:rPr>
                <w:b w:val="false"/>
                <w:bCs w:val="false"/>
              </w:rPr>
              <w:t xml:space="preserve">MAE (days)</w:t>
            </w:r>
          </w:p>
        </w:tc>
        <w:tc>
          <w:tcPr>
            <w:tcW w:type="dxa" w:w="3000"/>
          </w:tcPr>
          <w:p>
            <w:r>
              <w:rPr>
                <w:b w:val="false"/>
                <w:bCs w:val="false"/>
              </w:rPr>
              <w:t xml:space="preserve">6.01</w:t>
            </w:r>
          </w:p>
        </w:tc>
        <w:tc>
          <w:tcPr>
            <w:tcW w:type="dxa" w:w="3000"/>
          </w:tcPr>
          <w:p>
            <w:r>
              <w:rPr>
                <w:b w:val="false"/>
                <w:bCs w:val="false"/>
              </w:rPr>
              <w:t xml:space="preserve">5.78</w:t>
            </w:r>
          </w:p>
        </w:tc>
      </w:tr>
      <w:tr>
        <w:tc>
          <w:tcPr>
            <w:tcW w:type="dxa" w:w="3000"/>
          </w:tcPr>
          <w:p>
            <w:r>
              <w:rPr>
                <w:b w:val="false"/>
                <w:bCs w:val="false"/>
              </w:rPr>
              <w:t xml:space="preserve">R²</w:t>
            </w:r>
          </w:p>
        </w:tc>
        <w:tc>
          <w:tcPr>
            <w:tcW w:type="dxa" w:w="3000"/>
          </w:tcPr>
          <w:p>
            <w:r>
              <w:rPr>
                <w:b w:val="false"/>
                <w:bCs w:val="false"/>
              </w:rPr>
              <w:t xml:space="preserve">0.526</w:t>
            </w:r>
          </w:p>
        </w:tc>
        <w:tc>
          <w:tcPr>
            <w:tcW w:type="dxa" w:w="3000"/>
          </w:tcPr>
          <w:p>
            <w:r>
              <w:rPr>
                <w:b w:val="false"/>
                <w:bCs w:val="false"/>
              </w:rPr>
              <w:t xml:space="preserve">0.545</w:t>
            </w:r>
          </w:p>
        </w:tc>
      </w:tr>
    </w:tbl>
    <w:p>
      <w:pPr>
        <w:spacing w:after="150"/>
      </w:pPr>
    </w:p>
    <w:p>
      <w:pPr>
        <w:spacing w:after="150"/>
      </w:pPr>
      <w:r>
        <w:t xml:space="preserve">Feature importance was heavily dominated by temperature (0.873), with TDS (0.061), humidity (0.043), and pH (0.023) contributing comparatively little. This is consistent with established plant physiology: temperature is a primary driver of growth rate, and this finding is directly relevant to Gulf-region deployment, where ambient heat is a dominant environmental stressor relative to temperate climates.</w:t>
      </w:r>
    </w:p>
    <w:p>
      <w:pPr>
        <w:pStyle w:val="Heading2"/>
        <w:spacing w:after="100" w:before="200"/>
      </w:pPr>
      <w:r>
        <w:t xml:space="preserve">4.4 Limitation</w:t>
      </w:r>
    </w:p>
    <w:p>
      <w:pPr>
        <w:spacing w:after="150"/>
      </w:pPr>
      <w:r>
        <w:t xml:space="preserve">An R² of approximately 0.55 indicates roughly half the variance in growth day is unexplained by these four features alone. Likely missing contributors include light exposure duration/intensity, nutrient dosing schedule, and individual plant genetic variation — none of which are present in this dataset. This is noted as a data limitation rather than a modeling failure.</w:t>
      </w:r>
    </w:p>
    <w:p>
      <w:pPr>
        <w:pStyle w:val="Heading1"/>
        <w:spacing w:after="150" w:before="300"/>
      </w:pPr>
      <w:r>
        <w:t xml:space="preserve">5. Interactive Demonstration</w:t>
      </w:r>
    </w:p>
    <w:p>
      <w:pPr>
        <w:spacing w:after="150"/>
      </w:pPr>
      <w:r>
        <w:t xml:space="preserve">Both components are integrated into a single Streamlit application (app/app.py) allowing live testing: uploading a leaf image returns a classification with confidence scores, and adjusting sensor sliders returns a predicted growth day. This was prioritized specifically to make the system's outputs directly observable rather than requiring inspection of code or logs.</w:t>
      </w:r>
    </w:p>
    <w:p>
      <w:pPr>
        <w:pStyle w:val="Heading1"/>
        <w:spacing w:after="150" w:before="300"/>
      </w:pPr>
      <w:r>
        <w:t xml:space="preserve">6. Future Work</w:t>
      </w:r>
    </w:p>
    <w:p>
      <w:pPr>
        <w:pStyle w:val="ListParagraph"/>
        <w:numPr>
          <w:ilvl w:val="0"/>
          <w:numId w:val="1"/>
        </w:numPr>
        <w:spacing w:after="80"/>
      </w:pPr>
      <w:r>
        <w:t xml:space="preserve">Multi-modal fusion: combining the vision model's leaf-level stress signal with the sensor model's environmental trend, hypothesized to enable earlier and more reliable stress detection than either signal alone — the central motivating direction of this project.</w:t>
      </w:r>
    </w:p>
    <w:p>
      <w:pPr>
        <w:pStyle w:val="ListParagraph"/>
        <w:numPr>
          <w:ilvl w:val="0"/>
          <w:numId w:val="1"/>
        </w:numPr>
        <w:spacing w:after="80"/>
      </w:pPr>
      <w:r>
        <w:t xml:space="preserve">Gulf-specific stress classes: incorporating salinity stress and heat stress as explicit classes, using region-representative water chemistry and climate conditions, and validating on region-relevant cultivars.</w:t>
      </w:r>
    </w:p>
    <w:p>
      <w:pPr>
        <w:pStyle w:val="ListParagraph"/>
        <w:numPr>
          <w:ilvl w:val="0"/>
          <w:numId w:val="1"/>
        </w:numPr>
        <w:spacing w:after="80"/>
      </w:pPr>
      <w:r>
        <w:t xml:space="preserve">Edge deployment: running inference on-device (e.g., Raspberry Pi or Jetson Nano) to support low-connectivity farm environments.</w:t>
      </w:r>
    </w:p>
    <w:p>
      <w:pPr>
        <w:pStyle w:val="ListParagraph"/>
        <w:numPr>
          <w:ilvl w:val="0"/>
          <w:numId w:val="1"/>
        </w:numPr>
        <w:spacing w:after="80"/>
      </w:pPr>
      <w:r>
        <w:t xml:space="preserve">Expanded data collection: particularly for underrepresented classes (Nitrogen deficiency) and additional environmental features (light exposure, nutrient dosing schedule) to improve growth-prediction accuracy.</w:t>
      </w:r>
    </w:p>
    <w:p>
      <w:pPr>
        <w:pStyle w:val="Heading1"/>
        <w:spacing w:after="150" w:before="300"/>
      </w:pPr>
      <w:r>
        <w:t xml:space="preserve">7. Conclusion</w:t>
      </w:r>
    </w:p>
    <w:p>
      <w:pPr>
        <w:spacing w:after="150"/>
      </w:pPr>
      <w:r>
        <w:t xml:space="preserve">This project demonstrates two independently functioning, evaluated AI components relevant to indoor hydroponic farm monitoring, built and documented end-to-end: data acquisition, reproducible train/val/test splitting, model training, rigorous per-class evaluation, and an interactive demonstration. Honest reporting of each component's limitations — rather than only favorable results — is intended to reflect the kind of methodological rigor expected of research work, and to establish a concrete foundation for the multi-modal fusion research direction proposed above.</w:t>
      </w:r>
    </w:p>
    <w:p>
      <w:pPr>
        <w:pStyle w:val="Heading1"/>
        <w:spacing w:after="150" w:before="300"/>
      </w:pPr>
      <w:r>
        <w:t xml:space="preserve">References &amp; Data Sources</w:t>
      </w:r>
    </w:p>
    <w:p>
      <w:pPr>
        <w:spacing w:after="150"/>
      </w:pPr>
      <w:r>
        <w:rPr>
          <w:sz w:val="20"/>
          <w:szCs w:val="20"/>
        </w:rPr>
        <w:t xml:space="preserve">Rathor, A. "Lettuce Plant Leaf Disease Dataset." Kaggle, CC0 Public Domain.</w:t>
      </w:r>
    </w:p>
    <w:p>
      <w:pPr>
        <w:spacing w:after="150"/>
      </w:pPr>
      <w:r>
        <w:rPr>
          <w:sz w:val="20"/>
          <w:szCs w:val="20"/>
        </w:rPr>
        <w:t xml:space="preserve">jurijsruko. "Lettuce Growth Days." Kaggle, Apache-2.0 License.</w:t>
      </w:r>
    </w:p>
    <w:p>
      <w:pPr>
        <w:spacing w:after="150"/>
      </w:pPr>
      <w:r>
        <w:rPr>
          <w:sz w:val="20"/>
          <w:szCs w:val="20"/>
        </w:rPr>
        <w:t xml:space="preserve">Full code, data pipeline, and documentation: github.com/HabibAdnan4286/hydroponic-ai-project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2026-09-26T14:23:10.431Z</dcterms:created>
  <dcterms:modified xsi:type="dcterms:W3CDTF">2026-09-26T14:23:10.443Z</dcterms:modified>
</cp:coreProperties>
</file>

<file path=docProps/custom.xml><?xml version="1.0" encoding="utf-8"?>
<Properties xmlns="http://schemas.openxmlformats.org/officeDocument/2006/custom-properties" xmlns:vt="http://schemas.openxmlformats.org/officeDocument/2006/docPropsVTypes"/>
</file>