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Regulatory Trends Summary 2026</w:t>
      </w:r>
    </w:p>
    <w:p>
      <w:pPr>
        <w:spacing w:after="160"/>
      </w:pPr>
      <w:r>
        <w:t xml:space="preserve">This summary outlines the key regulatory trends shaping international financial centres in 2026, intended to inform strategic planning and risk management for leadership.</w:t>
      </w:r>
    </w:p>
    <w:p>
      <w:pPr>
        <w:pStyle w:val="Heading2"/>
      </w:pPr>
      <w:r>
        <w:t xml:space="preserve">Digital Asset Regulation</w:t>
      </w:r>
    </w:p>
    <w:p>
      <w:pPr>
        <w:spacing w:after="160"/>
      </w:pPr>
      <w:r>
        <w:t xml:space="preserve">Regulators are converging on comprehensive frameworks for virtual asset service providers, with growing emphasis on stablecoin reserves, custody standards, and consumer protection. Centres with early, principles-based regimes retain a competitive advantage, but the gap is narrowing as more jurisdictions publish guidance.</w:t>
      </w:r>
    </w:p>
    <w:p>
      <w:pPr>
        <w:pStyle w:val="Heading2"/>
      </w:pPr>
      <w:r>
        <w:t xml:space="preserve">Sustainable Finance Disclosure</w:t>
      </w:r>
    </w:p>
    <w:p>
      <w:pPr>
        <w:spacing w:after="160"/>
      </w:pPr>
      <w:r>
        <w:t xml:space="preserve">Mandatory climate-related disclosure is becoming standard. A regional disclosure standard aligned with international frameworks is expected to launch in 2026, which will increase compliance obligations but improve cross-border comparability of green assets.</w:t>
      </w:r>
    </w:p>
    <w:p>
      <w:pPr>
        <w:pStyle w:val="Heading2"/>
      </w:pPr>
      <w:r>
        <w:t xml:space="preserve">Cross-Border Cooperation</w:t>
      </w:r>
    </w:p>
    <w:p>
      <w:pPr>
        <w:spacing w:after="160"/>
      </w:pPr>
      <w:r>
        <w:t xml:space="preserve">Memoranda of understanding between financial centres are expanding to cover fintech sandboxes, supervisory information sharing, and talent mobility. This reduces regulatory arbitrage but raises coordination costs.</w:t>
      </w:r>
    </w:p>
    <w:p>
      <w:pPr>
        <w:pStyle w:val="Heading2"/>
      </w:pPr>
      <w:r>
        <w:t xml:space="preserve">Key Risks for Leadership</w:t>
      </w:r>
    </w:p>
    <w:p>
      <w:pPr>
        <w:pStyle w:val="ListParagraph"/>
        <w:numPr>
          <w:ilvl w:val="0"/>
          <w:numId w:val="1"/>
        </w:numPr>
      </w:pPr>
      <w:r>
        <w:t xml:space="preserve">Compliance cost inflation from divergent cross-border rules.</w:t>
      </w:r>
    </w:p>
    <w:p>
      <w:pPr>
        <w:pStyle w:val="ListParagraph"/>
        <w:numPr>
          <w:ilvl w:val="0"/>
          <w:numId w:val="1"/>
        </w:numPr>
      </w:pPr>
      <w:r>
        <w:t xml:space="preserve">Reputational exposure from digital asset firm failures.</w:t>
      </w:r>
    </w:p>
    <w:p>
      <w:pPr>
        <w:pStyle w:val="ListParagraph"/>
        <w:numPr>
          <w:ilvl w:val="0"/>
          <w:numId w:val="1"/>
        </w:numPr>
      </w:pPr>
      <w:r>
        <w:t xml:space="preserve">Talent shortages in specialised compliance functions.</w:t>
      </w:r>
    </w:p>
    <w:p>
      <w:pPr>
        <w:pStyle w:val="Heading2"/>
      </w:pPr>
      <w:r>
        <w:t xml:space="preserve">Recommended Focus</w:t>
      </w:r>
    </w:p>
    <w:p>
      <w:pPr>
        <w:spacing w:after="160"/>
      </w:pPr>
      <w:r>
        <w:t xml:space="preserve">Leadership should prioritise regulatory clarity on tokenisation, invest in compliance talent, and actively shape regional disclosure standards rather than adopt them reactively.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2026-06-05T16:23:14.651Z</dcterms:created>
  <dcterms:modified xsi:type="dcterms:W3CDTF">2026-06-05T16:23:14.651Z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