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Meridian Vault Risk Brief</w:t>
      </w:r>
    </w:p>
    <w:p>
      <w:pPr>
        <w:spacing w:after="160"/>
      </w:pPr>
      <w:r>
        <w:t xml:space="preserve">Meridian Vault is a fictional digital custody platform for private funds. The risk review highlights operational resilience, client reporting, and approval controls.</w:t>
      </w:r>
    </w:p>
    <w:p>
      <w:pPr>
        <w:pStyle w:val="Heading2"/>
      </w:pPr>
      <w:r>
        <w:t xml:space="preserve">Observed Strengths</w:t>
      </w:r>
    </w:p>
    <w:p>
      <w:pPr>
        <w:pStyle w:val="ListParagraph"/>
        <w:numPr>
          <w:ilvl w:val="0"/>
          <w:numId w:val="1"/>
        </w:numPr>
      </w:pPr>
      <w:r>
        <w:t xml:space="preserve">Dual-control release workflows reduced manual approval exceptions.</w:t>
      </w:r>
    </w:p>
    <w:p>
      <w:pPr>
        <w:pStyle w:val="ListParagraph"/>
        <w:numPr>
          <w:ilvl w:val="0"/>
          <w:numId w:val="1"/>
        </w:numPr>
      </w:pPr>
      <w:r>
        <w:t xml:space="preserve">Client reporting timelines improved after the custody events dashboard launch.</w:t>
      </w:r>
    </w:p>
    <w:p>
      <w:pPr>
        <w:pStyle w:val="ListParagraph"/>
        <w:numPr>
          <w:ilvl w:val="0"/>
          <w:numId w:val="1"/>
        </w:numPr>
      </w:pPr>
      <w:r>
        <w:t xml:space="preserve">Incident drills showed faster coordination between operations and compliance teams.</w:t>
      </w:r>
    </w:p>
    <w:p>
      <w:pPr>
        <w:pStyle w:val="Heading2"/>
      </w:pPr>
      <w:r>
        <w:t xml:space="preserve">Open Risks</w:t>
      </w:r>
    </w:p>
    <w:p>
      <w:pPr>
        <w:pStyle w:val="ListParagraph"/>
        <w:numPr>
          <w:ilvl w:val="0"/>
          <w:numId w:val="1"/>
        </w:numPr>
      </w:pPr>
      <w:r>
        <w:t xml:space="preserve">Some institutional clients still require custom monthly reporting packages.</w:t>
      </w:r>
    </w:p>
    <w:p>
      <w:pPr>
        <w:pStyle w:val="ListParagraph"/>
        <w:numPr>
          <w:ilvl w:val="0"/>
          <w:numId w:val="1"/>
        </w:numPr>
      </w:pPr>
      <w:r>
        <w:t xml:space="preserve">Backup signer rotations are not consistently documented for all funds.</w:t>
      </w:r>
    </w:p>
    <w:p>
      <w:pPr>
        <w:pStyle w:val="ListParagraph"/>
        <w:numPr>
          <w:ilvl w:val="0"/>
          <w:numId w:val="1"/>
        </w:numPr>
      </w:pPr>
      <w:r>
        <w:t xml:space="preserve">Expansion into tokenized fund servicing requires clearer escalation runbooks.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2026-06-07T22:06:27.083Z</dcterms:created>
  <dcterms:modified xsi:type="dcterms:W3CDTF">2026-06-07T22:06:27.083Z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