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PROPOSAL INOVASI PELAYANAN PUBLIK</w:t>
      </w:r>
    </w:p>
    <w:p>
      <w:pPr>
        <w:pStyle w:val="Title"/>
        <w:jc w:val="left"/>
      </w:pPr>
      <w:r>
        <w:t>PESTA BPS Musi Rawas</w:t>
      </w:r>
    </w:p>
    <w:p>
      <w:r>
        <w:rPr>
          <w:rFonts w:ascii="Aptos" w:hAnsi="Aptos"/>
          <w:b/>
          <w:color w:val="1F6EAC"/>
          <w:sz w:val="28"/>
        </w:rPr>
        <w:t>Pelayanan Statistik Multikanal Inklusif BPS Kabupaten Musi Rawas</w:t>
      </w:r>
    </w:p>
    <w:p>
      <w:r>
        <w:rPr>
          <w:rFonts w:ascii="Aptos" w:hAnsi="Aptos"/>
          <w:b/>
          <w:color w:val="138A8A"/>
          <w:sz w:val="22"/>
        </w:rPr>
        <w:t>Versi berbasis bukti</w:t>
      </w:r>
    </w:p>
    <w:p>
      <w:pPr>
        <w:spacing w:before="280"/>
      </w:pPr>
      <w:r>
        <w:rPr>
          <w:rFonts w:ascii="Aptos" w:hAnsi="Aptos"/>
          <w:b w:val="0"/>
          <w:color w:val="15375A"/>
          <w:sz w:val="20"/>
        </w:rPr>
        <w:t>Menggambarkan fitur yang dapat dibuktikan pada repositori dan tidak menghitung Dashboard Data, Sinta, atau AI Beregam sebagai capaian operasional.</w:t>
      </w:r>
    </w:p>
    <w:tbl>
      <w:tblPr>
        <w:tblW w:type="auto" w:w="0"/>
        <w:jc w:val="left"/>
        <w:tblLayout w:type="fixed"/>
        <w:tblLook w:firstColumn="1" w:firstRow="1" w:lastColumn="0" w:lastRow="0" w:noHBand="0" w:noVBand="1" w:val="04A0"/>
      </w:tblPr>
      <w:tblGrid>
        <w:gridCol w:w="2381"/>
        <w:gridCol w:w="6633"/>
      </w:tblGrid>
      <w:tr>
        <w:tc>
          <w:tcPr>
            <w:tcW w:type="dxa" w:w="4933"/>
            <w:shd w:fill="EAF4FB"/>
            <w:tcMar>
              <w:top w:w="100" w:type="dxa"/>
              <w:start w:w="120" w:type="dxa"/>
              <w:bottom w:w="100" w:type="dxa"/>
              <w:end w:w="120" w:type="dxa"/>
            </w:tcMar>
            <w:vAlign w:val="center"/>
          </w:tcPr>
          <w:p>
            <w:r>
              <w:rPr>
                <w:rFonts w:ascii="Aptos" w:hAnsi="Aptos"/>
                <w:b/>
                <w:color w:val="1F6EAC"/>
                <w:sz w:val="18"/>
              </w:rPr>
              <w:t>Instansi</w:t>
            </w:r>
          </w:p>
        </w:tc>
        <w:tc>
          <w:tcPr>
            <w:tcW w:type="dxa" w:w="4933"/>
            <w:shd w:fill="FFFFFF"/>
            <w:tcMar>
              <w:top w:w="100" w:type="dxa"/>
              <w:start w:w="120" w:type="dxa"/>
              <w:bottom w:w="100" w:type="dxa"/>
              <w:end w:w="120" w:type="dxa"/>
            </w:tcMar>
            <w:vAlign w:val="center"/>
          </w:tcPr>
          <w:p>
            <w:r>
              <w:rPr>
                <w:rFonts w:ascii="Aptos" w:hAnsi="Aptos"/>
                <w:b w:val="0"/>
                <w:color w:val="15375A"/>
                <w:sz w:val="18"/>
              </w:rPr>
              <w:t>Badan Pusat Statistik</w:t>
            </w:r>
          </w:p>
        </w:tc>
      </w:tr>
      <w:tr>
        <w:tc>
          <w:tcPr>
            <w:tcW w:type="dxa" w:w="4933"/>
            <w:shd w:fill="EAF4FB"/>
            <w:tcMar>
              <w:top w:w="100" w:type="dxa"/>
              <w:start w:w="120" w:type="dxa"/>
              <w:bottom w:w="100" w:type="dxa"/>
              <w:end w:w="120" w:type="dxa"/>
            </w:tcMar>
            <w:vAlign w:val="center"/>
          </w:tcPr>
          <w:p>
            <w:r>
              <w:rPr>
                <w:rFonts w:ascii="Aptos" w:hAnsi="Aptos"/>
                <w:b/>
                <w:color w:val="1F6EAC"/>
                <w:sz w:val="18"/>
              </w:rPr>
              <w:t>Unit</w:t>
            </w:r>
          </w:p>
        </w:tc>
        <w:tc>
          <w:tcPr>
            <w:tcW w:type="dxa" w:w="4933"/>
            <w:shd w:fill="FFFFFF"/>
            <w:tcMar>
              <w:top w:w="100" w:type="dxa"/>
              <w:start w:w="120" w:type="dxa"/>
              <w:bottom w:w="100" w:type="dxa"/>
              <w:end w:w="120" w:type="dxa"/>
            </w:tcMar>
            <w:vAlign w:val="center"/>
          </w:tcPr>
          <w:p>
            <w:r>
              <w:rPr>
                <w:rFonts w:ascii="Aptos" w:hAnsi="Aptos"/>
                <w:b w:val="0"/>
                <w:color w:val="15375A"/>
                <w:sz w:val="18"/>
              </w:rPr>
              <w:t>BPS Kabupaten Musi Rawas</w:t>
            </w:r>
          </w:p>
        </w:tc>
      </w:tr>
      <w:tr>
        <w:tc>
          <w:tcPr>
            <w:tcW w:type="dxa" w:w="4933"/>
            <w:shd w:fill="EAF4FB"/>
            <w:tcMar>
              <w:top w:w="100" w:type="dxa"/>
              <w:start w:w="120" w:type="dxa"/>
              <w:bottom w:w="100" w:type="dxa"/>
              <w:end w:w="120" w:type="dxa"/>
            </w:tcMar>
            <w:vAlign w:val="center"/>
          </w:tcPr>
          <w:p>
            <w:r>
              <w:rPr>
                <w:rFonts w:ascii="Aptos" w:hAnsi="Aptos"/>
                <w:b/>
                <w:color w:val="1F6EAC"/>
                <w:sz w:val="18"/>
              </w:rPr>
              <w:t>Tanggal dokumen</w:t>
            </w:r>
          </w:p>
        </w:tc>
        <w:tc>
          <w:tcPr>
            <w:tcW w:type="dxa" w:w="4933"/>
            <w:shd w:fill="FFFFFF"/>
            <w:tcMar>
              <w:top w:w="100" w:type="dxa"/>
              <w:start w:w="120" w:type="dxa"/>
              <w:bottom w:w="100" w:type="dxa"/>
              <w:end w:w="120" w:type="dxa"/>
            </w:tcMar>
            <w:vAlign w:val="center"/>
          </w:tcPr>
          <w:p>
            <w:r>
              <w:rPr>
                <w:rFonts w:ascii="Aptos" w:hAnsi="Aptos"/>
                <w:b w:val="0"/>
                <w:color w:val="15375A"/>
                <w:sz w:val="18"/>
              </w:rPr>
              <w:t>16 September 2026</w:t>
            </w:r>
          </w:p>
        </w:tc>
      </w:tr>
    </w:tbl>
    <w:p/>
    <w:tbl>
      <w:tblPr>
        <w:tblW w:type="auto" w:w="0"/>
        <w:jc w:val="left"/>
        <w:tblLook w:firstColumn="1" w:firstRow="1" w:lastColumn="0" w:lastRow="0" w:noHBand="0" w:noVBand="1" w:val="04A0"/>
      </w:tblPr>
      <w:tblGrid>
        <w:gridCol w:w="9866"/>
      </w:tblGrid>
      <w:tr>
        <w:tc>
          <w:tcPr>
            <w:tcW w:type="dxa" w:w="9866"/>
            <w:shd w:fill="FFF4D6"/>
            <w:tcMar>
              <w:top w:w="170" w:type="dxa"/>
              <w:start w:w="180" w:type="dxa"/>
              <w:bottom w:w="170" w:type="dxa"/>
              <w:end w:w="180" w:type="dxa"/>
            </w:tcMar>
          </w:tcPr>
          <w:p>
            <w:r>
              <w:rPr>
                <w:rFonts w:ascii="Aptos" w:hAnsi="Aptos"/>
                <w:b/>
                <w:color w:val="A92D2D"/>
                <w:sz w:val="20"/>
              </w:rPr>
              <w:t>Pemeriksaan kelayakan wajib sebelum pengiriman</w:t>
            </w:r>
          </w:p>
          <w:p>
            <w:pPr>
              <w:spacing w:after="0"/>
            </w:pPr>
            <w:r>
              <w:t>KIPP PRO Tematik 2026 bertema Pelayanan Inklusif pada Fase Kelahiran, ditujukan kepada pemerintah daerah, dan mensyaratkan usia implementasi sedikitnya tiga tahun pada batas pendaftaran. PESTA berada pada BPS Kabupaten dan mulai pada Juni 2024. Berdasarkan data ini, terdapat risiko ketidaksesuaian peserta, tema, dan usia inovasi. Tim wajib memperoleh konfirmasi tertulis dari penyelenggara sebelum mengirim. Tanggal mulai tidak boleh dimundurkan atau diubah untuk memenuhi syarat. Dokumen ini tetap dapat digunakan sebagai proposal inovasi umum atau disesuaikan untuk ajang yang menerima instansi vertikal dan usia implementasi PESTA.</w:t>
            </w:r>
          </w:p>
        </w:tc>
      </w:tr>
    </w:tbl>
    <w:p>
      <w:r>
        <w:br w:type="page"/>
      </w:r>
    </w:p>
    <w:p>
      <w:pPr>
        <w:pStyle w:val="Heading1"/>
      </w:pPr>
      <w:r>
        <w:t>Profil dan pilihan pada SINOVIK</w:t>
      </w:r>
    </w:p>
    <w:tbl>
      <w:tblPr>
        <w:tblStyle w:val="TableGrid"/>
        <w:tblW w:type="auto" w:w="0"/>
        <w:jc w:val="left"/>
        <w:tblLayout w:type="fixed"/>
        <w:tblLook w:firstColumn="1" w:firstRow="1" w:lastColumn="0" w:lastRow="0" w:noHBand="0" w:noVBand="1" w:val="04A0"/>
      </w:tblPr>
      <w:tblGrid>
        <w:gridCol w:w="4933"/>
        <w:gridCol w:w="4933"/>
      </w:tblGrid>
      <w:tr>
        <w:trPr>
          <w:tblHeader w:val="true"/>
        </w:trPr>
        <w:tc>
          <w:tcPr>
            <w:tcW w:type="dxa" w:w="2551"/>
            <w:shd w:fill="15375A"/>
            <w:tcMar>
              <w:top w:w="100" w:type="dxa"/>
              <w:start w:w="120" w:type="dxa"/>
              <w:bottom w:w="100" w:type="dxa"/>
              <w:end w:w="120" w:type="dxa"/>
            </w:tcMar>
          </w:tcPr>
          <w:p>
            <w:r>
              <w:rPr>
                <w:rFonts w:ascii="Aptos" w:hAnsi="Aptos"/>
                <w:b/>
                <w:color w:val="FFFFFF"/>
                <w:sz w:val="17"/>
              </w:rPr>
              <w:t>Isian</w:t>
            </w:r>
          </w:p>
        </w:tc>
        <w:tc>
          <w:tcPr>
            <w:tcW w:type="dxa" w:w="6803"/>
            <w:shd w:fill="15375A"/>
            <w:tcMar>
              <w:top w:w="100" w:type="dxa"/>
              <w:start w:w="120" w:type="dxa"/>
              <w:bottom w:w="100" w:type="dxa"/>
              <w:end w:w="120" w:type="dxa"/>
            </w:tcMar>
          </w:tcPr>
          <w:p>
            <w:r>
              <w:rPr>
                <w:rFonts w:ascii="Aptos" w:hAnsi="Aptos"/>
                <w:b/>
                <w:color w:val="FFFFFF"/>
                <w:sz w:val="17"/>
              </w:rPr>
              <w:t>Rekomendasi</w:t>
            </w:r>
          </w:p>
        </w:tc>
      </w:tr>
      <w:tr>
        <w:trPr>
          <w:cantSplit/>
        </w:trPr>
        <w:tc>
          <w:tcPr>
            <w:tcW w:type="dxa" w:w="2551"/>
            <w:tcMar>
              <w:top w:w="100" w:type="dxa"/>
              <w:start w:w="120" w:type="dxa"/>
              <w:bottom w:w="100" w:type="dxa"/>
              <w:end w:w="120" w:type="dxa"/>
            </w:tcMar>
          </w:tcPr>
          <w:p>
            <w:r>
              <w:rPr>
                <w:rFonts w:ascii="Aptos" w:hAnsi="Aptos"/>
                <w:b w:val="0"/>
                <w:color w:val="15375A"/>
                <w:sz w:val="16"/>
              </w:rPr>
              <w:t>Judul inovasi</w:t>
            </w:r>
          </w:p>
        </w:tc>
        <w:tc>
          <w:tcPr>
            <w:tcW w:type="dxa" w:w="6803"/>
            <w:tcMar>
              <w:top w:w="100" w:type="dxa"/>
              <w:start w:w="120" w:type="dxa"/>
              <w:bottom w:w="100" w:type="dxa"/>
              <w:end w:w="120" w:type="dxa"/>
            </w:tcMar>
          </w:tcPr>
          <w:p>
            <w:r>
              <w:rPr>
                <w:rFonts w:ascii="Aptos" w:hAnsi="Aptos"/>
                <w:b w:val="0"/>
                <w:color w:val="15375A"/>
                <w:sz w:val="16"/>
              </w:rPr>
              <w:t>PESTA BPS Musi Rawas</w:t>
            </w:r>
          </w:p>
        </w:tc>
      </w:tr>
      <w:tr>
        <w:trPr>
          <w:cantSplit/>
        </w:trPr>
        <w:tc>
          <w:tcPr>
            <w:tcW w:type="dxa" w:w="2551"/>
            <w:tcMar>
              <w:top w:w="100" w:type="dxa"/>
              <w:start w:w="120" w:type="dxa"/>
              <w:bottom w:w="100" w:type="dxa"/>
              <w:end w:w="120" w:type="dxa"/>
            </w:tcMar>
            <w:shd w:fill="F4F6F8"/>
          </w:tcPr>
          <w:p>
            <w:r>
              <w:rPr>
                <w:rFonts w:ascii="Aptos" w:hAnsi="Aptos"/>
                <w:b w:val="0"/>
                <w:color w:val="15375A"/>
                <w:sz w:val="16"/>
              </w:rPr>
              <w:t>Subjudul</w:t>
            </w:r>
          </w:p>
        </w:tc>
        <w:tc>
          <w:tcPr>
            <w:tcW w:type="dxa" w:w="6803"/>
            <w:tcMar>
              <w:top w:w="100" w:type="dxa"/>
              <w:start w:w="120" w:type="dxa"/>
              <w:bottom w:w="100" w:type="dxa"/>
              <w:end w:w="120" w:type="dxa"/>
            </w:tcMar>
            <w:shd w:fill="F4F6F8"/>
          </w:tcPr>
          <w:p>
            <w:r>
              <w:rPr>
                <w:rFonts w:ascii="Aptos" w:hAnsi="Aptos"/>
                <w:b w:val="0"/>
                <w:color w:val="15375A"/>
                <w:sz w:val="16"/>
              </w:rPr>
              <w:t>Pelayanan Statistik Multikanal Inklusif BPS Kabupaten Musi Rawas</w:t>
            </w:r>
          </w:p>
        </w:tc>
      </w:tr>
      <w:tr>
        <w:trPr>
          <w:cantSplit/>
        </w:trPr>
        <w:tc>
          <w:tcPr>
            <w:tcW w:type="dxa" w:w="2551"/>
            <w:tcMar>
              <w:top w:w="100" w:type="dxa"/>
              <w:start w:w="120" w:type="dxa"/>
              <w:bottom w:w="100" w:type="dxa"/>
              <w:end w:w="120" w:type="dxa"/>
            </w:tcMar>
          </w:tcPr>
          <w:p>
            <w:r>
              <w:rPr>
                <w:rFonts w:ascii="Aptos" w:hAnsi="Aptos"/>
                <w:b w:val="0"/>
                <w:color w:val="15375A"/>
                <w:sz w:val="16"/>
              </w:rPr>
              <w:t>Instansi</w:t>
            </w:r>
          </w:p>
        </w:tc>
        <w:tc>
          <w:tcPr>
            <w:tcW w:type="dxa" w:w="6803"/>
            <w:tcMar>
              <w:top w:w="100" w:type="dxa"/>
              <w:start w:w="120" w:type="dxa"/>
              <w:bottom w:w="100" w:type="dxa"/>
              <w:end w:w="120" w:type="dxa"/>
            </w:tcMar>
          </w:tcPr>
          <w:p>
            <w:r>
              <w:rPr>
                <w:rFonts w:ascii="Aptos" w:hAnsi="Aptos"/>
                <w:b w:val="0"/>
                <w:color w:val="15375A"/>
                <w:sz w:val="16"/>
              </w:rPr>
              <w:t>Badan Pusat Statistik</w:t>
            </w:r>
          </w:p>
        </w:tc>
      </w:tr>
      <w:tr>
        <w:trPr>
          <w:cantSplit/>
        </w:trPr>
        <w:tc>
          <w:tcPr>
            <w:tcW w:type="dxa" w:w="2551"/>
            <w:tcMar>
              <w:top w:w="100" w:type="dxa"/>
              <w:start w:w="120" w:type="dxa"/>
              <w:bottom w:w="100" w:type="dxa"/>
              <w:end w:w="120" w:type="dxa"/>
            </w:tcMar>
            <w:shd w:fill="F4F6F8"/>
          </w:tcPr>
          <w:p>
            <w:r>
              <w:rPr>
                <w:rFonts w:ascii="Aptos" w:hAnsi="Aptos"/>
                <w:b w:val="0"/>
                <w:color w:val="15375A"/>
                <w:sz w:val="16"/>
              </w:rPr>
              <w:t>OPP</w:t>
            </w:r>
          </w:p>
        </w:tc>
        <w:tc>
          <w:tcPr>
            <w:tcW w:type="dxa" w:w="6803"/>
            <w:tcMar>
              <w:top w:w="100" w:type="dxa"/>
              <w:start w:w="120" w:type="dxa"/>
              <w:bottom w:w="100" w:type="dxa"/>
              <w:end w:w="120" w:type="dxa"/>
            </w:tcMar>
            <w:shd w:fill="F4F6F8"/>
          </w:tcPr>
          <w:p>
            <w:r>
              <w:rPr>
                <w:rFonts w:ascii="Aptos" w:hAnsi="Aptos"/>
                <w:b w:val="0"/>
                <w:color w:val="15375A"/>
                <w:sz w:val="16"/>
              </w:rPr>
              <w:t>BPS Kabupaten Musi Rawas</w:t>
            </w:r>
          </w:p>
        </w:tc>
      </w:tr>
      <w:tr>
        <w:trPr>
          <w:cantSplit/>
        </w:trPr>
        <w:tc>
          <w:tcPr>
            <w:tcW w:type="dxa" w:w="2551"/>
            <w:tcMar>
              <w:top w:w="100" w:type="dxa"/>
              <w:start w:w="120" w:type="dxa"/>
              <w:bottom w:w="100" w:type="dxa"/>
              <w:end w:w="120" w:type="dxa"/>
            </w:tcMar>
          </w:tcPr>
          <w:p>
            <w:r>
              <w:rPr>
                <w:rFonts w:ascii="Aptos" w:hAnsi="Aptos"/>
                <w:b w:val="0"/>
                <w:color w:val="15375A"/>
                <w:sz w:val="16"/>
              </w:rPr>
              <w:t>Kategori inovasi</w:t>
            </w:r>
          </w:p>
        </w:tc>
        <w:tc>
          <w:tcPr>
            <w:tcW w:type="dxa" w:w="6803"/>
            <w:tcMar>
              <w:top w:w="100" w:type="dxa"/>
              <w:start w:w="120" w:type="dxa"/>
              <w:bottom w:w="100" w:type="dxa"/>
              <w:end w:w="120" w:type="dxa"/>
            </w:tcMar>
          </w:tcPr>
          <w:p>
            <w:r>
              <w:rPr>
                <w:rFonts w:ascii="Aptos" w:hAnsi="Aptos"/>
                <w:b w:val="0"/>
                <w:color w:val="15375A"/>
                <w:sz w:val="16"/>
              </w:rPr>
              <w:t>Multikanal layanan</w:t>
            </w:r>
          </w:p>
        </w:tc>
      </w:tr>
      <w:tr>
        <w:trPr>
          <w:cantSplit/>
        </w:trPr>
        <w:tc>
          <w:tcPr>
            <w:tcW w:type="dxa" w:w="2551"/>
            <w:tcMar>
              <w:top w:w="100" w:type="dxa"/>
              <w:start w:w="120" w:type="dxa"/>
              <w:bottom w:w="100" w:type="dxa"/>
              <w:end w:w="120" w:type="dxa"/>
            </w:tcMar>
            <w:shd w:fill="F4F6F8"/>
          </w:tcPr>
          <w:p>
            <w:r>
              <w:rPr>
                <w:rFonts w:ascii="Aptos" w:hAnsi="Aptos"/>
                <w:b w:val="0"/>
                <w:color w:val="15375A"/>
                <w:sz w:val="16"/>
              </w:rPr>
              <w:t>Jenis inovasi</w:t>
            </w:r>
          </w:p>
        </w:tc>
        <w:tc>
          <w:tcPr>
            <w:tcW w:type="dxa" w:w="6803"/>
            <w:tcMar>
              <w:top w:w="100" w:type="dxa"/>
              <w:start w:w="120" w:type="dxa"/>
              <w:bottom w:w="100" w:type="dxa"/>
              <w:end w:w="120" w:type="dxa"/>
            </w:tcMar>
            <w:shd w:fill="F4F6F8"/>
          </w:tcPr>
          <w:p>
            <w:r>
              <w:rPr>
                <w:rFonts w:ascii="Aptos" w:hAnsi="Aptos"/>
                <w:b w:val="0"/>
                <w:color w:val="15375A"/>
                <w:sz w:val="16"/>
              </w:rPr>
              <w:t>Inovasi Digital</w:t>
            </w:r>
          </w:p>
        </w:tc>
      </w:tr>
      <w:tr>
        <w:trPr>
          <w:cantSplit/>
        </w:trPr>
        <w:tc>
          <w:tcPr>
            <w:tcW w:type="dxa" w:w="2551"/>
            <w:tcMar>
              <w:top w:w="100" w:type="dxa"/>
              <w:start w:w="120" w:type="dxa"/>
              <w:bottom w:w="100" w:type="dxa"/>
              <w:end w:w="120" w:type="dxa"/>
            </w:tcMar>
          </w:tcPr>
          <w:p>
            <w:r>
              <w:rPr>
                <w:rFonts w:ascii="Aptos" w:hAnsi="Aptos"/>
                <w:b w:val="0"/>
                <w:color w:val="15375A"/>
                <w:sz w:val="16"/>
              </w:rPr>
              <w:t>Sektor/urusan</w:t>
            </w:r>
          </w:p>
        </w:tc>
        <w:tc>
          <w:tcPr>
            <w:tcW w:type="dxa" w:w="6803"/>
            <w:tcMar>
              <w:top w:w="100" w:type="dxa"/>
              <w:start w:w="120" w:type="dxa"/>
              <w:bottom w:w="100" w:type="dxa"/>
              <w:end w:w="120" w:type="dxa"/>
            </w:tcMar>
          </w:tcPr>
          <w:p>
            <w:r>
              <w:rPr>
                <w:rFonts w:ascii="Aptos" w:hAnsi="Aptos"/>
                <w:b w:val="0"/>
                <w:color w:val="15375A"/>
                <w:sz w:val="16"/>
              </w:rPr>
              <w:t>Statistik</w:t>
            </w:r>
          </w:p>
        </w:tc>
      </w:tr>
      <w:tr>
        <w:trPr>
          <w:cantSplit/>
        </w:trPr>
        <w:tc>
          <w:tcPr>
            <w:tcW w:type="dxa" w:w="2551"/>
            <w:tcMar>
              <w:top w:w="100" w:type="dxa"/>
              <w:start w:w="120" w:type="dxa"/>
              <w:bottom w:w="100" w:type="dxa"/>
              <w:end w:w="120" w:type="dxa"/>
            </w:tcMar>
            <w:shd w:fill="F4F6F8"/>
          </w:tcPr>
          <w:p>
            <w:r>
              <w:rPr>
                <w:rFonts w:ascii="Aptos" w:hAnsi="Aptos"/>
                <w:b w:val="0"/>
                <w:color w:val="15375A"/>
                <w:sz w:val="16"/>
              </w:rPr>
              <w:t>Waktu mulai implementasi</w:t>
            </w:r>
          </w:p>
        </w:tc>
        <w:tc>
          <w:tcPr>
            <w:tcW w:type="dxa" w:w="6803"/>
            <w:tcMar>
              <w:top w:w="100" w:type="dxa"/>
              <w:start w:w="120" w:type="dxa"/>
              <w:bottom w:w="100" w:type="dxa"/>
              <w:end w:w="120" w:type="dxa"/>
            </w:tcMar>
            <w:shd w:fill="F4F6F8"/>
          </w:tcPr>
          <w:p>
            <w:r>
              <w:rPr>
                <w:rFonts w:ascii="Aptos" w:hAnsi="Aptos"/>
                <w:b w:val="0"/>
                <w:color w:val="15375A"/>
                <w:sz w:val="16"/>
              </w:rPr>
              <w:t>Juni 2024; tanggal spesifik wajib disamakan dengan bukti implementasi</w:t>
            </w:r>
          </w:p>
        </w:tc>
      </w:tr>
      <w:tr>
        <w:trPr>
          <w:cantSplit/>
        </w:trPr>
        <w:tc>
          <w:tcPr>
            <w:tcW w:type="dxa" w:w="2551"/>
            <w:tcMar>
              <w:top w:w="100" w:type="dxa"/>
              <w:start w:w="120" w:type="dxa"/>
              <w:bottom w:w="100" w:type="dxa"/>
              <w:end w:w="120" w:type="dxa"/>
            </w:tcMar>
          </w:tcPr>
          <w:p>
            <w:r>
              <w:rPr>
                <w:rFonts w:ascii="Aptos" w:hAnsi="Aptos"/>
                <w:b w:val="0"/>
                <w:color w:val="15375A"/>
                <w:sz w:val="16"/>
              </w:rPr>
              <w:t>Lokasi</w:t>
            </w:r>
          </w:p>
        </w:tc>
        <w:tc>
          <w:tcPr>
            <w:tcW w:type="dxa" w:w="6803"/>
            <w:tcMar>
              <w:top w:w="100" w:type="dxa"/>
              <w:start w:w="120" w:type="dxa"/>
              <w:bottom w:w="100" w:type="dxa"/>
              <w:end w:w="120" w:type="dxa"/>
            </w:tcMar>
          </w:tcPr>
          <w:p>
            <w:r>
              <w:rPr>
                <w:rFonts w:ascii="Aptos" w:hAnsi="Aptos"/>
                <w:b w:val="0"/>
                <w:color w:val="15375A"/>
                <w:sz w:val="16"/>
              </w:rPr>
              <w:t>Kantor BPS Kabupaten Musi Rawas; koordinat wajib diisi dari titik resmi</w:t>
            </w:r>
          </w:p>
        </w:tc>
      </w:tr>
      <w:tr>
        <w:trPr>
          <w:cantSplit/>
        </w:trPr>
        <w:tc>
          <w:tcPr>
            <w:tcW w:type="dxa" w:w="2551"/>
            <w:tcMar>
              <w:top w:w="100" w:type="dxa"/>
              <w:start w:w="120" w:type="dxa"/>
              <w:bottom w:w="100" w:type="dxa"/>
              <w:end w:w="120" w:type="dxa"/>
            </w:tcMar>
            <w:shd w:fill="F4F6F8"/>
          </w:tcPr>
          <w:p>
            <w:r>
              <w:rPr>
                <w:rFonts w:ascii="Aptos" w:hAnsi="Aptos"/>
                <w:b w:val="0"/>
                <w:color w:val="15375A"/>
                <w:sz w:val="16"/>
              </w:rPr>
              <w:t>Identitas inovator</w:t>
            </w:r>
          </w:p>
        </w:tc>
        <w:tc>
          <w:tcPr>
            <w:tcW w:type="dxa" w:w="6803"/>
            <w:tcMar>
              <w:top w:w="100" w:type="dxa"/>
              <w:start w:w="120" w:type="dxa"/>
              <w:bottom w:w="100" w:type="dxa"/>
              <w:end w:w="120" w:type="dxa"/>
            </w:tcMar>
            <w:shd w:fill="F4F6F8"/>
          </w:tcPr>
          <w:p>
            <w:r>
              <w:rPr>
                <w:rFonts w:ascii="Aptos" w:hAnsi="Aptos"/>
                <w:b w:val="0"/>
                <w:color w:val="15375A"/>
                <w:sz w:val="16"/>
              </w:rPr>
              <w:t>Wajib diisi nama dan NIP/NRP sesuai surat penugasan</w:t>
            </w:r>
          </w:p>
        </w:tc>
      </w:tr>
      <w:tr>
        <w:trPr>
          <w:cantSplit/>
        </w:trPr>
        <w:tc>
          <w:tcPr>
            <w:tcW w:type="dxa" w:w="2551"/>
            <w:tcMar>
              <w:top w:w="100" w:type="dxa"/>
              <w:start w:w="120" w:type="dxa"/>
              <w:bottom w:w="100" w:type="dxa"/>
              <w:end w:w="120" w:type="dxa"/>
            </w:tcMar>
          </w:tcPr>
          <w:p>
            <w:r>
              <w:rPr>
                <w:rFonts w:ascii="Aptos" w:hAnsi="Aptos"/>
                <w:b w:val="0"/>
                <w:color w:val="15375A"/>
                <w:sz w:val="16"/>
              </w:rPr>
              <w:t>Video inovasi</w:t>
            </w:r>
          </w:p>
        </w:tc>
        <w:tc>
          <w:tcPr>
            <w:tcW w:type="dxa" w:w="6803"/>
            <w:tcMar>
              <w:top w:w="100" w:type="dxa"/>
              <w:start w:w="120" w:type="dxa"/>
              <w:bottom w:w="100" w:type="dxa"/>
              <w:end w:w="120" w:type="dxa"/>
            </w:tcMar>
          </w:tcPr>
          <w:p>
            <w:r>
              <w:rPr>
                <w:rFonts w:ascii="Aptos" w:hAnsi="Aptos"/>
                <w:b w:val="0"/>
                <w:color w:val="15375A"/>
                <w:sz w:val="16"/>
              </w:rPr>
              <w:t>Wajib diisi URL video yang dapat diakses penilai</w:t>
            </w:r>
          </w:p>
        </w:tc>
      </w:tr>
    </w:tbl>
    <w:p>
      <w:pPr>
        <w:spacing w:after="0"/>
      </w:pPr>
    </w:p>
    <w:p>
      <w:pPr>
        <w:pStyle w:val="Heading1"/>
      </w:pPr>
      <w:r>
        <w:t>Pilihan SDGs dan Asta Cita</w:t>
      </w:r>
    </w:p>
    <w:p>
      <w:r>
        <w:rPr>
          <w:rFonts w:ascii="Aptos" w:hAnsi="Aptos"/>
          <w:b/>
          <w:color w:val="15375A"/>
          <w:sz w:val="20"/>
        </w:rPr>
        <w:t xml:space="preserve">Pilihan utama yang disarankan: </w:t>
      </w:r>
      <w:r>
        <w:t>SDG 10, SDG 16, dan Asta Cita 4. SDG 9 serta Asta Cita 7 digunakan sebagai dukungan bila SINOVIK mengizinkan lebih dari satu pilihan dan bukti implementasi tersedia. SDG 17 tidak dipilih tanpa bukti kemitraan yang terukur.</w:t>
      </w:r>
    </w:p>
    <w:tbl>
      <w:tblPr>
        <w:tblStyle w:val="TableGrid"/>
        <w:tblW w:type="auto" w:w="0"/>
        <w:jc w:val="left"/>
        <w:tblLayout w:type="fixed"/>
        <w:tblLook w:firstColumn="1" w:firstRow="1" w:lastColumn="0" w:lastRow="0" w:noHBand="0" w:noVBand="1" w:val="04A0"/>
      </w:tblPr>
      <w:tblGrid>
        <w:gridCol w:w="2466"/>
        <w:gridCol w:w="2466"/>
        <w:gridCol w:w="2466"/>
        <w:gridCol w:w="2466"/>
      </w:tblGrid>
      <w:tr>
        <w:trPr>
          <w:tblHeader w:val="true"/>
        </w:trPr>
        <w:tc>
          <w:tcPr>
            <w:tcW w:type="dxa" w:w="1871"/>
            <w:shd w:fill="15375A"/>
            <w:tcMar>
              <w:top w:w="100" w:type="dxa"/>
              <w:start w:w="120" w:type="dxa"/>
              <w:bottom w:w="100" w:type="dxa"/>
              <w:end w:w="120" w:type="dxa"/>
            </w:tcMar>
          </w:tcPr>
          <w:p>
            <w:r>
              <w:rPr>
                <w:rFonts w:ascii="Aptos" w:hAnsi="Aptos"/>
                <w:b/>
                <w:color w:val="FFFFFF"/>
                <w:sz w:val="17"/>
              </w:rPr>
              <w:t>Kerangka</w:t>
            </w:r>
          </w:p>
        </w:tc>
        <w:tc>
          <w:tcPr>
            <w:tcW w:type="dxa" w:w="2551"/>
            <w:shd w:fill="15375A"/>
            <w:tcMar>
              <w:top w:w="100" w:type="dxa"/>
              <w:start w:w="120" w:type="dxa"/>
              <w:bottom w:w="100" w:type="dxa"/>
              <w:end w:w="120" w:type="dxa"/>
            </w:tcMar>
          </w:tcPr>
          <w:p>
            <w:r>
              <w:rPr>
                <w:rFonts w:ascii="Aptos" w:hAnsi="Aptos"/>
                <w:b/>
                <w:color w:val="FFFFFF"/>
                <w:sz w:val="17"/>
              </w:rPr>
              <w:t>Keterkaitan</w:t>
            </w:r>
          </w:p>
        </w:tc>
        <w:tc>
          <w:tcPr>
            <w:tcW w:type="dxa" w:w="2721"/>
            <w:shd w:fill="15375A"/>
            <w:tcMar>
              <w:top w:w="100" w:type="dxa"/>
              <w:start w:w="120" w:type="dxa"/>
              <w:bottom w:w="100" w:type="dxa"/>
              <w:end w:w="120" w:type="dxa"/>
            </w:tcMar>
          </w:tcPr>
          <w:p>
            <w:r>
              <w:rPr>
                <w:rFonts w:ascii="Aptos" w:hAnsi="Aptos"/>
                <w:b/>
                <w:color w:val="FFFFFF"/>
                <w:sz w:val="17"/>
              </w:rPr>
              <w:t>Fitur PESTA</w:t>
            </w:r>
          </w:p>
        </w:tc>
        <w:tc>
          <w:tcPr>
            <w:tcW w:type="dxa" w:w="2381"/>
            <w:shd w:fill="15375A"/>
            <w:tcMar>
              <w:top w:w="100" w:type="dxa"/>
              <w:start w:w="120" w:type="dxa"/>
              <w:bottom w:w="100" w:type="dxa"/>
              <w:end w:w="120" w:type="dxa"/>
            </w:tcMar>
          </w:tcPr>
          <w:p>
            <w:r>
              <w:rPr>
                <w:rFonts w:ascii="Aptos" w:hAnsi="Aptos"/>
                <w:b/>
                <w:color w:val="FFFFFF"/>
                <w:sz w:val="17"/>
              </w:rPr>
              <w:t>Bukti</w:t>
            </w:r>
          </w:p>
        </w:tc>
      </w:tr>
      <w:tr>
        <w:trPr>
          <w:cantSplit/>
        </w:trPr>
        <w:tc>
          <w:tcPr>
            <w:tcW w:type="dxa" w:w="1871"/>
            <w:tcMar>
              <w:top w:w="100" w:type="dxa"/>
              <w:start w:w="120" w:type="dxa"/>
              <w:bottom w:w="100" w:type="dxa"/>
              <w:end w:w="120" w:type="dxa"/>
            </w:tcMar>
          </w:tcPr>
          <w:p>
            <w:r>
              <w:rPr>
                <w:rFonts w:ascii="Aptos" w:hAnsi="Aptos"/>
                <w:b w:val="0"/>
                <w:color w:val="15375A"/>
                <w:sz w:val="16"/>
              </w:rPr>
              <w:t>SDG 10 Berkurangnya Kesenjangan</w:t>
            </w:r>
          </w:p>
        </w:tc>
        <w:tc>
          <w:tcPr>
            <w:tcW w:type="dxa" w:w="2551"/>
            <w:tcMar>
              <w:top w:w="100" w:type="dxa"/>
              <w:start w:w="120" w:type="dxa"/>
              <w:bottom w:w="100" w:type="dxa"/>
              <w:end w:w="120" w:type="dxa"/>
            </w:tcMar>
          </w:tcPr>
          <w:p>
            <w:r>
              <w:rPr>
                <w:rFonts w:ascii="Aptos" w:hAnsi="Aptos"/>
                <w:b w:val="0"/>
                <w:color w:val="15375A"/>
                <w:sz w:val="16"/>
              </w:rPr>
              <w:t>Target 10.2 mendorong inklusi sosial tanpa membedakan usia atau disabilitas.</w:t>
            </w:r>
          </w:p>
        </w:tc>
        <w:tc>
          <w:tcPr>
            <w:tcW w:type="dxa" w:w="2721"/>
            <w:tcMar>
              <w:top w:w="100" w:type="dxa"/>
              <w:start w:w="120" w:type="dxa"/>
              <w:bottom w:w="100" w:type="dxa"/>
              <w:end w:w="120" w:type="dxa"/>
            </w:tcMar>
          </w:tcPr>
          <w:p>
            <w:r>
              <w:rPr>
                <w:rFonts w:ascii="Aptos" w:hAnsi="Aptos"/>
                <w:b w:val="0"/>
                <w:color w:val="15375A"/>
                <w:sz w:val="16"/>
              </w:rPr>
              <w:t>Isian kebutuhan inklusif, penyesuaian aksesibilitas, dukungan petugas, dan layanan jarak jauh.</w:t>
            </w:r>
          </w:p>
        </w:tc>
        <w:tc>
          <w:tcPr>
            <w:tcW w:type="dxa" w:w="2381"/>
            <w:tcMar>
              <w:top w:w="100" w:type="dxa"/>
              <w:start w:w="120" w:type="dxa"/>
              <w:bottom w:w="100" w:type="dxa"/>
              <w:end w:w="120" w:type="dxa"/>
            </w:tcMar>
          </w:tcPr>
          <w:p>
            <w:r>
              <w:rPr>
                <w:rFonts w:ascii="Aptos" w:hAnsi="Aptos"/>
                <w:b w:val="0"/>
                <w:color w:val="15375A"/>
                <w:sz w:val="16"/>
              </w:rPr>
              <w:t>Log kebutuhan teragregasi, uji tugas aksesibilitas, bukti tindak lanjut.</w:t>
            </w:r>
          </w:p>
        </w:tc>
      </w:tr>
      <w:tr>
        <w:trPr>
          <w:cantSplit/>
        </w:trPr>
        <w:tc>
          <w:tcPr>
            <w:tcW w:type="dxa" w:w="1871"/>
            <w:tcMar>
              <w:top w:w="100" w:type="dxa"/>
              <w:start w:w="120" w:type="dxa"/>
              <w:bottom w:w="100" w:type="dxa"/>
              <w:end w:w="120" w:type="dxa"/>
            </w:tcMar>
            <w:shd w:fill="F4F6F8"/>
          </w:tcPr>
          <w:p>
            <w:r>
              <w:rPr>
                <w:rFonts w:ascii="Aptos" w:hAnsi="Aptos"/>
                <w:b w:val="0"/>
                <w:color w:val="15375A"/>
                <w:sz w:val="16"/>
              </w:rPr>
              <w:t>SDG 16 Perdamaian, Keadilan, dan Kelembagaan yang Tangguh</w:t>
            </w:r>
          </w:p>
        </w:tc>
        <w:tc>
          <w:tcPr>
            <w:tcW w:type="dxa" w:w="2551"/>
            <w:tcMar>
              <w:top w:w="100" w:type="dxa"/>
              <w:start w:w="120" w:type="dxa"/>
              <w:bottom w:w="100" w:type="dxa"/>
              <w:end w:w="120" w:type="dxa"/>
            </w:tcMar>
            <w:shd w:fill="F4F6F8"/>
          </w:tcPr>
          <w:p>
            <w:r>
              <w:rPr>
                <w:rFonts w:ascii="Aptos" w:hAnsi="Aptos"/>
                <w:b w:val="0"/>
                <w:color w:val="15375A"/>
                <w:sz w:val="16"/>
              </w:rPr>
              <w:t>Target 16.6, 16.7, dan 16.10 terkait lembaga efektif, keputusan responsif, serta akses informasi.</w:t>
            </w:r>
          </w:p>
        </w:tc>
        <w:tc>
          <w:tcPr>
            <w:tcW w:type="dxa" w:w="2721"/>
            <w:tcMar>
              <w:top w:w="100" w:type="dxa"/>
              <w:start w:w="120" w:type="dxa"/>
              <w:bottom w:w="100" w:type="dxa"/>
              <w:end w:w="120" w:type="dxa"/>
            </w:tcMar>
            <w:shd w:fill="F4F6F8"/>
          </w:tcPr>
          <w:p>
            <w:r>
              <w:rPr>
                <w:rFonts w:ascii="Aptos" w:hAnsi="Aptos"/>
                <w:b w:val="0"/>
                <w:color w:val="15375A"/>
                <w:sz w:val="16"/>
              </w:rPr>
              <w:t>Formulir terstruktur, pengaduan, jejak status, sumber data, dan kanal handoff.</w:t>
            </w:r>
          </w:p>
        </w:tc>
        <w:tc>
          <w:tcPr>
            <w:tcW w:type="dxa" w:w="2381"/>
            <w:tcMar>
              <w:top w:w="100" w:type="dxa"/>
              <w:start w:w="120" w:type="dxa"/>
              <w:bottom w:w="100" w:type="dxa"/>
              <w:end w:w="120" w:type="dxa"/>
            </w:tcMar>
            <w:shd w:fill="F4F6F8"/>
          </w:tcPr>
          <w:p>
            <w:r>
              <w:rPr>
                <w:rFonts w:ascii="Aptos" w:hAnsi="Aptos"/>
                <w:b w:val="0"/>
                <w:color w:val="15375A"/>
                <w:sz w:val="16"/>
              </w:rPr>
              <w:t>SOP, rekap status, audit trail, sumber jawaban, hasil evaluasi.</w:t>
            </w:r>
          </w:p>
        </w:tc>
      </w:tr>
      <w:tr>
        <w:trPr>
          <w:cantSplit/>
        </w:trPr>
        <w:tc>
          <w:tcPr>
            <w:tcW w:type="dxa" w:w="1871"/>
            <w:tcMar>
              <w:top w:w="100" w:type="dxa"/>
              <w:start w:w="120" w:type="dxa"/>
              <w:bottom w:w="100" w:type="dxa"/>
              <w:end w:w="120" w:type="dxa"/>
            </w:tcMar>
          </w:tcPr>
          <w:p>
            <w:r>
              <w:rPr>
                <w:rFonts w:ascii="Aptos" w:hAnsi="Aptos"/>
                <w:b w:val="0"/>
                <w:color w:val="15375A"/>
                <w:sz w:val="16"/>
              </w:rPr>
              <w:t>SDG 9 Industri, Inovasi, dan Infrastruktur</w:t>
            </w:r>
          </w:p>
        </w:tc>
        <w:tc>
          <w:tcPr>
            <w:tcW w:type="dxa" w:w="2551"/>
            <w:tcMar>
              <w:top w:w="100" w:type="dxa"/>
              <w:start w:w="120" w:type="dxa"/>
              <w:bottom w:w="100" w:type="dxa"/>
              <w:end w:w="120" w:type="dxa"/>
            </w:tcMar>
          </w:tcPr>
          <w:p>
            <w:r>
              <w:rPr>
                <w:rFonts w:ascii="Aptos" w:hAnsi="Aptos"/>
                <w:b w:val="0"/>
                <w:color w:val="15375A"/>
                <w:sz w:val="16"/>
              </w:rPr>
              <w:t>Infrastruktur digital mendukung akses layanan dan informasi statistik.</w:t>
            </w:r>
          </w:p>
        </w:tc>
        <w:tc>
          <w:tcPr>
            <w:tcW w:type="dxa" w:w="2721"/>
            <w:tcMar>
              <w:top w:w="100" w:type="dxa"/>
              <w:start w:w="120" w:type="dxa"/>
              <w:bottom w:w="100" w:type="dxa"/>
              <w:end w:w="120" w:type="dxa"/>
            </w:tcMar>
          </w:tcPr>
          <w:p>
            <w:r>
              <w:rPr>
                <w:rFonts w:ascii="Aptos" w:hAnsi="Aptos"/>
                <w:b w:val="0"/>
                <w:color w:val="15375A"/>
                <w:sz w:val="16"/>
              </w:rPr>
              <w:t>Portal PESTA; Dashboard dan Sinta hanya bila fitur telah dirilis.</w:t>
            </w:r>
          </w:p>
        </w:tc>
        <w:tc>
          <w:tcPr>
            <w:tcW w:type="dxa" w:w="2381"/>
            <w:tcMar>
              <w:top w:w="100" w:type="dxa"/>
              <w:start w:w="120" w:type="dxa"/>
              <w:bottom w:w="100" w:type="dxa"/>
              <w:end w:w="120" w:type="dxa"/>
            </w:tcMar>
          </w:tcPr>
          <w:p>
            <w:r>
              <w:rPr>
                <w:rFonts w:ascii="Aptos" w:hAnsi="Aptos"/>
                <w:b w:val="0"/>
                <w:color w:val="15375A"/>
                <w:sz w:val="16"/>
              </w:rPr>
              <w:t>Bukti produksi, pemantauan ketersediaan, uji pemulihan.</w:t>
            </w:r>
          </w:p>
        </w:tc>
      </w:tr>
    </w:tbl>
    <w:p>
      <w:pPr>
        <w:spacing w:after="0"/>
      </w:pPr>
    </w:p>
    <w:tbl>
      <w:tblPr>
        <w:tblStyle w:val="TableGrid"/>
        <w:tblW w:type="auto" w:w="0"/>
        <w:jc w:val="left"/>
        <w:tblLayout w:type="fixed"/>
        <w:tblLook w:firstColumn="1" w:firstRow="1" w:lastColumn="0" w:lastRow="0" w:noHBand="0" w:noVBand="1" w:val="04A0"/>
      </w:tblPr>
      <w:tblGrid>
        <w:gridCol w:w="3289"/>
        <w:gridCol w:w="3289"/>
        <w:gridCol w:w="3289"/>
      </w:tblGrid>
      <w:tr>
        <w:trPr>
          <w:tblHeader w:val="true"/>
        </w:trPr>
        <w:tc>
          <w:tcPr>
            <w:tcW w:type="dxa" w:w="1361"/>
            <w:shd w:fill="15375A"/>
            <w:tcMar>
              <w:top w:w="100" w:type="dxa"/>
              <w:start w:w="120" w:type="dxa"/>
              <w:bottom w:w="100" w:type="dxa"/>
              <w:end w:w="120" w:type="dxa"/>
            </w:tcMar>
          </w:tcPr>
          <w:p>
            <w:r>
              <w:rPr>
                <w:rFonts w:ascii="Aptos" w:hAnsi="Aptos"/>
                <w:b/>
                <w:color w:val="FFFFFF"/>
                <w:sz w:val="17"/>
              </w:rPr>
              <w:t>Asta Cita</w:t>
            </w:r>
          </w:p>
        </w:tc>
        <w:tc>
          <w:tcPr>
            <w:tcW w:type="dxa" w:w="4082"/>
            <w:shd w:fill="15375A"/>
            <w:tcMar>
              <w:top w:w="100" w:type="dxa"/>
              <w:start w:w="120" w:type="dxa"/>
              <w:bottom w:w="100" w:type="dxa"/>
              <w:end w:w="120" w:type="dxa"/>
            </w:tcMar>
          </w:tcPr>
          <w:p>
            <w:r>
              <w:rPr>
                <w:rFonts w:ascii="Aptos" w:hAnsi="Aptos"/>
                <w:b/>
                <w:color w:val="FFFFFF"/>
                <w:sz w:val="17"/>
              </w:rPr>
              <w:t>Arah</w:t>
            </w:r>
          </w:p>
        </w:tc>
        <w:tc>
          <w:tcPr>
            <w:tcW w:type="dxa" w:w="4082"/>
            <w:shd w:fill="15375A"/>
            <w:tcMar>
              <w:top w:w="100" w:type="dxa"/>
              <w:start w:w="120" w:type="dxa"/>
              <w:bottom w:w="100" w:type="dxa"/>
              <w:end w:w="120" w:type="dxa"/>
            </w:tcMar>
          </w:tcPr>
          <w:p>
            <w:r>
              <w:rPr>
                <w:rFonts w:ascii="Aptos" w:hAnsi="Aptos"/>
                <w:b/>
                <w:color w:val="FFFFFF"/>
                <w:sz w:val="17"/>
              </w:rPr>
              <w:t>Kontribusi PESTA</w:t>
            </w:r>
          </w:p>
        </w:tc>
      </w:tr>
      <w:tr>
        <w:trPr>
          <w:cantSplit/>
        </w:trPr>
        <w:tc>
          <w:tcPr>
            <w:tcW w:type="dxa" w:w="1361"/>
            <w:tcMar>
              <w:top w:w="100" w:type="dxa"/>
              <w:start w:w="120" w:type="dxa"/>
              <w:bottom w:w="100" w:type="dxa"/>
              <w:end w:w="120" w:type="dxa"/>
            </w:tcMar>
          </w:tcPr>
          <w:p>
            <w:r>
              <w:rPr>
                <w:rFonts w:ascii="Aptos" w:hAnsi="Aptos"/>
                <w:b w:val="0"/>
                <w:color w:val="15375A"/>
                <w:sz w:val="16"/>
              </w:rPr>
              <w:t>Asta Cita 4</w:t>
            </w:r>
          </w:p>
        </w:tc>
        <w:tc>
          <w:tcPr>
            <w:tcW w:type="dxa" w:w="4082"/>
            <w:tcMar>
              <w:top w:w="100" w:type="dxa"/>
              <w:start w:w="120" w:type="dxa"/>
              <w:bottom w:w="100" w:type="dxa"/>
              <w:end w:w="120" w:type="dxa"/>
            </w:tcMar>
          </w:tcPr>
          <w:p>
            <w:r>
              <w:rPr>
                <w:rFonts w:ascii="Aptos" w:hAnsi="Aptos"/>
                <w:b w:val="0"/>
                <w:color w:val="15375A"/>
                <w:sz w:val="16"/>
              </w:rPr>
              <w:t>Memperkuat pembangunan SDM, sains, teknologi, pendidikan, kesehatan, prestasi olahraga, kesetaraan gender, serta peran perempuan, pemuda, dan penyandang disabilitas.</w:t>
            </w:r>
          </w:p>
        </w:tc>
        <w:tc>
          <w:tcPr>
            <w:tcW w:type="dxa" w:w="4082"/>
            <w:tcMar>
              <w:top w:w="100" w:type="dxa"/>
              <w:start w:w="120" w:type="dxa"/>
              <w:bottom w:w="100" w:type="dxa"/>
              <w:end w:w="120" w:type="dxa"/>
            </w:tcMar>
          </w:tcPr>
          <w:p>
            <w:r>
              <w:rPr>
                <w:rFonts w:ascii="Aptos" w:hAnsi="Aptos"/>
                <w:b w:val="0"/>
                <w:color w:val="15375A"/>
                <w:sz w:val="16"/>
              </w:rPr>
              <w:t>Pemanfaatan teknologi layanan dan dukungan bagi penyandang disabilitas, lansia, serta pengguna dengan kebutuhan komunikasi atau mobilitas.</w:t>
            </w:r>
          </w:p>
        </w:tc>
      </w:tr>
      <w:tr>
        <w:trPr>
          <w:cantSplit/>
        </w:trPr>
        <w:tc>
          <w:tcPr>
            <w:tcW w:type="dxa" w:w="1361"/>
            <w:tcMar>
              <w:top w:w="100" w:type="dxa"/>
              <w:start w:w="120" w:type="dxa"/>
              <w:bottom w:w="100" w:type="dxa"/>
              <w:end w:w="120" w:type="dxa"/>
            </w:tcMar>
            <w:shd w:fill="F4F6F8"/>
          </w:tcPr>
          <w:p>
            <w:r>
              <w:rPr>
                <w:rFonts w:ascii="Aptos" w:hAnsi="Aptos"/>
                <w:b w:val="0"/>
                <w:color w:val="15375A"/>
                <w:sz w:val="16"/>
              </w:rPr>
              <w:t>Asta Cita 7</w:t>
            </w:r>
          </w:p>
        </w:tc>
        <w:tc>
          <w:tcPr>
            <w:tcW w:type="dxa" w:w="4082"/>
            <w:tcMar>
              <w:top w:w="100" w:type="dxa"/>
              <w:start w:w="120" w:type="dxa"/>
              <w:bottom w:w="100" w:type="dxa"/>
              <w:end w:w="120" w:type="dxa"/>
            </w:tcMar>
            <w:shd w:fill="F4F6F8"/>
          </w:tcPr>
          <w:p>
            <w:r>
              <w:rPr>
                <w:rFonts w:ascii="Aptos" w:hAnsi="Aptos"/>
                <w:b w:val="0"/>
                <w:color w:val="15375A"/>
                <w:sz w:val="16"/>
              </w:rPr>
              <w:t>Memperkuat reformasi politik, hukum, dan birokrasi serta pencegahan penyimpangan.</w:t>
            </w:r>
          </w:p>
        </w:tc>
        <w:tc>
          <w:tcPr>
            <w:tcW w:type="dxa" w:w="4082"/>
            <w:tcMar>
              <w:top w:w="100" w:type="dxa"/>
              <w:start w:w="120" w:type="dxa"/>
              <w:bottom w:w="100" w:type="dxa"/>
              <w:end w:w="120" w:type="dxa"/>
            </w:tcMar>
            <w:shd w:fill="F4F6F8"/>
          </w:tcPr>
          <w:p>
            <w:r>
              <w:rPr>
                <w:rFonts w:ascii="Aptos" w:hAnsi="Aptos"/>
                <w:b w:val="0"/>
                <w:color w:val="15375A"/>
                <w:sz w:val="16"/>
              </w:rPr>
              <w:t>Proses digital yang terdokumentasi, pengaduan, audit, pembagian peran, dan evaluasi layanan.</w:t>
            </w:r>
          </w:p>
        </w:tc>
      </w:tr>
    </w:tbl>
    <w:p>
      <w:pPr>
        <w:spacing w:after="0"/>
      </w:pPr>
    </w:p>
    <w:p>
      <w:pPr>
        <w:pStyle w:val="Heading1"/>
      </w:pPr>
      <w:r>
        <w:t>Naskah isian SINOVIK</w:t>
      </w:r>
    </w:p>
    <w:p>
      <w:r>
        <w:t>Naskah berikut sudah dibatasi sesuai jumlah kata pada formulir. Versi ini tidak menghitung Dashboard Data, Sinta, atau AI Beregam sebagai capaian operasional.</w:t>
      </w:r>
    </w:p>
    <w:tbl>
      <w:tblPr>
        <w:tblW w:type="auto" w:w="0"/>
        <w:jc w:val="left"/>
        <w:tblLayout w:type="autofit"/>
        <w:tblLook w:firstColumn="1" w:firstRow="1" w:lastColumn="0" w:lastRow="0" w:noHBand="0" w:noVBand="1" w:val="04A0"/>
      </w:tblPr>
      <w:tblGrid>
        <w:gridCol w:w="9866"/>
      </w:tblGrid>
      <w:tr>
        <w:tc>
          <w:tcPr>
            <w:tcW w:type="dxa" w:w="9866"/>
            <w:shd w:fill="EAF4FB"/>
            <w:tcMar>
              <w:top w:w="140" w:type="dxa"/>
              <w:start w:w="160" w:type="dxa"/>
              <w:bottom w:w="140" w:type="dxa"/>
              <w:end w:w="160" w:type="dxa"/>
            </w:tcMar>
          </w:tcPr>
          <w:p>
            <w:pPr>
              <w:keepNext/>
            </w:pPr>
            <w:r>
              <w:rPr>
                <w:rFonts w:ascii="Aptos" w:hAnsi="Aptos"/>
                <w:b/>
                <w:color w:val="1F6EAC"/>
                <w:sz w:val="22"/>
              </w:rPr>
              <w:t>Latar Belakang Inovasi</w:t>
            </w:r>
            <w:r>
              <w:rPr>
                <w:rFonts w:ascii="Aptos" w:hAnsi="Aptos"/>
                <w:b/>
                <w:color w:val="138A8A"/>
                <w:sz w:val="16"/>
              </w:rPr>
              <w:t xml:space="preserve">   134/200 kata</w:t>
            </w:r>
          </w:p>
          <w:p>
            <w:pPr>
              <w:keepLines/>
              <w:spacing w:after="0"/>
            </w:pPr>
            <w:r>
              <w:t>Sejak Juni 2024, BPS Kabupaten Musi Rawas mengembangkan PESTA sebagai pintu layanan statistik digital. Sebelumnya, warga harus mengenali kanal yang berbeda untuk konsultasi, permintaan data, pengaduan, publikasi, dan layanan BPS lainnya. Hambatan ini lebih besar bagi pengguna yang jauh dari kantor, memakai telepon genggam, lanjut usia, memiliki disabilitas, atau membutuhkan pendampingan komunikasi. PESTA menghimpun akses layanan dalam satu situs, menyediakan pendaftaran ViDCon, permintaan data, pesan ke PST, pengaduan, rujukan layanan nasional, informasi layanan nol rupiah, serta pengaturan aksesibilitas. Formulir ViDCon juga mencatat kebutuhan layanan inklusif agar petugas dapat menyiapkan pendampingan. Dashboard Data, Sinta, dan pemanfaatan AI pada Beregam masih dikembangkan serta dikendalikan dengan feature flag. Bukti dasar yang harus dilampirkan ialah dokumen implementasi Juni 2024, tangkapan layar, SOP layanan, log permohonan teragregasi, dan hasil uji aksesibilitas. Angka dampak belum dicantumkan sebelum data sebelum-sesudah diverifikasi.</w:t>
            </w:r>
          </w:p>
        </w:tc>
      </w:tr>
    </w:tbl>
    <w:p>
      <w:pPr>
        <w:spacing w:after="20"/>
      </w:pPr>
    </w:p>
    <w:tbl>
      <w:tblPr>
        <w:tblW w:type="auto" w:w="0"/>
        <w:jc w:val="left"/>
        <w:tblLayout w:type="autofit"/>
        <w:tblLook w:firstColumn="1" w:firstRow="1" w:lastColumn="0" w:lastRow="0" w:noHBand="0" w:noVBand="1" w:val="04A0"/>
      </w:tblPr>
      <w:tblGrid>
        <w:gridCol w:w="9866"/>
      </w:tblGrid>
      <w:tr>
        <w:tc>
          <w:tcPr>
            <w:tcW w:type="dxa" w:w="9866"/>
            <w:shd w:fill="EAF4FB"/>
            <w:tcMar>
              <w:top w:w="140" w:type="dxa"/>
              <w:start w:w="160" w:type="dxa"/>
              <w:bottom w:w="140" w:type="dxa"/>
              <w:end w:w="160" w:type="dxa"/>
            </w:tcMar>
          </w:tcPr>
          <w:p>
            <w:pPr>
              <w:keepNext/>
            </w:pPr>
            <w:r>
              <w:rPr>
                <w:rFonts w:ascii="Aptos" w:hAnsi="Aptos"/>
                <w:b/>
                <w:color w:val="1F6EAC"/>
                <w:sz w:val="22"/>
              </w:rPr>
              <w:t>Tujuan Inovasi</w:t>
            </w:r>
            <w:r>
              <w:rPr>
                <w:rFonts w:ascii="Aptos" w:hAnsi="Aptos"/>
                <w:b/>
                <w:color w:val="138A8A"/>
                <w:sz w:val="16"/>
              </w:rPr>
              <w:t xml:space="preserve">   100/150 kata</w:t>
            </w:r>
          </w:p>
          <w:p>
            <w:pPr>
              <w:keepLines/>
              <w:spacing w:after="0"/>
            </w:pPr>
            <w:r>
              <w:t>PESTA bertujuan menyederhanakan akses masyarakat ke layanan statistik BPS Kabupaten Musi Rawas melalui satu portal yang dapat digunakan dari berbagai perangkat. Output yang diharapkan ialah tersedianya akses terpadu untuk konsultasi ViDCon, permintaan data, pesan ke PST, pengaduan, informasi layanan, dan rujukan layanan BPS. Outcome yang diharapkan ialah berkurangnya langkah pencarian kanal, meningkatnya kesiapan petugas melayani kebutuhan aksesibilitas, dan tersedianya jejak permohonan untuk evaluasi. Target ukur final harus diisi setelah baseline, periode, sumber data, dan penanggung jawab disahkan. Indikator yang disarankan meliputi waktu menuju kanal yang tepat, penyelesaian permohonan, ketepatan pemenuhan kebutuhan inklusif, kepuasan pengguna, dan jumlah masalah aksesibilitas yang ditutup.</w:t>
            </w:r>
          </w:p>
        </w:tc>
      </w:tr>
    </w:tbl>
    <w:p>
      <w:pPr>
        <w:spacing w:after="20"/>
      </w:pPr>
    </w:p>
    <w:tbl>
      <w:tblPr>
        <w:tblW w:type="auto" w:w="0"/>
        <w:jc w:val="left"/>
        <w:tblLayout w:type="autofit"/>
        <w:tblLook w:firstColumn="1" w:firstRow="1" w:lastColumn="0" w:lastRow="0" w:noHBand="0" w:noVBand="1" w:val="04A0"/>
      </w:tblPr>
      <w:tblGrid>
        <w:gridCol w:w="9866"/>
      </w:tblGrid>
      <w:tr>
        <w:tc>
          <w:tcPr>
            <w:tcW w:type="dxa" w:w="9866"/>
            <w:shd w:fill="EAF4FB"/>
            <w:tcMar>
              <w:top w:w="140" w:type="dxa"/>
              <w:start w:w="160" w:type="dxa"/>
              <w:bottom w:w="140" w:type="dxa"/>
              <w:end w:w="160" w:type="dxa"/>
            </w:tcMar>
          </w:tcPr>
          <w:p>
            <w:pPr>
              <w:keepNext/>
            </w:pPr>
            <w:r>
              <w:rPr>
                <w:rFonts w:ascii="Aptos" w:hAnsi="Aptos"/>
                <w:b/>
                <w:color w:val="1F6EAC"/>
                <w:sz w:val="22"/>
              </w:rPr>
              <w:t>Cara Kerja Inovasi</w:t>
            </w:r>
            <w:r>
              <w:rPr>
                <w:rFonts w:ascii="Aptos" w:hAnsi="Aptos"/>
                <w:b/>
                <w:color w:val="138A8A"/>
                <w:sz w:val="16"/>
              </w:rPr>
              <w:t xml:space="preserve">   129/200 kata</w:t>
            </w:r>
          </w:p>
          <w:p>
            <w:pPr>
              <w:keepLines/>
              <w:spacing w:after="0"/>
            </w:pPr>
            <w:r>
              <w:t>Pengguna membuka PESTA lalu memilih layanan yang diperlukan. Untuk ViDCon, pengguna mengisi topik, jadwal, kontak, dan kebutuhan layanan inklusif; data divalidasi oleh skema bersama sebelum disimpan dan ditinjau petugas. Permintaan data, pesan ke PST, dan pengaduan masuk melalui formulir masing-masing. PESTA juga mengarahkan pengguna ke publikasi dan layanan nasional BPS tanpa menyamarkannya sebagai layanan kantor kabupaten. Petugas mengelola permohonan melalui halaman admin yang terlindungi autentikasi. Widget aksesibilitas menyediakan profil dan penyesuaian tampilan, fokus, gerak, kursor, serta pembacaan teks. Pengembangan berikutnya menempatkan Dashboard Data sebagai sumber fakta terverifikasi dan Sinta sebagai antarmuka tanya jawab web. Beregam menerima pesan WhatsApp melalui worker di PC kantor; PESTA hanya menyimpan pekerjaan dan outbox. Model AI tidak berjalan di Hostinger dan tidak boleh membuat angka statistik. Pertanyaan berisiko atau tidak terjawab dialihkan kepada petugas.</w:t>
            </w:r>
          </w:p>
        </w:tc>
      </w:tr>
    </w:tbl>
    <w:p>
      <w:pPr>
        <w:spacing w:after="20"/>
      </w:pPr>
    </w:p>
    <w:tbl>
      <w:tblPr>
        <w:tblW w:type="auto" w:w="0"/>
        <w:jc w:val="left"/>
        <w:tblLayout w:type="autofit"/>
        <w:tblLook w:firstColumn="1" w:firstRow="1" w:lastColumn="0" w:lastRow="0" w:noHBand="0" w:noVBand="1" w:val="04A0"/>
      </w:tblPr>
      <w:tblGrid>
        <w:gridCol w:w="9866"/>
      </w:tblGrid>
      <w:tr>
        <w:tc>
          <w:tcPr>
            <w:tcW w:type="dxa" w:w="9866"/>
            <w:shd w:fill="EAF4FB"/>
            <w:tcMar>
              <w:top w:w="140" w:type="dxa"/>
              <w:start w:w="160" w:type="dxa"/>
              <w:bottom w:w="140" w:type="dxa"/>
              <w:end w:w="160" w:type="dxa"/>
            </w:tcMar>
          </w:tcPr>
          <w:p>
            <w:pPr>
              <w:keepNext/>
            </w:pPr>
            <w:r>
              <w:rPr>
                <w:rFonts w:ascii="Aptos" w:hAnsi="Aptos"/>
                <w:b/>
                <w:color w:val="1F6EAC"/>
                <w:sz w:val="22"/>
              </w:rPr>
              <w:t>Keunggulan Ide atau Gagasan Inovasi</w:t>
            </w:r>
            <w:r>
              <w:rPr>
                <w:rFonts w:ascii="Aptos" w:hAnsi="Aptos"/>
                <w:b/>
                <w:color w:val="138A8A"/>
                <w:sz w:val="16"/>
              </w:rPr>
              <w:t xml:space="preserve">   120/200 kata</w:t>
            </w:r>
          </w:p>
          <w:p>
            <w:pPr>
              <w:keepLines/>
              <w:spacing w:after="0"/>
            </w:pPr>
            <w:r>
              <w:t>Keunggulan PESTA terletak pada penggabungan layanan kantor kabupaten, rujukan layanan nasional, dan persiapan layanan inklusif dalam satu alur yang jelas. Pengguna tidak harus memahami struktur internal BPS sebelum meminta bantuan. Isian kebutuhan aksesibilitas pada ViDCon mengubah inklusi dari pernyataan umum menjadi informasi kerja bagi petugas, misalnya kebutuhan JBI, teks, pendamping, dukungan penglihatan, mobilitas, kognitif, mental, atau lansia. Widget aksesibilitas membantu penyesuaian mandiri, sedangkan layanan manusia tetap tersedia. Arsitektur Beregam memisahkan situs publik, antrean, worker WhatsApp, dan proses AI sehingga keterbatasan Hostinger tidak mendorong pemrosesan berisiko di server. Pengaman utama menetapkan bahwa angka statistik hanya berasal dari basis data terverifikasi dan disisipkan oleh kode. Dashboard Data dan Sinta masih dikembangkan; keduanya tidak dihitung sebagai capaian operasional pada versi berbasis bukti ini.</w:t>
            </w:r>
          </w:p>
        </w:tc>
      </w:tr>
    </w:tbl>
    <w:p>
      <w:pPr>
        <w:spacing w:after="20"/>
      </w:pPr>
    </w:p>
    <w:tbl>
      <w:tblPr>
        <w:tblW w:type="auto" w:w="0"/>
        <w:jc w:val="left"/>
        <w:tblLayout w:type="autofit"/>
        <w:tblLook w:firstColumn="1" w:firstRow="1" w:lastColumn="0" w:lastRow="0" w:noHBand="0" w:noVBand="1" w:val="04A0"/>
      </w:tblPr>
      <w:tblGrid>
        <w:gridCol w:w="9866"/>
      </w:tblGrid>
      <w:tr>
        <w:tc>
          <w:tcPr>
            <w:tcW w:type="dxa" w:w="9866"/>
            <w:shd w:fill="EAF4FB"/>
            <w:tcMar>
              <w:top w:w="140" w:type="dxa"/>
              <w:start w:w="160" w:type="dxa"/>
              <w:bottom w:w="140" w:type="dxa"/>
              <w:end w:w="160" w:type="dxa"/>
            </w:tcMar>
          </w:tcPr>
          <w:p>
            <w:pPr>
              <w:keepNext/>
            </w:pPr>
            <w:r>
              <w:rPr>
                <w:rFonts w:ascii="Aptos" w:hAnsi="Aptos"/>
                <w:b/>
                <w:color w:val="1F6EAC"/>
                <w:sz w:val="22"/>
              </w:rPr>
              <w:t>Mekanisme Monitoring dan Evaluasi Inovasi</w:t>
            </w:r>
            <w:r>
              <w:rPr>
                <w:rFonts w:ascii="Aptos" w:hAnsi="Aptos"/>
                <w:b/>
                <w:color w:val="138A8A"/>
                <w:sz w:val="16"/>
              </w:rPr>
              <w:t xml:space="preserve">   101/150 kata</w:t>
            </w:r>
          </w:p>
          <w:p>
            <w:pPr>
              <w:keepLines/>
              <w:spacing w:after="0"/>
            </w:pPr>
            <w:r>
              <w:t>Monitoring dilakukan bulanan oleh pengelola PESTA bersama petugas PST melalui data agregat permohonan, status penyelesaian, waktu respons, kebutuhan layanan inklusif, kegagalan formulir, dan pengaduan. Evaluasi triwulanan memeriksa kesesuaian SOP, keamanan, aksesibilitas, ketersediaan layanan, serta tindak lanjut masalah. Setiap indikator memiliki definisi, sumber, periode, dan penanggung jawab. Dashboard admin hanya menampilkan data yang diperlukan dan tidak menyimpan alamat IP mentah. Temuan dicatat dalam daftar perbaikan dengan tingkat risiko, pemilik, tenggat, dan bukti penutupan. Uji tugas melibatkan pengguna papan ketik, pembaca layar, low vision, lansia, dan pengguna telepon genggam sebelum klaim inklusif diperluas. Hasil sebelum-sesudah baru ditulis setelah baseline dan periode pembanding disahkan.</w:t>
            </w:r>
          </w:p>
        </w:tc>
      </w:tr>
    </w:tbl>
    <w:p>
      <w:pPr>
        <w:spacing w:after="20"/>
      </w:pPr>
    </w:p>
    <w:tbl>
      <w:tblPr>
        <w:tblW w:type="auto" w:w="0"/>
        <w:jc w:val="left"/>
        <w:tblLayout w:type="autofit"/>
        <w:tblLook w:firstColumn="1" w:firstRow="1" w:lastColumn="0" w:lastRow="0" w:noHBand="0" w:noVBand="1" w:val="04A0"/>
      </w:tblPr>
      <w:tblGrid>
        <w:gridCol w:w="9866"/>
      </w:tblGrid>
      <w:tr>
        <w:tc>
          <w:tcPr>
            <w:tcW w:type="dxa" w:w="9866"/>
            <w:shd w:fill="EAF4FB"/>
            <w:tcMar>
              <w:top w:w="140" w:type="dxa"/>
              <w:start w:w="160" w:type="dxa"/>
              <w:bottom w:w="140" w:type="dxa"/>
              <w:end w:w="160" w:type="dxa"/>
            </w:tcMar>
          </w:tcPr>
          <w:p>
            <w:pPr>
              <w:keepNext/>
            </w:pPr>
            <w:r>
              <w:rPr>
                <w:rFonts w:ascii="Aptos" w:hAnsi="Aptos"/>
                <w:b/>
                <w:color w:val="1F6EAC"/>
                <w:sz w:val="22"/>
              </w:rPr>
              <w:t>Dampak Inovasi</w:t>
            </w:r>
            <w:r>
              <w:rPr>
                <w:rFonts w:ascii="Aptos" w:hAnsi="Aptos"/>
                <w:b/>
                <w:color w:val="138A8A"/>
                <w:sz w:val="16"/>
              </w:rPr>
              <w:t xml:space="preserve">   175/300 kata</w:t>
            </w:r>
          </w:p>
          <w:p>
            <w:pPr>
              <w:keepLines/>
              <w:spacing w:after="0"/>
            </w:pPr>
            <w:r>
              <w:t>PESTA telah menyediakan satu titik akses digital untuk ViDCon, permintaan data, pesan ke PST, pengaduan, informasi layanan nol rupiah, dan rujukan layanan BPS. Dampak yang dapat dinyatakan pada tahap ini adalah perubahan mekanisme: pengguna dapat memulai permohonan tanpa datang ke kantor, kebutuhan layanan inklusif dapat dicatat sebelum sesi, dan petugas menerima data permohonan dalam format yang lebih seragam. Belum tersedia bukti terverifikasi dalam dokumen ini untuk menyatakan besaran penghematan waktu, kenaikan kepuasan, jumlah penerima manfaat, atau perubahan outcome. Sebelum pengiriman, tim harus melampirkan tabel sebelum-sesudah yang memuat indikator, baseline, capaian, periode, sumber, metode, dan penanggung jawab. Dampak terhadap Asta Cita 4 tampak pada penggunaan teknologi untuk memperluas akses layanan bagi penyandang disabilitas, lansia, dan kelompok rentan. Dukungan terhadap Asta Cita 7 berada pada digitalisasi proses layanan, pencatatan permohonan, dan ruang evaluasi yang lebih tertib. Kontribusi SDG 10 terutama terkait inklusi sosial dan akses setara, sedangkan SDG 16 terkait lembaga efektif serta akses informasi. SDG 9 menjadi pendukung melalui infrastruktur layanan digital. Keterkaitan tersebut harus dinilai dari bukti penggunaan dan hasil layanan, bukan hanya keberadaan fitur.</w:t>
            </w:r>
          </w:p>
        </w:tc>
      </w:tr>
    </w:tbl>
    <w:p>
      <w:pPr>
        <w:spacing w:after="20"/>
      </w:pPr>
    </w:p>
    <w:tbl>
      <w:tblPr>
        <w:tblW w:type="auto" w:w="0"/>
        <w:jc w:val="left"/>
        <w:tblLayout w:type="autofit"/>
        <w:tblLook w:firstColumn="1" w:firstRow="1" w:lastColumn="0" w:lastRow="0" w:noHBand="0" w:noVBand="1" w:val="04A0"/>
      </w:tblPr>
      <w:tblGrid>
        <w:gridCol w:w="9866"/>
      </w:tblGrid>
      <w:tr>
        <w:tc>
          <w:tcPr>
            <w:tcW w:type="dxa" w:w="9866"/>
            <w:shd w:fill="EAF4FB"/>
            <w:tcMar>
              <w:top w:w="140" w:type="dxa"/>
              <w:start w:w="160" w:type="dxa"/>
              <w:bottom w:w="140" w:type="dxa"/>
              <w:end w:w="160" w:type="dxa"/>
            </w:tcMar>
          </w:tcPr>
          <w:p>
            <w:pPr>
              <w:keepNext/>
            </w:pPr>
            <w:r>
              <w:rPr>
                <w:rFonts w:ascii="Aptos" w:hAnsi="Aptos"/>
                <w:b/>
                <w:color w:val="1F6EAC"/>
                <w:sz w:val="22"/>
              </w:rPr>
              <w:t>Potensi Replikasi Inovasi</w:t>
            </w:r>
            <w:r>
              <w:rPr>
                <w:rFonts w:ascii="Aptos" w:hAnsi="Aptos"/>
                <w:b/>
                <w:color w:val="138A8A"/>
                <w:sz w:val="16"/>
              </w:rPr>
              <w:t xml:space="preserve">   105/150 kata</w:t>
            </w:r>
          </w:p>
          <w:p>
            <w:pPr>
              <w:keepLines/>
              <w:spacing w:after="0"/>
            </w:pPr>
            <w:r>
              <w:t>PESTA dapat direplikasi oleh unit BPS atau instansi layanan lain karena komponen utamanya berbasis web, formulir terstruktur, konfigurasi layanan, dan SOP petugas. Replikasi memerlukan penyesuaian identitas instansi, daftar layanan, jam layanan, peran admin, kebijakan privasi, kebutuhan aksesibilitas, kanal pengaduan, dan sumber data. Komponen Beregam membutuhkan PC worker, WAHA yang hanya terikat ke localhost, kontrak API yang sama, dan pengamanan secret. Dashboard memerlukan tata kelola versi serta review data. Sinta memerlukan basis pengetahuan yang memiliki sumber dan pemilik. Kesesuaian regulasi, kapasitas SDM, serta versi MySQL/MariaDB harus diperiksa sebelum migrasi. Jumlah unit yang telah mereplikasi dicatat 0 sampai terdapat berita acara atau bukti penerapan dari unit lain.</w:t>
            </w:r>
          </w:p>
        </w:tc>
      </w:tr>
    </w:tbl>
    <w:p>
      <w:pPr>
        <w:spacing w:after="20"/>
      </w:pPr>
    </w:p>
    <w:tbl>
      <w:tblPr>
        <w:tblW w:type="auto" w:w="0"/>
        <w:jc w:val="left"/>
        <w:tblLayout w:type="autofit"/>
        <w:tblLook w:firstColumn="1" w:firstRow="1" w:lastColumn="0" w:lastRow="0" w:noHBand="0" w:noVBand="1" w:val="04A0"/>
      </w:tblPr>
      <w:tblGrid>
        <w:gridCol w:w="9866"/>
      </w:tblGrid>
      <w:tr>
        <w:tc>
          <w:tcPr>
            <w:tcW w:type="dxa" w:w="9866"/>
            <w:shd w:fill="EAF4FB"/>
            <w:tcMar>
              <w:top w:w="140" w:type="dxa"/>
              <w:start w:w="160" w:type="dxa"/>
              <w:bottom w:w="140" w:type="dxa"/>
              <w:end w:w="160" w:type="dxa"/>
            </w:tcMar>
          </w:tcPr>
          <w:p>
            <w:pPr>
              <w:keepNext/>
            </w:pPr>
            <w:r>
              <w:rPr>
                <w:rFonts w:ascii="Aptos" w:hAnsi="Aptos"/>
                <w:b/>
                <w:color w:val="1F6EAC"/>
                <w:sz w:val="22"/>
              </w:rPr>
              <w:t>Upaya Difusi Inovasi</w:t>
            </w:r>
            <w:r>
              <w:rPr>
                <w:rFonts w:ascii="Aptos" w:hAnsi="Aptos"/>
                <w:b/>
                <w:color w:val="138A8A"/>
                <w:sz w:val="16"/>
              </w:rPr>
              <w:t xml:space="preserve">   93/150 kata</w:t>
            </w:r>
          </w:p>
          <w:p>
            <w:pPr>
              <w:keepLines/>
              <w:spacing w:after="0"/>
            </w:pPr>
            <w:r>
              <w:t>Difusi dilakukan melalui demonstrasi kepada pegawai dan petugas PST, tautan PESTA pada kanal resmi, panduan penggunaan, serta materi singkat untuk pengguna layanan. Transfer pengetahuan internal mencakup pengelolaan permohonan, kebutuhan inklusif, keamanan akun, dan penanganan pengaduan. Untuk pihak eksternal, publikasi hanya menyebut fitur yang telah aktif dan menyertakan kanal bantuan. Dokumentasi teknis, PRD, kontrak API, SOP, dan panduan deploy disimpan bersama kode agar pembaruan dapat ditelusuri. Replikasi belum diklaim sebelum ada bukti penerapan. Agenda difusi, daftar peserta, materi, tautan publikasi, dan umpan balik wajib dihimpun sebagai bukti sebelum bagian ini dipakai untuk penilaian capaian.</w:t>
            </w:r>
          </w:p>
        </w:tc>
      </w:tr>
    </w:tbl>
    <w:p>
      <w:pPr>
        <w:spacing w:after="20"/>
      </w:pPr>
    </w:p>
    <w:tbl>
      <w:tblPr>
        <w:tblW w:type="auto" w:w="0"/>
        <w:jc w:val="left"/>
        <w:tblLayout w:type="autofit"/>
        <w:tblLook w:firstColumn="1" w:firstRow="1" w:lastColumn="0" w:lastRow="0" w:noHBand="0" w:noVBand="1" w:val="04A0"/>
      </w:tblPr>
      <w:tblGrid>
        <w:gridCol w:w="9866"/>
      </w:tblGrid>
      <w:tr>
        <w:tc>
          <w:tcPr>
            <w:tcW w:type="dxa" w:w="9866"/>
            <w:shd w:fill="EAF4FB"/>
            <w:tcMar>
              <w:top w:w="140" w:type="dxa"/>
              <w:start w:w="160" w:type="dxa"/>
              <w:bottom w:w="140" w:type="dxa"/>
              <w:end w:w="160" w:type="dxa"/>
            </w:tcMar>
          </w:tcPr>
          <w:p>
            <w:pPr>
              <w:keepNext/>
            </w:pPr>
            <w:r>
              <w:rPr>
                <w:rFonts w:ascii="Aptos" w:hAnsi="Aptos"/>
                <w:b/>
                <w:color w:val="1F6EAC"/>
                <w:sz w:val="22"/>
              </w:rPr>
              <w:t>Sumber Daya Inovasi</w:t>
            </w:r>
            <w:r>
              <w:rPr>
                <w:rFonts w:ascii="Aptos" w:hAnsi="Aptos"/>
                <w:b/>
                <w:color w:val="138A8A"/>
                <w:sz w:val="16"/>
              </w:rPr>
              <w:t xml:space="preserve">   135/250 kata</w:t>
            </w:r>
          </w:p>
          <w:p>
            <w:pPr>
              <w:keepLines/>
              <w:spacing w:after="0"/>
            </w:pPr>
            <w:r>
              <w:t>Sarana utama ialah situs PESTA berbasis Next.js pada Hostinger Business, basis data MySQL, komputer kerja, koneksi internet, perangkat pengguna, serta PC kantor untuk worker Beregam. Data operasional berasal dari formulir layanan, konfigurasi, basis pengetahuan yang disetujui, dan data statistik terpublikasi. Sumber daya manusia mencakup penanggung jawab inovasi, pengelola aplikasi, admin, petugas PST, reviewer data, pengelola keamanan, dan petugas yang menangani kebutuhan inklusif. Kompetensi yang dibutuhkan meliputi pelayanan statistik, pengelolaan konten, aksesibilitas, keamanan aplikasi, basis data, dan respons insiden. Anggaran menggunakan sumber resmi instansi untuk domain, hosting, konektivitas, pemeliharaan, peningkatan kapasitas, dan perangkat pendukung; nominal serta sumber anggaran wajib diisi dari dokumen yang sah. Efisiensi dijaga dengan memanfaatkan infrastruktur yang tersedia, pool koneksi kecil, polling worker, feature flag, dan komponen tanpa dependensi berlebihan. Backup kode dan basis data dilakukan terpisah, dan pemulihan harus diuji berkala.</w:t>
            </w:r>
          </w:p>
        </w:tc>
      </w:tr>
    </w:tbl>
    <w:p>
      <w:pPr>
        <w:spacing w:after="20"/>
      </w:pPr>
    </w:p>
    <w:tbl>
      <w:tblPr>
        <w:tblW w:type="auto" w:w="0"/>
        <w:jc w:val="left"/>
        <w:tblLayout w:type="autofit"/>
        <w:tblLook w:firstColumn="1" w:firstRow="1" w:lastColumn="0" w:lastRow="0" w:noHBand="0" w:noVBand="1" w:val="04A0"/>
      </w:tblPr>
      <w:tblGrid>
        <w:gridCol w:w="9866"/>
      </w:tblGrid>
      <w:tr>
        <w:tc>
          <w:tcPr>
            <w:tcW w:type="dxa" w:w="9866"/>
            <w:shd w:fill="EAF4FB"/>
            <w:tcMar>
              <w:top w:w="140" w:type="dxa"/>
              <w:start w:w="160" w:type="dxa"/>
              <w:bottom w:w="140" w:type="dxa"/>
              <w:end w:w="160" w:type="dxa"/>
            </w:tcMar>
          </w:tcPr>
          <w:p>
            <w:pPr>
              <w:keepNext/>
            </w:pPr>
            <w:r>
              <w:rPr>
                <w:rFonts w:ascii="Aptos" w:hAnsi="Aptos"/>
                <w:b/>
                <w:color w:val="1F6EAC"/>
                <w:sz w:val="22"/>
              </w:rPr>
              <w:t>Strategi Keberlanjutan Inovasi</w:t>
            </w:r>
            <w:r>
              <w:rPr>
                <w:rFonts w:ascii="Aptos" w:hAnsi="Aptos"/>
                <w:b/>
                <w:color w:val="138A8A"/>
                <w:sz w:val="16"/>
              </w:rPr>
              <w:t xml:space="preserve">   185/300 kata</w:t>
            </w:r>
          </w:p>
          <w:p>
            <w:pPr>
              <w:keepLines/>
              <w:spacing w:after="0"/>
            </w:pPr>
            <w:r>
              <w:t>Keberlanjutan PESTA dijaga melalui penetapan penanggung jawab, SOP layanan, pengendalian perubahan, dokumentasi deploy, dan dukungan anggaran resmi. Setiap route admin tetap memeriksa sesi, secret tidak disimpan pada kode, data dicadangkan, dan pemulihan diuji. Pengembangan dilakukan bertahap melalui feature flag sehingga fitur yang belum siap tidak terlihat sebagai layanan produksi. Petugas PST memperoleh pelatihan pengelolaan permohonan, kebutuhan inklusif, keamanan, dan eskalasi. Pengetahuan tidak boleh bergantung pada satu orang; PRD, kontrak API, skema basis data, dan prosedur operasional dipelihara bersama repositori. Konten, indikator, dan sumber ditinjau berkala. Dashboard hanya memublikasikan versi yang lolos review. Sinta hanya memakai pengetahuan terpublikasi dan fakta statistik terverifikasi. Pada Beregam, mode manual membuat bot diam total agar petugas tidak mengirim jawaban ganda. Strategi sosial mencakup uji berkala bersama pengguna lansia, penyandang disabilitas, dan pengguna dengan literasi digital beragam; umpan balik masuk ke daftar perbaikan. Kolaborasi dengan unit teknis, petugas layanan, pengelola data, dan mitra aksesibilitas dilakukan sesuai kewenangan. Jika fitur AI, dashboard, atau WhatsApp tidak memenuhi kualitas, keamanan, atau ketersediaan, flag terkait dimatikan tanpa menghentikan kanal layanan lain. Rencana tahunan menetapkan pemilik, jadwal review, kebutuhan biaya, indikator layanan, serta bukti tindak lanjut.</w:t>
            </w:r>
          </w:p>
        </w:tc>
      </w:tr>
    </w:tbl>
    <w:p>
      <w:pPr>
        <w:spacing w:after="20"/>
      </w:pPr>
    </w:p>
    <w:p>
      <w:pPr>
        <w:pStyle w:val="Heading1"/>
      </w:pPr>
      <w:r>
        <w:t>Bentuk dampak dan jumlah replikasi</w:t>
      </w:r>
    </w:p>
    <w:tbl>
      <w:tblPr>
        <w:tblStyle w:val="TableGrid"/>
        <w:tblW w:type="auto" w:w="0"/>
        <w:jc w:val="left"/>
        <w:tblLayout w:type="fixed"/>
        <w:tblLook w:firstColumn="1" w:firstRow="1" w:lastColumn="0" w:lastRow="0" w:noHBand="0" w:noVBand="1" w:val="04A0"/>
      </w:tblPr>
      <w:tblGrid>
        <w:gridCol w:w="4933"/>
        <w:gridCol w:w="4933"/>
      </w:tblGrid>
      <w:tr>
        <w:trPr>
          <w:tblHeader w:val="true"/>
        </w:trPr>
        <w:tc>
          <w:tcPr>
            <w:tcW w:type="dxa" w:w="2835"/>
            <w:shd w:fill="15375A"/>
            <w:tcMar>
              <w:top w:w="100" w:type="dxa"/>
              <w:start w:w="120" w:type="dxa"/>
              <w:bottom w:w="100" w:type="dxa"/>
              <w:end w:w="120" w:type="dxa"/>
            </w:tcMar>
          </w:tcPr>
          <w:p>
            <w:r>
              <w:rPr>
                <w:rFonts w:ascii="Aptos" w:hAnsi="Aptos"/>
                <w:b/>
                <w:color w:val="FFFFFF"/>
                <w:sz w:val="17"/>
              </w:rPr>
              <w:t>Isian</w:t>
            </w:r>
          </w:p>
        </w:tc>
        <w:tc>
          <w:tcPr>
            <w:tcW w:type="dxa" w:w="6520"/>
            <w:shd w:fill="15375A"/>
            <w:tcMar>
              <w:top w:w="100" w:type="dxa"/>
              <w:start w:w="120" w:type="dxa"/>
              <w:bottom w:w="100" w:type="dxa"/>
              <w:end w:w="120" w:type="dxa"/>
            </w:tcMar>
          </w:tcPr>
          <w:p>
            <w:r>
              <w:rPr>
                <w:rFonts w:ascii="Aptos" w:hAnsi="Aptos"/>
                <w:b/>
                <w:color w:val="FFFFFF"/>
                <w:sz w:val="17"/>
              </w:rPr>
              <w:t>Rekomendasi</w:t>
            </w:r>
          </w:p>
        </w:tc>
      </w:tr>
      <w:tr>
        <w:trPr>
          <w:cantSplit/>
        </w:trPr>
        <w:tc>
          <w:tcPr>
            <w:tcW w:type="dxa" w:w="2835"/>
            <w:tcMar>
              <w:top w:w="100" w:type="dxa"/>
              <w:start w:w="120" w:type="dxa"/>
              <w:bottom w:w="100" w:type="dxa"/>
              <w:end w:w="120" w:type="dxa"/>
            </w:tcMar>
          </w:tcPr>
          <w:p>
            <w:r>
              <w:rPr>
                <w:rFonts w:ascii="Aptos" w:hAnsi="Aptos"/>
                <w:b w:val="0"/>
                <w:color w:val="15375A"/>
                <w:sz w:val="16"/>
              </w:rPr>
              <w:t>Bentuk dampak</w:t>
            </w:r>
          </w:p>
        </w:tc>
        <w:tc>
          <w:tcPr>
            <w:tcW w:type="dxa" w:w="6520"/>
            <w:tcMar>
              <w:top w:w="100" w:type="dxa"/>
              <w:start w:w="120" w:type="dxa"/>
              <w:bottom w:w="100" w:type="dxa"/>
              <w:end w:w="120" w:type="dxa"/>
            </w:tcMar>
          </w:tcPr>
          <w:p>
            <w:r>
              <w:rPr>
                <w:rFonts w:ascii="Aptos" w:hAnsi="Aptos"/>
                <w:b w:val="0"/>
                <w:color w:val="15375A"/>
                <w:sz w:val="16"/>
              </w:rPr>
              <w:t>Pilih opsi terdekat dengan peningkatan kualitas pelayanan publik; cocokkan dengan daftar resmi pada SINOVIK.</w:t>
            </w:r>
          </w:p>
        </w:tc>
      </w:tr>
      <w:tr>
        <w:trPr>
          <w:cantSplit/>
        </w:trPr>
        <w:tc>
          <w:tcPr>
            <w:tcW w:type="dxa" w:w="2835"/>
            <w:tcMar>
              <w:top w:w="100" w:type="dxa"/>
              <w:start w:w="120" w:type="dxa"/>
              <w:bottom w:w="100" w:type="dxa"/>
              <w:end w:w="120" w:type="dxa"/>
            </w:tcMar>
            <w:shd w:fill="F4F6F8"/>
          </w:tcPr>
          <w:p>
            <w:r>
              <w:rPr>
                <w:rFonts w:ascii="Aptos" w:hAnsi="Aptos"/>
                <w:b w:val="0"/>
                <w:color w:val="15375A"/>
                <w:sz w:val="16"/>
              </w:rPr>
              <w:t>Jumlah unit/instansi yang mereplikasi</w:t>
            </w:r>
          </w:p>
        </w:tc>
        <w:tc>
          <w:tcPr>
            <w:tcW w:type="dxa" w:w="6520"/>
            <w:tcMar>
              <w:top w:w="100" w:type="dxa"/>
              <w:start w:w="120" w:type="dxa"/>
              <w:bottom w:w="100" w:type="dxa"/>
              <w:end w:w="120" w:type="dxa"/>
            </w:tcMar>
            <w:shd w:fill="F4F6F8"/>
          </w:tcPr>
          <w:p>
            <w:r>
              <w:rPr>
                <w:rFonts w:ascii="Aptos" w:hAnsi="Aptos"/>
                <w:b w:val="0"/>
                <w:color w:val="15375A"/>
                <w:sz w:val="16"/>
              </w:rPr>
              <w:t>0 sampai terdapat bukti penerapan dari unit lain.</w:t>
            </w:r>
          </w:p>
        </w:tc>
      </w:tr>
    </w:tbl>
    <w:p>
      <w:pPr>
        <w:spacing w:after="0"/>
      </w:pPr>
    </w:p>
    <w:p>
      <w:r>
        <w:br w:type="page"/>
      </w:r>
    </w:p>
    <w:p>
      <w:pPr>
        <w:pStyle w:val="Heading1"/>
      </w:pPr>
      <w:r>
        <w:t>Matriks layanan inklusif</w:t>
      </w:r>
    </w:p>
    <w:tbl>
      <w:tblPr>
        <w:tblStyle w:val="TableGrid"/>
        <w:tblW w:type="auto" w:w="0"/>
        <w:jc w:val="left"/>
        <w:tblLayout w:type="fixed"/>
        <w:tblLook w:firstColumn="1" w:firstRow="1" w:lastColumn="0" w:lastRow="0" w:noHBand="0" w:noVBand="1" w:val="04A0"/>
      </w:tblPr>
      <w:tblGrid>
        <w:gridCol w:w="3289"/>
        <w:gridCol w:w="3289"/>
        <w:gridCol w:w="3289"/>
      </w:tblGrid>
      <w:tr>
        <w:trPr>
          <w:tblHeader w:val="true"/>
        </w:trPr>
        <w:tc>
          <w:tcPr>
            <w:tcW w:type="dxa" w:w="2098"/>
            <w:shd w:fill="15375A"/>
            <w:tcMar>
              <w:top w:w="100" w:type="dxa"/>
              <w:start w:w="120" w:type="dxa"/>
              <w:bottom w:w="100" w:type="dxa"/>
              <w:end w:w="120" w:type="dxa"/>
            </w:tcMar>
          </w:tcPr>
          <w:p>
            <w:r>
              <w:rPr>
                <w:rFonts w:ascii="Aptos" w:hAnsi="Aptos"/>
                <w:b/>
                <w:color w:val="FFFFFF"/>
                <w:sz w:val="17"/>
              </w:rPr>
              <w:t>Kelompok</w:t>
            </w:r>
          </w:p>
        </w:tc>
        <w:tc>
          <w:tcPr>
            <w:tcW w:type="dxa" w:w="4252"/>
            <w:shd w:fill="15375A"/>
            <w:tcMar>
              <w:top w:w="100" w:type="dxa"/>
              <w:start w:w="120" w:type="dxa"/>
              <w:bottom w:w="100" w:type="dxa"/>
              <w:end w:w="120" w:type="dxa"/>
            </w:tcMar>
          </w:tcPr>
          <w:p>
            <w:r>
              <w:rPr>
                <w:rFonts w:ascii="Aptos" w:hAnsi="Aptos"/>
                <w:b/>
                <w:color w:val="FFFFFF"/>
                <w:sz w:val="17"/>
              </w:rPr>
              <w:t>Dukungan</w:t>
            </w:r>
          </w:p>
        </w:tc>
        <w:tc>
          <w:tcPr>
            <w:tcW w:type="dxa" w:w="3175"/>
            <w:shd w:fill="15375A"/>
            <w:tcMar>
              <w:top w:w="100" w:type="dxa"/>
              <w:start w:w="120" w:type="dxa"/>
              <w:bottom w:w="100" w:type="dxa"/>
              <w:end w:w="120" w:type="dxa"/>
            </w:tcMar>
          </w:tcPr>
          <w:p>
            <w:r>
              <w:rPr>
                <w:rFonts w:ascii="Aptos" w:hAnsi="Aptos"/>
                <w:b/>
                <w:color w:val="FFFFFF"/>
                <w:sz w:val="17"/>
              </w:rPr>
              <w:t>Bukti yang dikumpulkan</w:t>
            </w:r>
          </w:p>
        </w:tc>
      </w:tr>
      <w:tr>
        <w:trPr>
          <w:cantSplit/>
        </w:trPr>
        <w:tc>
          <w:tcPr>
            <w:tcW w:type="dxa" w:w="2098"/>
            <w:tcMar>
              <w:top w:w="100" w:type="dxa"/>
              <w:start w:w="120" w:type="dxa"/>
              <w:bottom w:w="100" w:type="dxa"/>
              <w:end w:w="120" w:type="dxa"/>
            </w:tcMar>
          </w:tcPr>
          <w:p>
            <w:r>
              <w:rPr>
                <w:rFonts w:ascii="Aptos" w:hAnsi="Aptos"/>
                <w:b w:val="0"/>
                <w:color w:val="15375A"/>
                <w:sz w:val="16"/>
              </w:rPr>
              <w:t>Lansia</w:t>
            </w:r>
          </w:p>
        </w:tc>
        <w:tc>
          <w:tcPr>
            <w:tcW w:type="dxa" w:w="4252"/>
            <w:tcMar>
              <w:top w:w="100" w:type="dxa"/>
              <w:start w:w="120" w:type="dxa"/>
              <w:bottom w:w="100" w:type="dxa"/>
              <w:end w:w="120" w:type="dxa"/>
            </w:tcMar>
          </w:tcPr>
          <w:p>
            <w:r>
              <w:rPr>
                <w:rFonts w:ascii="Aptos" w:hAnsi="Aptos"/>
                <w:b w:val="0"/>
                <w:color w:val="15375A"/>
                <w:sz w:val="16"/>
              </w:rPr>
              <w:t>Bahasa sederhana, ukuran teks, satu langkah per layar, bantuan petugas</w:t>
            </w:r>
          </w:p>
        </w:tc>
        <w:tc>
          <w:tcPr>
            <w:tcW w:type="dxa" w:w="3175"/>
            <w:tcMar>
              <w:top w:w="100" w:type="dxa"/>
              <w:start w:w="120" w:type="dxa"/>
              <w:bottom w:w="100" w:type="dxa"/>
              <w:end w:w="120" w:type="dxa"/>
            </w:tcMar>
          </w:tcPr>
          <w:p>
            <w:r>
              <w:rPr>
                <w:rFonts w:ascii="Aptos" w:hAnsi="Aptos"/>
                <w:b w:val="0"/>
                <w:color w:val="15375A"/>
                <w:sz w:val="16"/>
              </w:rPr>
              <w:t>Uji tugas, catatan kebutuhan, waktu penyelesaian</w:t>
            </w:r>
          </w:p>
        </w:tc>
      </w:tr>
      <w:tr>
        <w:trPr>
          <w:cantSplit/>
        </w:trPr>
        <w:tc>
          <w:tcPr>
            <w:tcW w:type="dxa" w:w="2098"/>
            <w:tcMar>
              <w:top w:w="100" w:type="dxa"/>
              <w:start w:w="120" w:type="dxa"/>
              <w:bottom w:w="100" w:type="dxa"/>
              <w:end w:w="120" w:type="dxa"/>
            </w:tcMar>
            <w:shd w:fill="F4F6F8"/>
          </w:tcPr>
          <w:p>
            <w:r>
              <w:rPr>
                <w:rFonts w:ascii="Aptos" w:hAnsi="Aptos"/>
                <w:b w:val="0"/>
                <w:color w:val="15375A"/>
                <w:sz w:val="16"/>
              </w:rPr>
              <w:t>Tunanetra dan low vision</w:t>
            </w:r>
          </w:p>
        </w:tc>
        <w:tc>
          <w:tcPr>
            <w:tcW w:type="dxa" w:w="4252"/>
            <w:tcMar>
              <w:top w:w="100" w:type="dxa"/>
              <w:start w:w="120" w:type="dxa"/>
              <w:bottom w:w="100" w:type="dxa"/>
              <w:end w:w="120" w:type="dxa"/>
            </w:tcMar>
            <w:shd w:fill="F4F6F8"/>
          </w:tcPr>
          <w:p>
            <w:r>
              <w:rPr>
                <w:rFonts w:ascii="Aptos" w:hAnsi="Aptos"/>
                <w:b w:val="0"/>
                <w:color w:val="15375A"/>
                <w:sz w:val="16"/>
              </w:rPr>
              <w:t>Pembaca layar, fokus terlihat, kontras, TTS, struktur semantik</w:t>
            </w:r>
          </w:p>
        </w:tc>
        <w:tc>
          <w:tcPr>
            <w:tcW w:type="dxa" w:w="3175"/>
            <w:tcMar>
              <w:top w:w="100" w:type="dxa"/>
              <w:start w:w="120" w:type="dxa"/>
              <w:bottom w:w="100" w:type="dxa"/>
              <w:end w:w="120" w:type="dxa"/>
            </w:tcMar>
            <w:shd w:fill="F4F6F8"/>
          </w:tcPr>
          <w:p>
            <w:r>
              <w:rPr>
                <w:rFonts w:ascii="Aptos" w:hAnsi="Aptos"/>
                <w:b w:val="0"/>
                <w:color w:val="15375A"/>
                <w:sz w:val="16"/>
              </w:rPr>
              <w:t>Audit aksesibilitas dan uji pengguna</w:t>
            </w:r>
          </w:p>
        </w:tc>
      </w:tr>
      <w:tr>
        <w:trPr>
          <w:cantSplit/>
        </w:trPr>
        <w:tc>
          <w:tcPr>
            <w:tcW w:type="dxa" w:w="2098"/>
            <w:tcMar>
              <w:top w:w="100" w:type="dxa"/>
              <w:start w:w="120" w:type="dxa"/>
              <w:bottom w:w="100" w:type="dxa"/>
              <w:end w:w="120" w:type="dxa"/>
            </w:tcMar>
          </w:tcPr>
          <w:p>
            <w:r>
              <w:rPr>
                <w:rFonts w:ascii="Aptos" w:hAnsi="Aptos"/>
                <w:b w:val="0"/>
                <w:color w:val="15375A"/>
                <w:sz w:val="16"/>
              </w:rPr>
              <w:t>Tunarungu atau hambatan bicara</w:t>
            </w:r>
          </w:p>
        </w:tc>
        <w:tc>
          <w:tcPr>
            <w:tcW w:type="dxa" w:w="4252"/>
            <w:tcMar>
              <w:top w:w="100" w:type="dxa"/>
              <w:start w:w="120" w:type="dxa"/>
              <w:bottom w:w="100" w:type="dxa"/>
              <w:end w:w="120" w:type="dxa"/>
            </w:tcMar>
          </w:tcPr>
          <w:p>
            <w:r>
              <w:rPr>
                <w:rFonts w:ascii="Aptos" w:hAnsi="Aptos"/>
                <w:b w:val="0"/>
                <w:color w:val="15375A"/>
                <w:sz w:val="16"/>
              </w:rPr>
              <w:t>Layanan berbasis teks dan opsi JBI pada ViDCon</w:t>
            </w:r>
          </w:p>
        </w:tc>
        <w:tc>
          <w:tcPr>
            <w:tcW w:type="dxa" w:w="3175"/>
            <w:tcMar>
              <w:top w:w="100" w:type="dxa"/>
              <w:start w:w="120" w:type="dxa"/>
              <w:bottom w:w="100" w:type="dxa"/>
              <w:end w:w="120" w:type="dxa"/>
            </w:tcMar>
          </w:tcPr>
          <w:p>
            <w:r>
              <w:rPr>
                <w:rFonts w:ascii="Aptos" w:hAnsi="Aptos"/>
                <w:b w:val="0"/>
                <w:color w:val="15375A"/>
                <w:sz w:val="16"/>
              </w:rPr>
              <w:t>Permintaan dukungan dan bukti kesiapan sesi</w:t>
            </w:r>
          </w:p>
        </w:tc>
      </w:tr>
      <w:tr>
        <w:trPr>
          <w:cantSplit/>
        </w:trPr>
        <w:tc>
          <w:tcPr>
            <w:tcW w:type="dxa" w:w="2098"/>
            <w:tcMar>
              <w:top w:w="100" w:type="dxa"/>
              <w:start w:w="120" w:type="dxa"/>
              <w:bottom w:w="100" w:type="dxa"/>
              <w:end w:w="120" w:type="dxa"/>
            </w:tcMar>
            <w:shd w:fill="F4F6F8"/>
          </w:tcPr>
          <w:p>
            <w:r>
              <w:rPr>
                <w:rFonts w:ascii="Aptos" w:hAnsi="Aptos"/>
                <w:b w:val="0"/>
                <w:color w:val="15375A"/>
                <w:sz w:val="16"/>
              </w:rPr>
              <w:t>Hambatan motorik</w:t>
            </w:r>
          </w:p>
        </w:tc>
        <w:tc>
          <w:tcPr>
            <w:tcW w:type="dxa" w:w="4252"/>
            <w:tcMar>
              <w:top w:w="100" w:type="dxa"/>
              <w:start w:w="120" w:type="dxa"/>
              <w:bottom w:w="100" w:type="dxa"/>
              <w:end w:w="120" w:type="dxa"/>
            </w:tcMar>
            <w:shd w:fill="F4F6F8"/>
          </w:tcPr>
          <w:p>
            <w:r>
              <w:rPr>
                <w:rFonts w:ascii="Aptos" w:hAnsi="Aptos"/>
                <w:b w:val="0"/>
                <w:color w:val="15375A"/>
                <w:sz w:val="16"/>
              </w:rPr>
              <w:t>Navigasi papan ketik, target sentuh, tanpa fungsi yang hanya memakai drag</w:t>
            </w:r>
          </w:p>
        </w:tc>
        <w:tc>
          <w:tcPr>
            <w:tcW w:type="dxa" w:w="3175"/>
            <w:tcMar>
              <w:top w:w="100" w:type="dxa"/>
              <w:start w:w="120" w:type="dxa"/>
              <w:bottom w:w="100" w:type="dxa"/>
              <w:end w:w="120" w:type="dxa"/>
            </w:tcMar>
            <w:shd w:fill="F4F6F8"/>
          </w:tcPr>
          <w:p>
            <w:r>
              <w:rPr>
                <w:rFonts w:ascii="Aptos" w:hAnsi="Aptos"/>
                <w:b w:val="0"/>
                <w:color w:val="15375A"/>
                <w:sz w:val="16"/>
              </w:rPr>
              <w:t>Uji papan ketik dan perangkat bergerak</w:t>
            </w:r>
          </w:p>
        </w:tc>
      </w:tr>
      <w:tr>
        <w:trPr>
          <w:cantSplit/>
        </w:trPr>
        <w:tc>
          <w:tcPr>
            <w:tcW w:type="dxa" w:w="2098"/>
            <w:tcMar>
              <w:top w:w="100" w:type="dxa"/>
              <w:start w:w="120" w:type="dxa"/>
              <w:bottom w:w="100" w:type="dxa"/>
              <w:end w:w="120" w:type="dxa"/>
            </w:tcMar>
          </w:tcPr>
          <w:p>
            <w:r>
              <w:rPr>
                <w:rFonts w:ascii="Aptos" w:hAnsi="Aptos"/>
                <w:b w:val="0"/>
                <w:color w:val="15375A"/>
                <w:sz w:val="16"/>
              </w:rPr>
              <w:t>Hambatan kognitif atau belajar</w:t>
            </w:r>
          </w:p>
        </w:tc>
        <w:tc>
          <w:tcPr>
            <w:tcW w:type="dxa" w:w="4252"/>
            <w:tcMar>
              <w:top w:w="100" w:type="dxa"/>
              <w:start w:w="120" w:type="dxa"/>
              <w:bottom w:w="100" w:type="dxa"/>
              <w:end w:w="120" w:type="dxa"/>
            </w:tcMar>
          </w:tcPr>
          <w:p>
            <w:r>
              <w:rPr>
                <w:rFonts w:ascii="Aptos" w:hAnsi="Aptos"/>
                <w:b w:val="0"/>
                <w:color w:val="15375A"/>
                <w:sz w:val="16"/>
              </w:rPr>
              <w:t>Pilihan ringkas, urutan jelas, pesan kesalahan yang dapat ditindaklanjuti</w:t>
            </w:r>
          </w:p>
        </w:tc>
        <w:tc>
          <w:tcPr>
            <w:tcW w:type="dxa" w:w="3175"/>
            <w:tcMar>
              <w:top w:w="100" w:type="dxa"/>
              <w:start w:w="120" w:type="dxa"/>
              <w:bottom w:w="100" w:type="dxa"/>
              <w:end w:w="120" w:type="dxa"/>
            </w:tcMar>
          </w:tcPr>
          <w:p>
            <w:r>
              <w:rPr>
                <w:rFonts w:ascii="Aptos" w:hAnsi="Aptos"/>
                <w:b w:val="0"/>
                <w:color w:val="15375A"/>
                <w:sz w:val="16"/>
              </w:rPr>
              <w:t>Uji pemahaman dan penyelesaian tugas</w:t>
            </w:r>
          </w:p>
        </w:tc>
      </w:tr>
      <w:tr>
        <w:trPr>
          <w:cantSplit/>
        </w:trPr>
        <w:tc>
          <w:tcPr>
            <w:tcW w:type="dxa" w:w="2098"/>
            <w:tcMar>
              <w:top w:w="100" w:type="dxa"/>
              <w:start w:w="120" w:type="dxa"/>
              <w:bottom w:w="100" w:type="dxa"/>
              <w:end w:w="120" w:type="dxa"/>
            </w:tcMar>
            <w:shd w:fill="F4F6F8"/>
          </w:tcPr>
          <w:p>
            <w:r>
              <w:rPr>
                <w:rFonts w:ascii="Aptos" w:hAnsi="Aptos"/>
                <w:b w:val="0"/>
                <w:color w:val="15375A"/>
                <w:sz w:val="16"/>
              </w:rPr>
              <w:t>Pengguna jauh dari kantor</w:t>
            </w:r>
          </w:p>
        </w:tc>
        <w:tc>
          <w:tcPr>
            <w:tcW w:type="dxa" w:w="4252"/>
            <w:tcMar>
              <w:top w:w="100" w:type="dxa"/>
              <w:start w:w="120" w:type="dxa"/>
              <w:bottom w:w="100" w:type="dxa"/>
              <w:end w:w="120" w:type="dxa"/>
            </w:tcMar>
            <w:shd w:fill="F4F6F8"/>
          </w:tcPr>
          <w:p>
            <w:r>
              <w:rPr>
                <w:rFonts w:ascii="Aptos" w:hAnsi="Aptos"/>
                <w:b w:val="0"/>
                <w:color w:val="15375A"/>
                <w:sz w:val="16"/>
              </w:rPr>
              <w:t>Portal, ViDCon, web, dan WhatsApp bila aktif</w:t>
            </w:r>
          </w:p>
        </w:tc>
        <w:tc>
          <w:tcPr>
            <w:tcW w:type="dxa" w:w="3175"/>
            <w:tcMar>
              <w:top w:w="100" w:type="dxa"/>
              <w:start w:w="120" w:type="dxa"/>
              <w:bottom w:w="100" w:type="dxa"/>
              <w:end w:w="120" w:type="dxa"/>
            </w:tcMar>
            <w:shd w:fill="F4F6F8"/>
          </w:tcPr>
          <w:p>
            <w:r>
              <w:rPr>
                <w:rFonts w:ascii="Aptos" w:hAnsi="Aptos"/>
                <w:b w:val="0"/>
                <w:color w:val="15375A"/>
                <w:sz w:val="16"/>
              </w:rPr>
              <w:t>Asal kanal tanpa menyimpan lokasi presisi</w:t>
            </w:r>
          </w:p>
        </w:tc>
      </w:tr>
      <w:tr>
        <w:trPr>
          <w:cantSplit/>
        </w:trPr>
        <w:tc>
          <w:tcPr>
            <w:tcW w:type="dxa" w:w="2098"/>
            <w:tcMar>
              <w:top w:w="100" w:type="dxa"/>
              <w:start w:w="120" w:type="dxa"/>
              <w:bottom w:w="100" w:type="dxa"/>
              <w:end w:w="120" w:type="dxa"/>
            </w:tcMar>
          </w:tcPr>
          <w:p>
            <w:r>
              <w:rPr>
                <w:rFonts w:ascii="Aptos" w:hAnsi="Aptos"/>
                <w:b w:val="0"/>
                <w:color w:val="15375A"/>
                <w:sz w:val="16"/>
              </w:rPr>
              <w:t>Pendamping</w:t>
            </w:r>
          </w:p>
        </w:tc>
        <w:tc>
          <w:tcPr>
            <w:tcW w:type="dxa" w:w="4252"/>
            <w:tcMar>
              <w:top w:w="100" w:type="dxa"/>
              <w:start w:w="120" w:type="dxa"/>
              <w:bottom w:w="100" w:type="dxa"/>
              <w:end w:w="120" w:type="dxa"/>
            </w:tcMar>
          </w:tcPr>
          <w:p>
            <w:r>
              <w:rPr>
                <w:rFonts w:ascii="Aptos" w:hAnsi="Aptos"/>
                <w:b w:val="0"/>
                <w:color w:val="15375A"/>
                <w:sz w:val="16"/>
              </w:rPr>
              <w:t>Kolom catatan dan koordinasi petugas</w:t>
            </w:r>
          </w:p>
        </w:tc>
        <w:tc>
          <w:tcPr>
            <w:tcW w:type="dxa" w:w="3175"/>
            <w:tcMar>
              <w:top w:w="100" w:type="dxa"/>
              <w:start w:w="120" w:type="dxa"/>
              <w:bottom w:w="100" w:type="dxa"/>
              <w:end w:w="120" w:type="dxa"/>
            </w:tcMar>
          </w:tcPr>
          <w:p>
            <w:r>
              <w:rPr>
                <w:rFonts w:ascii="Aptos" w:hAnsi="Aptos"/>
                <w:b w:val="0"/>
                <w:color w:val="15375A"/>
                <w:sz w:val="16"/>
              </w:rPr>
              <w:t>Konfirmasi kebutuhan sebelum sesi</w:t>
            </w:r>
          </w:p>
        </w:tc>
      </w:tr>
    </w:tbl>
    <w:p>
      <w:pPr>
        <w:spacing w:after="0"/>
      </w:pPr>
    </w:p>
    <w:p>
      <w:pPr>
        <w:pStyle w:val="Heading1"/>
      </w:pPr>
      <w:r>
        <w:t>Daftar bukti sebelum pengiriman</w:t>
      </w:r>
    </w:p>
    <w:p>
      <w:pPr>
        <w:pStyle w:val="ListBullet"/>
      </w:pPr>
      <w:r>
        <w:t>Konfirmasi tertulis kelayakan peserta, tema, dan usia implementasi KIPP PRO Tematik 2026.</w:t>
      </w:r>
    </w:p>
    <w:p>
      <w:pPr>
        <w:pStyle w:val="ListBullet"/>
      </w:pPr>
      <w:r>
        <w:t>Dokumen yang menetapkan tanggal mulai implementasi pada Juni 2024.</w:t>
      </w:r>
    </w:p>
    <w:p>
      <w:pPr>
        <w:pStyle w:val="ListBullet"/>
      </w:pPr>
      <w:r>
        <w:t>Nama dan NIP/NRP inovator sesuai surat penugasan.</w:t>
      </w:r>
    </w:p>
    <w:p>
      <w:pPr>
        <w:pStyle w:val="ListBullet"/>
      </w:pPr>
      <w:r>
        <w:t>Surat pernyataan implementasi dan URL yang dapat diakses penilai.</w:t>
      </w:r>
    </w:p>
    <w:p>
      <w:pPr>
        <w:pStyle w:val="ListBullet"/>
      </w:pPr>
      <w:r>
        <w:t>Tangkapan layar produksi, SOP, panduan pengguna, dan video inovasi.</w:t>
      </w:r>
    </w:p>
    <w:p>
      <w:pPr>
        <w:pStyle w:val="ListBullet"/>
      </w:pPr>
      <w:r>
        <w:t>Tabel sebelum-sesudah dengan indikator, baseline, capaian, periode, sumber, metode, serta pemilik.</w:t>
      </w:r>
    </w:p>
    <w:p>
      <w:pPr>
        <w:pStyle w:val="ListBullet"/>
      </w:pPr>
      <w:r>
        <w:t>Bukti uji aksesibilitas bersama pengguna sasaran dan tindak lanjut temuannya.</w:t>
      </w:r>
    </w:p>
    <w:p>
      <w:pPr>
        <w:pStyle w:val="ListBullet"/>
      </w:pPr>
      <w:r>
        <w:t>Dokumen sumber daya dan anggaran dengan nominal resmi.</w:t>
      </w:r>
    </w:p>
    <w:p>
      <w:pPr>
        <w:pStyle w:val="ListBullet"/>
      </w:pPr>
      <w:r>
        <w:t>Bukti difusi, daftar peserta, materi, tautan publikasi, dan umpan balik.</w:t>
      </w:r>
    </w:p>
    <w:p>
      <w:pPr>
        <w:pStyle w:val="ListBullet"/>
      </w:pPr>
      <w:r>
        <w:t>Bukti replikasi bila jumlah replikasi diubah dari 0.</w:t>
      </w:r>
    </w:p>
    <w:p>
      <w:pPr>
        <w:pStyle w:val="Heading1"/>
      </w:pPr>
      <w:r>
        <w:t>Sumber rujukan</w:t>
      </w:r>
    </w:p>
    <w:p>
      <w:pPr>
        <w:pStyle w:val="ListNumber"/>
      </w:pPr>
      <w:r>
        <w:t>Kementerian PANRB. KIPP PRO Tematik Tahun 2026 Resmi Diluncurkan, Cermati Persyaratannya. https://menpan.go.id/site/berita-terkini/kipp-pro-tematik-tahun-2026-resmi-diluncurkan-cermati-persyaratannya</w:t>
      </w:r>
    </w:p>
    <w:p>
      <w:pPr>
        <w:pStyle w:val="ListNumber"/>
      </w:pPr>
      <w:r>
        <w:t>SINOVIK Kementerian PANRB. https://sinovik.menpan.go.id/</w:t>
      </w:r>
    </w:p>
    <w:p>
      <w:pPr>
        <w:pStyle w:val="ListNumber"/>
      </w:pPr>
      <w:r>
        <w:t>Kementerian PPN/Bappenas. Metadata dan roadmap SDGs Indonesia untuk Tujuan 9, 10, dan 16. https://sdgs.bappenas.go.id/</w:t>
      </w:r>
    </w:p>
    <w:p>
      <w:pPr>
        <w:pStyle w:val="ListNumber"/>
      </w:pPr>
      <w:r>
        <w:t>Sekretariat Negara Republik Indonesia. Asta Cita Presiden dan Wakil Presiden Republik Indonesia. https://www.setneg.go.id/</w:t>
      </w:r>
    </w:p>
    <w:p>
      <w:pPr>
        <w:pStyle w:val="ListNumber"/>
      </w:pPr>
      <w:r>
        <w:t>BPS Kabupaten Musi Rawas. Situs resmi dan layanan statistik. https://musirawaskab.bps.go.id/</w:t>
      </w:r>
    </w:p>
    <w:sectPr w:rsidR="00FC693F" w:rsidRPr="0006063C" w:rsidSect="00034616">
      <w:headerReference w:type="default" r:id="rId9"/>
      <w:footerReference w:type="default" r:id="rId10"/>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color w:val="687784"/>
        <w:sz w:val="16"/>
      </w:rPr>
      <w:t xml:space="preserve">Halaman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138A8A"/>
        <w:sz w:val="16"/>
      </w:rPr>
      <w:t>PESTA BPS MUSI RAWAS  |  VERSI BERBASIS BUKTI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5375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5375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6EA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5375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PESTA BPS Musi Rawas - Versi berbasis bukti</dc:title>
  <dc:subject>Proposal inovasi pelayanan publik</dc:subject>
  <dc:creator>BPS Kabupaten Musi Rawas</dc:creator>
  <cp:keywords>PESTA, pelayanan statistik, inklusif, SDGs, Asta Cita</cp:keywords>
  <dc:description>generated by python-docx</dc:description>
  <cp:lastModifiedBy/>
  <cp:revision>1</cp:revision>
  <dcterms:created xsi:type="dcterms:W3CDTF">2013-12-23T23:15:00Z</dcterms:created>
  <dcterms:modified xsi:type="dcterms:W3CDTF">2013-12-23T23:15:00Z</dcterms:modified>
  <cp:category/>
</cp:coreProperties>
</file>