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לחצן</w:t>
      </w:r>
      <w:r w:rsidDel="00000000" w:rsidR="00000000" w:rsidRPr="00000000">
        <w:rPr>
          <w:b w:val="1"/>
          <w:sz w:val="36"/>
          <w:szCs w:val="36"/>
          <w:rtl w:val="1"/>
        </w:rPr>
        <w:t xml:space="preserve">-</w:t>
      </w:r>
      <w:r w:rsidDel="00000000" w:rsidR="00000000" w:rsidRPr="00000000">
        <w:rPr>
          <w:b w:val="1"/>
          <w:sz w:val="36"/>
          <w:szCs w:val="36"/>
          <w:rtl w:val="1"/>
        </w:rPr>
        <w:t xml:space="preserve">שימוש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קצר</w:t>
      </w:r>
      <w:r w:rsidDel="00000000" w:rsidR="00000000" w:rsidRPr="00000000">
        <w:rPr>
          <w:b w:val="1"/>
          <w:sz w:val="36"/>
          <w:szCs w:val="36"/>
          <w:rtl w:val="1"/>
        </w:rPr>
        <w:t xml:space="preserve">  </w:t>
      </w:r>
      <w:r w:rsidDel="00000000" w:rsidR="00000000" w:rsidRPr="00000000">
        <w:rPr>
          <w:b w:val="1"/>
          <w:sz w:val="36"/>
          <w:szCs w:val="36"/>
          <w:highlight w:val="cyan"/>
          <w:rtl w:val="0"/>
        </w:rPr>
        <w:t xml:space="preserve">waze </w:t>
      </w:r>
      <w:r w:rsidDel="00000000" w:rsidR="00000000" w:rsidRPr="00000000">
        <w:rPr>
          <w:b w:val="1"/>
          <w:sz w:val="36"/>
          <w:szCs w:val="36"/>
          <w:rtl w:val="1"/>
        </w:rPr>
        <w:t xml:space="preserve">כשהפלאפון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במתקן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04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bidi w:val="1"/>
        <w:rPr/>
      </w:pP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 14131-06-21</w:t>
      </w:r>
    </w:p>
    <w:p w:rsidR="00000000" w:rsidDel="00000000" w:rsidP="00000000" w:rsidRDefault="00000000" w:rsidRPr="00000000" w14:paraId="00000006">
      <w:pPr>
        <w:pStyle w:val="Heading2"/>
        <w:bidi w:val="1"/>
        <w:rPr/>
      </w:pP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מיניס</w:t>
      </w:r>
    </w:p>
    <w:p w:rsidR="00000000" w:rsidDel="00000000" w:rsidP="00000000" w:rsidRDefault="00000000" w:rsidRPr="00000000" w14:paraId="00000007">
      <w:pPr>
        <w:pStyle w:val="Heading2"/>
        <w:bidi w:val="1"/>
        <w:rPr/>
      </w:pPr>
      <w:r w:rsidDel="00000000" w:rsidR="00000000" w:rsidRPr="00000000">
        <w:rPr>
          <w:rtl w:val="1"/>
        </w:rPr>
        <w:t xml:space="preserve">בפני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השופטת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8">
      <w:pPr>
        <w:bidi w:val="1"/>
        <w:rPr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i w:val="1"/>
          <w:sz w:val="32"/>
          <w:szCs w:val="32"/>
          <w:u w:val="single"/>
        </w:rPr>
      </w:pPr>
      <w:r w:rsidDel="00000000" w:rsidR="00000000" w:rsidRPr="00000000">
        <w:rPr>
          <w:i w:val="1"/>
          <w:sz w:val="32"/>
          <w:szCs w:val="32"/>
          <w:u w:val="single"/>
          <w:rtl w:val="1"/>
        </w:rPr>
        <w:t xml:space="preserve">סיכום</w:t>
      </w:r>
      <w:r w:rsidDel="00000000" w:rsidR="00000000" w:rsidRPr="00000000">
        <w:rPr>
          <w:i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i w:val="1"/>
          <w:sz w:val="32"/>
          <w:szCs w:val="32"/>
          <w:u w:val="single"/>
          <w:rtl w:val="1"/>
        </w:rPr>
        <w:t xml:space="preserve">פסק</w:t>
      </w:r>
      <w:r w:rsidDel="00000000" w:rsidR="00000000" w:rsidRPr="00000000">
        <w:rPr>
          <w:i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i w:val="1"/>
          <w:sz w:val="32"/>
          <w:szCs w:val="32"/>
          <w:u w:val="single"/>
          <w:rtl w:val="1"/>
        </w:rPr>
        <w:t xml:space="preserve">הדין</w:t>
      </w:r>
      <w:r w:rsidDel="00000000" w:rsidR="00000000" w:rsidRPr="00000000">
        <w:rPr>
          <w:i w:val="1"/>
          <w:sz w:val="32"/>
          <w:szCs w:val="32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bidi w:val="1"/>
        <w:spacing w:after="12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1"/>
        </w:rPr>
        <w:t xml:space="preserve">מבחינה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עובדתית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לא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ניתן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לקבוע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מעבר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לכל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ספק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סביר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כי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הנאשם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אחז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בטלפון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ביד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ימין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אפשרית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היא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גרסת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הנאשם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לפיה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נגע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ביד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ימין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במסך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הטלפון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שהיה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מונח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במתקן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על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שמשת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רכבו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בעת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תנועת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רכבו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בכיכר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כדי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לסגור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אפליקציית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הניווט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שפעלה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B">
      <w:pPr>
        <w:shd w:fill="ffffff" w:val="clear"/>
        <w:bidi w:val="1"/>
        <w:spacing w:after="12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1"/>
        </w:rPr>
        <w:t xml:space="preserve">לאור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הכרעה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עובדתית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זו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והיתכנות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גרסת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הנאשם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לפיה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נגע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באצבעו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במסך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הטלפון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שהיה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במתקן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על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גבי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שמשת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חזית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הרכב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כדי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לכבות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אפליקציית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הניווט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יש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להכריע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בשאלה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המשפטית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האם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רשאי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היה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הנאשם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אגב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תנועת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הרכב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לגעת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במסך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מכשיר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הטלפון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שהיה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במתקן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לצורך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כיבוי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אפליקציית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הניווט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שהייתה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בשימוש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C">
      <w:pPr>
        <w:shd w:fill="ffffff" w:val="clear"/>
        <w:bidi w:val="1"/>
        <w:spacing w:after="12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1"/>
        </w:rPr>
        <w:t xml:space="preserve">מחוקק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המשנה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התיר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 </w:t>
      </w:r>
      <w:hyperlink r:id="rId7">
        <w:r w:rsidDel="00000000" w:rsidR="00000000" w:rsidRPr="00000000">
          <w:rPr>
            <w:color w:val="0000ff"/>
            <w:sz w:val="28"/>
            <w:szCs w:val="28"/>
            <w:u w:val="single"/>
            <w:rtl w:val="1"/>
          </w:rPr>
          <w:t xml:space="preserve">בתקנה</w:t>
        </w:r>
      </w:hyperlink>
      <w:hyperlink r:id="rId8">
        <w:r w:rsidDel="00000000" w:rsidR="00000000" w:rsidRPr="00000000">
          <w:rPr>
            <w:color w:val="0000ff"/>
            <w:sz w:val="28"/>
            <w:szCs w:val="28"/>
            <w:u w:val="single"/>
            <w:rtl w:val="1"/>
          </w:rPr>
          <w:t xml:space="preserve"> 28</w:t>
        </w:r>
      </w:hyperlink>
      <w:hyperlink r:id="rId9">
        <w:r w:rsidDel="00000000" w:rsidR="00000000" w:rsidRPr="00000000">
          <w:rPr>
            <w:color w:val="0000ff"/>
            <w:sz w:val="28"/>
            <w:szCs w:val="28"/>
            <w:u w:val="single"/>
            <w:rtl w:val="1"/>
          </w:rPr>
          <w:t xml:space="preserve">א</w:t>
        </w:r>
      </w:hyperlink>
      <w:hyperlink r:id="rId10">
        <w:r w:rsidDel="00000000" w:rsidR="00000000" w:rsidRPr="00000000">
          <w:rPr>
            <w:color w:val="0000ff"/>
            <w:sz w:val="28"/>
            <w:szCs w:val="28"/>
            <w:u w:val="single"/>
            <w:rtl w:val="1"/>
          </w:rPr>
          <w:t xml:space="preserve">(</w:t>
        </w:r>
      </w:hyperlink>
      <w:hyperlink r:id="rId11">
        <w:r w:rsidDel="00000000" w:rsidR="00000000" w:rsidRPr="00000000">
          <w:rPr>
            <w:color w:val="0000ff"/>
            <w:sz w:val="28"/>
            <w:szCs w:val="28"/>
            <w:u w:val="single"/>
            <w:rtl w:val="1"/>
          </w:rPr>
          <w:t xml:space="preserve">ב</w:t>
        </w:r>
      </w:hyperlink>
      <w:hyperlink r:id="rId12">
        <w:r w:rsidDel="00000000" w:rsidR="00000000" w:rsidRPr="00000000">
          <w:rPr>
            <w:color w:val="0000ff"/>
            <w:sz w:val="28"/>
            <w:szCs w:val="28"/>
            <w:u w:val="singl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 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</w:t>
      </w:r>
      <w:hyperlink r:id="rId13">
        <w:r w:rsidDel="00000000" w:rsidR="00000000" w:rsidRPr="00000000">
          <w:rPr>
            <w:color w:val="0000ff"/>
            <w:sz w:val="28"/>
            <w:szCs w:val="28"/>
            <w:u w:val="single"/>
            <w:rtl w:val="1"/>
          </w:rPr>
          <w:t xml:space="preserve">תקנות</w:t>
        </w:r>
      </w:hyperlink>
      <w:hyperlink r:id="rId14">
        <w:r w:rsidDel="00000000" w:rsidR="00000000" w:rsidRPr="00000000">
          <w:rPr>
            <w:color w:val="0000ff"/>
            <w:sz w:val="28"/>
            <w:szCs w:val="28"/>
            <w:u w:val="single"/>
            <w:rtl w:val="1"/>
          </w:rPr>
          <w:t xml:space="preserve"> </w:t>
        </w:r>
      </w:hyperlink>
      <w:hyperlink r:id="rId15">
        <w:r w:rsidDel="00000000" w:rsidR="00000000" w:rsidRPr="00000000">
          <w:rPr>
            <w:color w:val="0000ff"/>
            <w:sz w:val="28"/>
            <w:szCs w:val="28"/>
            <w:u w:val="single"/>
            <w:rtl w:val="1"/>
          </w:rPr>
          <w:t xml:space="preserve">התעבורה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הפעלת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תצוגה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המיועדת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לניווט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של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הרכב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–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דהיינו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התיר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השימוש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באפליקציית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וויז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מכך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ניתן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להסיק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מכללא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–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כי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מותרת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גם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כל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פעולה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סבירה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שמטרתה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לאפשר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הפעלת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האפליקציה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או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שימוש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או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סיום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הפעלתה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D">
      <w:pPr>
        <w:shd w:fill="ffffff" w:val="clear"/>
        <w:bidi w:val="1"/>
        <w:spacing w:after="12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1"/>
        </w:rPr>
        <w:t xml:space="preserve">נגיעה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בודדת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במסך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הטלפון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המונח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במתקן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קבוע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על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שמשת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הרכב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לשם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הפעלת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האפליקציה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או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ניתוקה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 –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נחשב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בגדר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פעולה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סבירה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ץ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כמובן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שהקלדה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העולה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על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נגיעה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אחת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או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שתיים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–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כגון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הקלדת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יעד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הנסיעה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אינה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סבירה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בשל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היסח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הדעת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המשמעותי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הנגרם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לנהג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ולאור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הסיכון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הבטיחותי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של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רכב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הנמצא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בתנועה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ונהגו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מפנה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מבטו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למסך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הטלפון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ומרוכז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בהקלדה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ממושכת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bidi w:val="1"/>
        <w:spacing w:after="12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1"/>
        </w:rPr>
        <w:t xml:space="preserve">מאחר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שבית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המשפט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לא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שוכנע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מעבר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לכל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ספק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כי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הנאשם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ביצע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העבירה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המיוחסת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לו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(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אחיזה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בטלפון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נייד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אגב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תנועת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הרכב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)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ולאור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המסקנה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כי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מותרת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נגיעה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בודדת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במסך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הטלפון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לשם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כיבוי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אפליקציית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הניווט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או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הפעלתה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יש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לזכות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הנאשם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...</w:t>
      </w:r>
    </w:p>
    <w:p w:rsidR="00000000" w:rsidDel="00000000" w:rsidP="00000000" w:rsidRDefault="00000000" w:rsidRPr="00000000" w14:paraId="0000000F">
      <w:pPr>
        <w:bidi w:val="1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1"/>
        </w:rPr>
        <w:t xml:space="preserve">לחצן</w:t>
      </w:r>
      <w:r w:rsidDel="00000000" w:rsidR="00000000" w:rsidRPr="00000000">
        <w:rPr>
          <w:b w:val="1"/>
          <w:i w:val="1"/>
          <w:sz w:val="36"/>
          <w:szCs w:val="36"/>
          <w:u w:val="single"/>
          <w:rtl w:val="1"/>
        </w:rPr>
        <w:t xml:space="preserve">-</w:t>
      </w:r>
      <w:r w:rsidDel="00000000" w:rsidR="00000000" w:rsidRPr="00000000">
        <w:rPr>
          <w:b w:val="1"/>
          <w:i w:val="1"/>
          <w:sz w:val="36"/>
          <w:szCs w:val="36"/>
          <w:u w:val="single"/>
          <w:rtl w:val="1"/>
        </w:rPr>
        <w:t xml:space="preserve">הכחשה</w:t>
      </w:r>
      <w:r w:rsidDel="00000000" w:rsidR="00000000" w:rsidRPr="00000000">
        <w:rPr>
          <w:b w:val="1"/>
          <w:i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u w:val="single"/>
          <w:rtl w:val="1"/>
        </w:rPr>
        <w:t xml:space="preserve">מוחלטת</w:t>
      </w:r>
    </w:p>
    <w:p w:rsidR="00000000" w:rsidDel="00000000" w:rsidP="00000000" w:rsidRDefault="00000000" w:rsidRPr="00000000" w14:paraId="00000012">
      <w:pPr>
        <w:pStyle w:val="Heading2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bidi w:val="1"/>
        <w:rPr>
          <w:rFonts w:ascii="David" w:cs="David" w:eastAsia="David" w:hAnsi="David"/>
          <w:highlight w:val="white"/>
        </w:rPr>
      </w:pPr>
      <w:r w:rsidDel="00000000" w:rsidR="00000000" w:rsidRPr="00000000">
        <w:rPr>
          <w:rFonts w:ascii="David" w:cs="David" w:eastAsia="David" w:hAnsi="David"/>
          <w:highlight w:val="white"/>
          <w:rtl w:val="1"/>
        </w:rPr>
        <w:t xml:space="preserve">תת</w:t>
      </w:r>
      <w:r w:rsidDel="00000000" w:rsidR="00000000" w:rsidRPr="00000000">
        <w:rPr>
          <w:rFonts w:ascii="David" w:cs="David" w:eastAsia="David" w:hAnsi="David"/>
          <w:highlight w:val="whit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highlight w:val="white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highlight w:val="whit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highlight w:val="white"/>
          <w:rtl w:val="1"/>
        </w:rPr>
        <w:t xml:space="preserve">מרכז</w:t>
      </w:r>
      <w:r w:rsidDel="00000000" w:rsidR="00000000" w:rsidRPr="00000000">
        <w:rPr>
          <w:rFonts w:ascii="David" w:cs="David" w:eastAsia="David" w:hAnsi="David"/>
          <w:highlight w:val="white"/>
          <w:rtl w:val="1"/>
        </w:rPr>
        <w:t xml:space="preserve">) 3154-02-20  </w:t>
      </w:r>
    </w:p>
    <w:p w:rsidR="00000000" w:rsidDel="00000000" w:rsidP="00000000" w:rsidRDefault="00000000" w:rsidRPr="00000000" w14:paraId="00000014">
      <w:pPr>
        <w:pStyle w:val="Heading2"/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highlight w:val="white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highlight w:val="white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highlight w:val="white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highlight w:val="white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highlight w:val="white"/>
          <w:rtl w:val="1"/>
        </w:rPr>
        <w:t xml:space="preserve">אבינועם</w:t>
      </w:r>
      <w:r w:rsidDel="00000000" w:rsidR="00000000" w:rsidRPr="00000000">
        <w:rPr>
          <w:rFonts w:ascii="David" w:cs="David" w:eastAsia="David" w:hAnsi="David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highlight w:val="white"/>
          <w:rtl w:val="1"/>
        </w:rPr>
        <w:t xml:space="preserve">דבוש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highlight w:val="white"/>
          <w:rtl w:val="1"/>
        </w:rPr>
        <w:t xml:space="preserve">כבוד</w:t>
      </w:r>
      <w:r w:rsidDel="00000000" w:rsidR="00000000" w:rsidRPr="00000000">
        <w:rPr>
          <w:rFonts w:ascii="David" w:cs="David" w:eastAsia="David" w:hAnsi="David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highlight w:val="white"/>
          <w:rtl w:val="1"/>
        </w:rPr>
        <w:t xml:space="preserve">השופטת</w:t>
      </w:r>
      <w:r w:rsidDel="00000000" w:rsidR="00000000" w:rsidRPr="00000000">
        <w:rPr>
          <w:rFonts w:ascii="David" w:cs="David" w:eastAsia="David" w:hAnsi="David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highlight w:val="white"/>
          <w:rtl w:val="1"/>
        </w:rPr>
        <w:t xml:space="preserve">לאה</w:t>
      </w:r>
      <w:r w:rsidDel="00000000" w:rsidR="00000000" w:rsidRPr="00000000">
        <w:rPr>
          <w:rFonts w:ascii="David" w:cs="David" w:eastAsia="David" w:hAnsi="David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highlight w:val="white"/>
          <w:rtl w:val="1"/>
        </w:rPr>
        <w:t xml:space="preserve">שלזינגר</w:t>
      </w:r>
      <w:r w:rsidDel="00000000" w:rsidR="00000000" w:rsidRPr="00000000">
        <w:rPr>
          <w:rFonts w:ascii="David" w:cs="David" w:eastAsia="David" w:hAnsi="David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highlight w:val="white"/>
          <w:rtl w:val="1"/>
        </w:rPr>
        <w:t xml:space="preserve">שמאי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rFonts w:ascii="David" w:cs="David" w:eastAsia="David" w:hAnsi="David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i w:val="1"/>
          <w:sz w:val="28"/>
          <w:szCs w:val="28"/>
          <w:u w:val="single"/>
          <w:rtl w:val="1"/>
        </w:rPr>
        <w:t xml:space="preserve">דברי</w:t>
      </w:r>
      <w:r w:rsidDel="00000000" w:rsidR="00000000" w:rsidRPr="00000000">
        <w:rPr>
          <w:rFonts w:ascii="David" w:cs="David" w:eastAsia="David" w:hAnsi="David"/>
          <w:b w:val="1"/>
          <w:i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8"/>
          <w:szCs w:val="28"/>
          <w:u w:val="singl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1"/>
          <w:i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8"/>
          <w:szCs w:val="28"/>
          <w:u w:val="single"/>
          <w:rtl w:val="1"/>
        </w:rPr>
        <w:t xml:space="preserve">והסיבה</w:t>
      </w:r>
      <w:r w:rsidDel="00000000" w:rsidR="00000000" w:rsidRPr="00000000">
        <w:rPr>
          <w:rFonts w:ascii="David" w:cs="David" w:eastAsia="David" w:hAnsi="David"/>
          <w:b w:val="1"/>
          <w:i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8"/>
          <w:szCs w:val="28"/>
          <w:u w:val="single"/>
          <w:rtl w:val="1"/>
        </w:rPr>
        <w:t xml:space="preserve">לזיכוי</w:t>
      </w:r>
      <w:r w:rsidDel="00000000" w:rsidR="00000000" w:rsidRPr="00000000">
        <w:rPr>
          <w:rFonts w:ascii="David" w:cs="David" w:eastAsia="David" w:hAnsi="David"/>
          <w:b w:val="1"/>
          <w:i w:val="1"/>
          <w:sz w:val="28"/>
          <w:szCs w:val="28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bidi w:val="1"/>
        <w:ind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 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שבחר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להעיד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סיפר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בעדותו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בנסיעה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לכיוון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אור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עקיבא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אשתו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ברכב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והם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שמעו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מוזיקה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הטלפון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הנייד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אשתו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שישבה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לצידו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החזיקה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הטלפון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לגירסת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שהשוטר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הטיח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שהחזיק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הטלפון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ביד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השיב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החזיק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אשתו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 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שהחזיקה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המכשיר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שראה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שהשוטר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רשם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בדוח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תגובתו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האותנטית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אחרים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סירב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לחתום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קבלת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הדוח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bidi w:val="1"/>
        <w:spacing w:after="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אשתו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העידה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בעדותה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סיפרה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שהשתמשה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בטלפון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הנייד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ונגעה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בחקירתה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הנגדית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ציינה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העדה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אחזה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בטלפון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הנייד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מונח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בינה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לבין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בעלה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קרוב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לתיבת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ההילוכים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והיא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נגעה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בטלפון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והשמיעה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שיר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שבה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ואמרה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בעלה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נגע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בטלפון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bidi w:val="1"/>
        <w:spacing w:after="0" w:lineRule="auto"/>
        <w:rPr>
          <w:rFonts w:ascii="Times New Roman" w:cs="Times New Roman" w:eastAsia="Times New Roman" w:hAnsi="Times New Roman"/>
          <w:i w:val="1"/>
          <w:color w:val="000000"/>
          <w:sz w:val="27"/>
          <w:szCs w:val="27"/>
          <w:u w:val="single"/>
        </w:rPr>
      </w:pPr>
      <w:r w:rsidDel="00000000" w:rsidR="00000000" w:rsidRPr="00000000">
        <w:rPr>
          <w:rFonts w:ascii="David" w:cs="David" w:eastAsia="David" w:hAnsi="David"/>
          <w:i w:val="1"/>
          <w:color w:val="000000"/>
          <w:sz w:val="27"/>
          <w:szCs w:val="27"/>
          <w:u w:val="single"/>
          <w:rtl w:val="1"/>
        </w:rPr>
        <w:t xml:space="preserve">כבוד</w:t>
      </w:r>
      <w:r w:rsidDel="00000000" w:rsidR="00000000" w:rsidRPr="00000000">
        <w:rPr>
          <w:rFonts w:ascii="David" w:cs="David" w:eastAsia="David" w:hAnsi="David"/>
          <w:i w:val="1"/>
          <w:color w:val="000000"/>
          <w:sz w:val="27"/>
          <w:szCs w:val="27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color w:val="000000"/>
          <w:sz w:val="27"/>
          <w:szCs w:val="27"/>
          <w:u w:val="single"/>
          <w:rtl w:val="1"/>
        </w:rPr>
        <w:t xml:space="preserve">השופטת</w:t>
      </w:r>
      <w:r w:rsidDel="00000000" w:rsidR="00000000" w:rsidRPr="00000000">
        <w:rPr>
          <w:rFonts w:ascii="David" w:cs="David" w:eastAsia="David" w:hAnsi="David"/>
          <w:i w:val="1"/>
          <w:color w:val="000000"/>
          <w:sz w:val="27"/>
          <w:szCs w:val="27"/>
          <w:u w:val="single"/>
          <w:rtl w:val="1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after="0" w:lineRule="auto"/>
        <w:rPr>
          <w:rFonts w:ascii="Times New Roman" w:cs="Times New Roman" w:eastAsia="Times New Roman" w:hAnsi="Times New Roman"/>
          <w:i w:val="1"/>
          <w:color w:val="000000"/>
          <w:sz w:val="27"/>
          <w:szCs w:val="27"/>
          <w:u w:val="single"/>
        </w:rPr>
      </w:pP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בפני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שתי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גרסאות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סותרות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ואינני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 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יכולה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להעדיף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האחת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פני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רעותה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לפיכך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נותר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בליבי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ספק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אכן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ביצע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העבירה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המיוחסת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ועל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מזכה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מחמת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הספק</w:t>
      </w:r>
      <w:r w:rsidDel="00000000" w:rsidR="00000000" w:rsidRPr="00000000">
        <w:rPr>
          <w:rFonts w:ascii="David" w:cs="David" w:eastAsia="David" w:hAnsi="David"/>
          <w:color w:val="000000"/>
          <w:sz w:val="27"/>
          <w:szCs w:val="27"/>
          <w:rtl w:val="1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bidi w:val="1"/>
        <w:spacing w:after="280" w:before="280" w:lineRule="auto"/>
        <w:ind w:right="720" w:hanging="360"/>
        <w:jc w:val="both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bidi w:val="1"/>
        <w:spacing w:after="280" w:before="280" w:lineRule="auto"/>
        <w:ind w:right="720" w:hanging="360"/>
        <w:jc w:val="both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1"/>
        </w:rPr>
        <w:t xml:space="preserve">לחצן</w:t>
      </w:r>
      <w:r w:rsidDel="00000000" w:rsidR="00000000" w:rsidRPr="00000000">
        <w:rPr>
          <w:b w:val="1"/>
          <w:color w:val="000000"/>
          <w:sz w:val="36"/>
          <w:szCs w:val="36"/>
          <w:rtl w:val="1"/>
        </w:rPr>
        <w:t xml:space="preserve">-</w:t>
      </w:r>
      <w:r w:rsidDel="00000000" w:rsidR="00000000" w:rsidRPr="00000000">
        <w:rPr>
          <w:b w:val="1"/>
          <w:color w:val="000000"/>
          <w:sz w:val="36"/>
          <w:szCs w:val="36"/>
          <w:rtl w:val="1"/>
        </w:rPr>
        <w:t xml:space="preserve">חסרים</w:t>
      </w:r>
      <w:r w:rsidDel="00000000" w:rsidR="00000000" w:rsidRPr="00000000">
        <w:rPr>
          <w:b w:val="1"/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36"/>
          <w:szCs w:val="36"/>
          <w:rtl w:val="1"/>
        </w:rPr>
        <w:t xml:space="preserve">פרטים</w:t>
      </w:r>
      <w:r w:rsidDel="00000000" w:rsidR="00000000" w:rsidRPr="00000000">
        <w:rPr>
          <w:b w:val="1"/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36"/>
          <w:szCs w:val="36"/>
          <w:rtl w:val="1"/>
        </w:rPr>
        <w:t xml:space="preserve">מהותיים</w:t>
      </w:r>
      <w:r w:rsidDel="00000000" w:rsidR="00000000" w:rsidRPr="00000000">
        <w:rPr>
          <w:b w:val="1"/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36"/>
          <w:szCs w:val="36"/>
          <w:rtl w:val="1"/>
        </w:rPr>
        <w:t xml:space="preserve">בדו</w:t>
      </w:r>
      <w:r w:rsidDel="00000000" w:rsidR="00000000" w:rsidRPr="00000000">
        <w:rPr>
          <w:b w:val="1"/>
          <w:color w:val="000000"/>
          <w:sz w:val="36"/>
          <w:szCs w:val="36"/>
          <w:rtl w:val="1"/>
        </w:rPr>
        <w:t xml:space="preserve">"</w:t>
      </w:r>
      <w:r w:rsidDel="00000000" w:rsidR="00000000" w:rsidRPr="00000000">
        <w:rPr>
          <w:b w:val="1"/>
          <w:color w:val="000000"/>
          <w:sz w:val="36"/>
          <w:szCs w:val="36"/>
          <w:rtl w:val="1"/>
        </w:rPr>
        <w:t xml:space="preserve">ח</w:t>
      </w:r>
      <w:r w:rsidDel="00000000" w:rsidR="00000000" w:rsidRPr="00000000">
        <w:rPr>
          <w:b w:val="1"/>
          <w:color w:val="000000"/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1E">
      <w:pPr>
        <w:pStyle w:val="Heading2"/>
        <w:bidi w:val="1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תת</w:t>
      </w:r>
      <w:r w:rsidDel="00000000" w:rsidR="00000000" w:rsidRPr="00000000">
        <w:rPr>
          <w:highlight w:val="white"/>
          <w:rtl w:val="1"/>
        </w:rPr>
        <w:t xml:space="preserve">"</w:t>
      </w:r>
      <w:r w:rsidDel="00000000" w:rsidR="00000000" w:rsidRPr="00000000">
        <w:rPr>
          <w:highlight w:val="white"/>
          <w:rtl w:val="1"/>
        </w:rPr>
        <w:t xml:space="preserve">ע</w:t>
      </w:r>
      <w:r w:rsidDel="00000000" w:rsidR="00000000" w:rsidRPr="00000000">
        <w:rPr>
          <w:highlight w:val="white"/>
          <w:rtl w:val="1"/>
        </w:rPr>
        <w:t xml:space="preserve"> (</w:t>
      </w:r>
      <w:r w:rsidDel="00000000" w:rsidR="00000000" w:rsidRPr="00000000">
        <w:rPr>
          <w:highlight w:val="white"/>
          <w:rtl w:val="1"/>
        </w:rPr>
        <w:t xml:space="preserve">מרכז</w:t>
      </w:r>
      <w:r w:rsidDel="00000000" w:rsidR="00000000" w:rsidRPr="00000000">
        <w:rPr>
          <w:highlight w:val="white"/>
          <w:rtl w:val="1"/>
        </w:rPr>
        <w:t xml:space="preserve">) 426-06-21 </w:t>
      </w:r>
    </w:p>
    <w:p w:rsidR="00000000" w:rsidDel="00000000" w:rsidP="00000000" w:rsidRDefault="00000000" w:rsidRPr="00000000" w14:paraId="0000001F">
      <w:pPr>
        <w:pStyle w:val="Heading2"/>
        <w:bidi w:val="1"/>
        <w:rPr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מדינת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ישראל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נ</w:t>
      </w:r>
      <w:r w:rsidDel="00000000" w:rsidR="00000000" w:rsidRPr="00000000">
        <w:rPr>
          <w:highlight w:val="white"/>
          <w:rtl w:val="1"/>
        </w:rPr>
        <w:t xml:space="preserve">' </w:t>
      </w:r>
      <w:r w:rsidDel="00000000" w:rsidR="00000000" w:rsidRPr="00000000">
        <w:rPr>
          <w:highlight w:val="white"/>
          <w:rtl w:val="1"/>
        </w:rPr>
        <w:t xml:space="preserve">יוסף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יצחק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מצרפי</w:t>
      </w:r>
    </w:p>
    <w:p w:rsidR="00000000" w:rsidDel="00000000" w:rsidP="00000000" w:rsidRDefault="00000000" w:rsidRPr="00000000" w14:paraId="00000020">
      <w:pPr>
        <w:pStyle w:val="Heading2"/>
        <w:bidi w:val="1"/>
        <w:rPr>
          <w:highlight w:val="white"/>
        </w:rPr>
      </w:pPr>
      <w:r w:rsidDel="00000000" w:rsidR="00000000" w:rsidRPr="00000000">
        <w:rPr>
          <w:rtl w:val="1"/>
        </w:rPr>
        <w:t xml:space="preserve">בפני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השופטת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bidi w:val="1"/>
        <w:spacing w:after="280" w:before="280" w:lineRule="auto"/>
        <w:ind w:right="720" w:hanging="36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1"/>
        </w:rPr>
        <w:t xml:space="preserve">הסיבות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1"/>
        </w:rPr>
        <w:t xml:space="preserve">לזיכוי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1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280" w:line="259" w:lineRule="auto"/>
        <w:ind w:left="720" w:right="72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השוטר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המיקום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המדויק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ניידת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המשטרה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חניון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מכבי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האש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280" w:before="0" w:line="259" w:lineRule="auto"/>
        <w:ind w:left="720" w:right="72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נתיב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נסיעתו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רכב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ציין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המרחק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הרכבים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שחלף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4">
      <w:pPr>
        <w:shd w:fill="ffffff" w:val="clear"/>
        <w:bidi w:val="1"/>
        <w:spacing w:after="280" w:before="280" w:lineRule="auto"/>
        <w:ind w:right="720" w:hanging="360"/>
        <w:jc w:val="both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בבית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בחקירתו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הנגדית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סימן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מיקום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הניידת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גבי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התמונ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2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קרוב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ליציאה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החניון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אולם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ציין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מיקום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שונה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הניידת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החניון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בבית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בחקירתו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הנגדית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ציין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השוטר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המרחק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 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הרכבים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-10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מטרים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ישנו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קושי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מובנה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במתן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תשובה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שעה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שהעיד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שאינו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זוכר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באיזה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נתיב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נסע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רכב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התמונה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עולה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,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מול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היציאה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מחניון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מכבי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האש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ברחוב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יהודה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הנשיא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נסע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3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נתיבים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ישנה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חשיבות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לציון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נתיב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נסיעת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רכב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בימני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 -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הנתיב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הכי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קרוב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לניידת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באמצעי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בשמאלי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חשוב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להתייחס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לתנועת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רכבים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אחרים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בכביש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היו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לאו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חצץ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בינו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לבין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רכב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רכב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u w:val="single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240" w:line="259" w:lineRule="auto"/>
        <w:ind w:left="2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השוטר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ציין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מהו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הבחין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בביצוע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העבירה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59" w:lineRule="auto"/>
        <w:ind w:left="2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מרחק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הנסיעה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שעבר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רכב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העבירה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0" w:line="259" w:lineRule="auto"/>
        <w:ind w:left="2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מהירות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נסיעת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רכב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bidi w:val="1"/>
        <w:spacing w:before="240" w:lineRule="auto"/>
        <w:ind w:left="1080" w:firstLine="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לעדות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השוטר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הבחין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בביצוע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העבירה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לכאורה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שרכב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חלף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פניו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לשלול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האפשרות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מדובר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בפרק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קצר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ביותר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שניה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כנטען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ובא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כוחו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צויין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מהירות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נסיעת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רכב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היתה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איטית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דיה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שהשוטר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אכן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להבחין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בבירור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בביצוע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העבירה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ולכן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אוכל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לקבוע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רכב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גלוי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לעיניו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סביר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המאפשר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זיהוי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העבירה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המיוחסת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לנאשם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ברמת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הוודאות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הנדרשת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240" w:line="259" w:lineRule="auto"/>
        <w:ind w:left="17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השוטר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ציין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ברכבו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עמדת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מגנט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אליה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לחבר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הטלפון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ומכאן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נסתרה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גרסת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ברכב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עמדת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מגנט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אליה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מחובר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הטלפון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הנייד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בטרם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נפל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נעשה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בטלפון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הרים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מרצפת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הרכב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0" w:line="259" w:lineRule="auto"/>
        <w:ind w:left="17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בעובדות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מהותיות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לשאלת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האשמה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מניעה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שהשוטר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יתייחס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אליהן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בפירוט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נסיבות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המקרה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הבחין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בבירור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בביצוע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העבירה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כנטען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ידו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bidi w:val="1"/>
        <w:spacing w:before="240" w:lineRule="auto"/>
        <w:ind w:left="720" w:firstLine="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מדובר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בעבירה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לכאורה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נדרש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השוטר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להבחין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במתרחש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 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 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הרכב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להבדיל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מעבירות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בהן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נראה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 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הרכב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 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מבצע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עבירה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כדוגמת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עבירות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מתן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זכות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קדימה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סטיה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מנתיב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עקיפה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אסורה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בעבירות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המתרחשות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 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 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הרכב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כגון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בטלפון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נייד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אחזקתו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ואי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חגירת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חגורת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בטיחות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להקפיד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הקפדה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יתרה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בחינת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דיות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הראיות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כמותן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ואיכותן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240" w:line="259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כפירתו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ובעדותו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אישר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חלקית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תגובותיו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שנרשמו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בדוח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השתמשתי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הטלפון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נפל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וברמזור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הרמתי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למגנט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תגובות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תועדו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בסרטוני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מצלמת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הגוף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/5).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לתגובה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נרשמה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/1 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הזזתי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הטלפון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" – 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אישר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אזכור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בסרטונים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bidi w:val="1"/>
        <w:spacing w:before="240" w:lineRule="auto"/>
        <w:ind w:left="720" w:firstLine="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צפיתי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-4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סרטוני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מצלמת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הגוף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השוטר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בסרטון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הראשון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מתועד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 "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הטענתי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ברמזור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נגעתי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...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אתה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צודק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אולי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התחלתי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לקחת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...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אולי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טעינה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ניסיתי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...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נופל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מהמגנט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bidi w:val="1"/>
        <w:spacing w:before="240" w:lineRule="auto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i w:val="1"/>
          <w:color w:val="000000"/>
          <w:sz w:val="28"/>
          <w:szCs w:val="28"/>
          <w:u w:val="single"/>
          <w:rtl w:val="1"/>
        </w:rPr>
        <w:t xml:space="preserve">אציין</w:t>
      </w:r>
      <w:r w:rsidDel="00000000" w:rsidR="00000000" w:rsidRPr="00000000">
        <w:rPr>
          <w:rFonts w:ascii="David" w:cs="David" w:eastAsia="David" w:hAnsi="David"/>
          <w:i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color w:val="000000"/>
          <w:sz w:val="28"/>
          <w:szCs w:val="28"/>
          <w:u w:val="singl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i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color w:val="000000"/>
          <w:sz w:val="28"/>
          <w:szCs w:val="28"/>
          <w:u w:val="single"/>
          <w:rtl w:val="1"/>
        </w:rPr>
        <w:t xml:space="preserve">תמלול</w:t>
      </w:r>
      <w:r w:rsidDel="00000000" w:rsidR="00000000" w:rsidRPr="00000000">
        <w:rPr>
          <w:rFonts w:ascii="David" w:cs="David" w:eastAsia="David" w:hAnsi="David"/>
          <w:i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color w:val="000000"/>
          <w:sz w:val="28"/>
          <w:szCs w:val="28"/>
          <w:u w:val="single"/>
          <w:rtl w:val="1"/>
        </w:rPr>
        <w:t xml:space="preserve">הסרטונים</w:t>
      </w:r>
      <w:r w:rsidDel="00000000" w:rsidR="00000000" w:rsidRPr="00000000">
        <w:rPr>
          <w:rFonts w:ascii="David" w:cs="David" w:eastAsia="David" w:hAnsi="David"/>
          <w:i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color w:val="000000"/>
          <w:sz w:val="28"/>
          <w:szCs w:val="28"/>
          <w:u w:val="singl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i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color w:val="000000"/>
          <w:sz w:val="28"/>
          <w:szCs w:val="28"/>
          <w:u w:val="single"/>
          <w:rtl w:val="1"/>
        </w:rPr>
        <w:t xml:space="preserve">הוגש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ובכך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טעם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לפגם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חילוץ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מלוא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השיח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השוטר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לנאשם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הוטל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כתפי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ערובה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לאיכות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חילוץ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" .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מוגש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לעיוני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תמלול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4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הסרטונים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יכולתי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לאמוד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בדיוק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ניכר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מלוא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תגובות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ולעקוב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השיח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המלא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השוטר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לנאשם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מילה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במילה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צפיתי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כמה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פעמים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-4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סרטוני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מצלמת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הגוף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והאזנתי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מצאתי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תגובות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עולות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הודאה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ראשית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הודאה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bidi w:val="1"/>
        <w:spacing w:after="0" w:lineRule="auto"/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אדגיש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איני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קובעת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עדויות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עדי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התביעה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אינן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אמינות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השוטר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מסר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בעדותו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די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שאוכל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לקבוע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בוודאות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הדרושה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במשפט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הפלילי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שהנאשם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אכן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אחז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בטלפון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ביד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שמאל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קרוב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לפניו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אגב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תנועת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רכבו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הזמן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הבחין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השוטר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בנסיעת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בכיכר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קצר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מדובר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בעבירה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שנעברה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 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 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רכב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הנמצא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במרחק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תועד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אמת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בשל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ייתכן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והשוטר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טעה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לחשוב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בוצעה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העבירה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כנטען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bidi w:val="1"/>
        <w:spacing w:after="0" w:lineRule="auto"/>
        <w:ind w:left="720" w:firstLine="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bidi w:val="1"/>
        <w:spacing w:after="0" w:lineRule="auto"/>
        <w:ind w:left="720" w:firstLine="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i w:val="1"/>
          <w:color w:val="000000"/>
          <w:sz w:val="28"/>
          <w:szCs w:val="28"/>
          <w:u w:val="single"/>
          <w:rtl w:val="1"/>
        </w:rPr>
        <w:t xml:space="preserve">בע</w:t>
      </w:r>
      <w:r w:rsidDel="00000000" w:rsidR="00000000" w:rsidRPr="00000000">
        <w:rPr>
          <w:rFonts w:ascii="David" w:cs="David" w:eastAsia="David" w:hAnsi="David"/>
          <w:i w:val="1"/>
          <w:color w:val="000000"/>
          <w:sz w:val="28"/>
          <w:szCs w:val="28"/>
          <w:u w:val="singl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i w:val="1"/>
          <w:color w:val="000000"/>
          <w:sz w:val="28"/>
          <w:szCs w:val="28"/>
          <w:u w:val="single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i w:val="1"/>
          <w:color w:val="000000"/>
          <w:sz w:val="28"/>
          <w:szCs w:val="28"/>
          <w:u w:val="singl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i w:val="1"/>
          <w:color w:val="000000"/>
          <w:sz w:val="28"/>
          <w:szCs w:val="28"/>
          <w:u w:val="single"/>
          <w:rtl w:val="1"/>
        </w:rPr>
        <w:t xml:space="preserve">מחוזי</w:t>
      </w:r>
      <w:r w:rsidDel="00000000" w:rsidR="00000000" w:rsidRPr="00000000">
        <w:rPr>
          <w:rFonts w:ascii="David" w:cs="David" w:eastAsia="David" w:hAnsi="David"/>
          <w:i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color w:val="000000"/>
          <w:sz w:val="28"/>
          <w:szCs w:val="28"/>
          <w:u w:val="single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i w:val="1"/>
          <w:color w:val="000000"/>
          <w:sz w:val="28"/>
          <w:szCs w:val="28"/>
          <w:u w:val="singl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i w:val="1"/>
          <w:color w:val="000000"/>
          <w:sz w:val="28"/>
          <w:szCs w:val="28"/>
          <w:u w:val="single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i w:val="1"/>
          <w:color w:val="000000"/>
          <w:sz w:val="28"/>
          <w:szCs w:val="28"/>
          <w:u w:val="single"/>
          <w:rtl w:val="1"/>
        </w:rPr>
        <w:t xml:space="preserve">) 4004/98 </w:t>
      </w:r>
      <w:r w:rsidDel="00000000" w:rsidR="00000000" w:rsidRPr="00000000">
        <w:rPr>
          <w:rFonts w:ascii="David" w:cs="David" w:eastAsia="David" w:hAnsi="David"/>
          <w:i w:val="1"/>
          <w:color w:val="000000"/>
          <w:sz w:val="28"/>
          <w:szCs w:val="28"/>
          <w:u w:val="single"/>
          <w:rtl w:val="1"/>
        </w:rPr>
        <w:t xml:space="preserve">ורשבסקי</w:t>
      </w:r>
      <w:r w:rsidDel="00000000" w:rsidR="00000000" w:rsidRPr="00000000">
        <w:rPr>
          <w:rFonts w:ascii="David" w:cs="David" w:eastAsia="David" w:hAnsi="David"/>
          <w:i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color w:val="000000"/>
          <w:sz w:val="28"/>
          <w:szCs w:val="28"/>
          <w:u w:val="single"/>
          <w:rtl w:val="1"/>
        </w:rPr>
        <w:t xml:space="preserve">נגד</w:t>
      </w:r>
      <w:r w:rsidDel="00000000" w:rsidR="00000000" w:rsidRPr="00000000">
        <w:rPr>
          <w:rFonts w:ascii="David" w:cs="David" w:eastAsia="David" w:hAnsi="David"/>
          <w:i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color w:val="000000"/>
          <w:sz w:val="28"/>
          <w:szCs w:val="28"/>
          <w:u w:val="single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i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color w:val="000000"/>
          <w:sz w:val="28"/>
          <w:szCs w:val="28"/>
          <w:u w:val="single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i w:val="1"/>
          <w:color w:val="000000"/>
          <w:sz w:val="28"/>
          <w:szCs w:val="28"/>
          <w:u w:val="single"/>
          <w:rtl w:val="1"/>
        </w:rPr>
        <w:t xml:space="preserve"> (13.12.98), </w:t>
      </w:r>
      <w:r w:rsidDel="00000000" w:rsidR="00000000" w:rsidRPr="00000000">
        <w:rPr>
          <w:rFonts w:ascii="David" w:cs="David" w:eastAsia="David" w:hAnsi="David"/>
          <w:i w:val="1"/>
          <w:color w:val="000000"/>
          <w:sz w:val="28"/>
          <w:szCs w:val="28"/>
          <w:u w:val="single"/>
          <w:rtl w:val="1"/>
        </w:rPr>
        <w:t xml:space="preserve">קבע</w:t>
      </w:r>
      <w:r w:rsidDel="00000000" w:rsidR="00000000" w:rsidRPr="00000000">
        <w:rPr>
          <w:rFonts w:ascii="David" w:cs="David" w:eastAsia="David" w:hAnsi="David"/>
          <w:i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color w:val="000000"/>
          <w:sz w:val="28"/>
          <w:szCs w:val="28"/>
          <w:u w:val="single"/>
          <w:rtl w:val="1"/>
        </w:rPr>
        <w:t xml:space="preserve">כבוד</w:t>
      </w:r>
      <w:r w:rsidDel="00000000" w:rsidR="00000000" w:rsidRPr="00000000">
        <w:rPr>
          <w:rFonts w:ascii="David" w:cs="David" w:eastAsia="David" w:hAnsi="David"/>
          <w:i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color w:val="000000"/>
          <w:sz w:val="28"/>
          <w:szCs w:val="28"/>
          <w:u w:val="single"/>
          <w:rtl w:val="1"/>
        </w:rPr>
        <w:t xml:space="preserve">הש</w:t>
      </w:r>
      <w:r w:rsidDel="00000000" w:rsidR="00000000" w:rsidRPr="00000000">
        <w:rPr>
          <w:rFonts w:ascii="David" w:cs="David" w:eastAsia="David" w:hAnsi="David"/>
          <w:i w:val="1"/>
          <w:color w:val="000000"/>
          <w:sz w:val="28"/>
          <w:szCs w:val="28"/>
          <w:u w:val="single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i w:val="1"/>
          <w:color w:val="000000"/>
          <w:sz w:val="28"/>
          <w:szCs w:val="28"/>
          <w:u w:val="single"/>
          <w:rtl w:val="1"/>
        </w:rPr>
        <w:t xml:space="preserve">מודריק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:"...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בוודאי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שלעולם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עדות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השוטר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כעדיפה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...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 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עלול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להטעות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במכוון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צריכה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הערכאה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הדיונית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לעמוד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המשמר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ולפקוח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שבע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עיניים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עדויות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השוטרים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שמא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נמצא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בהן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אפילו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קטן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 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יחסית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המעמיד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בספק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הביטחון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באמינותם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ההסתברות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לקבלת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עדות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    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שוטר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גבוהה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ככל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שתהיה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הסתברות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מלאה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והאפשרות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שהשוטר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טעה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...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לעולם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קיימת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bidi w:val="1"/>
        <w:spacing w:after="0" w:lineRule="auto"/>
        <w:ind w:left="720" w:firstLine="0"/>
        <w:jc w:val="both"/>
        <w:rPr>
          <w:rFonts w:ascii="Arial" w:cs="Arial" w:eastAsia="Arial" w:hAnsi="Arial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i w:val="1"/>
          <w:color w:val="000000"/>
          <w:sz w:val="28"/>
          <w:szCs w:val="28"/>
          <w:u w:val="single"/>
          <w:rtl w:val="1"/>
        </w:rPr>
        <w:t xml:space="preserve">נפסק</w:t>
      </w:r>
      <w:r w:rsidDel="00000000" w:rsidR="00000000" w:rsidRPr="00000000">
        <w:rPr>
          <w:rFonts w:ascii="David" w:cs="David" w:eastAsia="David" w:hAnsi="David"/>
          <w:b w:val="1"/>
          <w:i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color w:val="000000"/>
          <w:sz w:val="28"/>
          <w:szCs w:val="28"/>
          <w:u w:val="single"/>
          <w:rtl w:val="1"/>
        </w:rPr>
        <w:t xml:space="preserve">לזיכוי</w:t>
      </w:r>
      <w:r w:rsidDel="00000000" w:rsidR="00000000" w:rsidRPr="00000000">
        <w:rPr>
          <w:rFonts w:ascii="David" w:cs="David" w:eastAsia="David" w:hAnsi="David"/>
          <w:b w:val="1"/>
          <w:i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bidi w:val="1"/>
        <w:spacing w:after="0" w:lineRule="auto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bidi w:val="1"/>
        <w:spacing w:after="0" w:lineRule="auto"/>
        <w:ind w:left="720" w:hanging="360"/>
        <w:jc w:val="both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1"/>
        </w:rPr>
        <w:t xml:space="preserve">לחצן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1"/>
        </w:rPr>
        <w:t xml:space="preserve">בוייז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1"/>
        </w:rPr>
        <w:t xml:space="preserve">ברמזור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1"/>
        </w:rPr>
        <w:t xml:space="preserve">אדום</w:t>
      </w:r>
    </w:p>
    <w:p w:rsidR="00000000" w:rsidDel="00000000" w:rsidP="00000000" w:rsidRDefault="00000000" w:rsidRPr="00000000" w14:paraId="00000035">
      <w:pPr>
        <w:shd w:fill="ffffff" w:val="clear"/>
        <w:bidi w:val="1"/>
        <w:spacing w:after="0" w:lineRule="auto"/>
        <w:ind w:left="720" w:hanging="360"/>
        <w:jc w:val="both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bidi w:val="1"/>
        <w:spacing w:after="0" w:lineRule="auto"/>
        <w:jc w:val="center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bidi w:val="1"/>
        <w:spacing w:after="0" w:before="100" w:lineRule="auto"/>
        <w:jc w:val="both"/>
        <w:rPr>
          <w:b w:val="1"/>
          <w:i w:val="1"/>
          <w:color w:val="000000"/>
          <w:sz w:val="27"/>
          <w:szCs w:val="27"/>
          <w:u w:val="single"/>
        </w:rPr>
      </w:pPr>
      <w:r w:rsidDel="00000000" w:rsidR="00000000" w:rsidRPr="00000000">
        <w:rPr>
          <w:i w:val="1"/>
          <w:color w:val="000000"/>
          <w:sz w:val="27"/>
          <w:szCs w:val="27"/>
          <w:u w:val="single"/>
          <w:rtl w:val="1"/>
        </w:rPr>
        <w:t xml:space="preserve">תת</w:t>
      </w:r>
      <w:r w:rsidDel="00000000" w:rsidR="00000000" w:rsidRPr="00000000">
        <w:rPr>
          <w:i w:val="1"/>
          <w:color w:val="000000"/>
          <w:sz w:val="27"/>
          <w:szCs w:val="27"/>
          <w:u w:val="single"/>
          <w:rtl w:val="1"/>
        </w:rPr>
        <w:t xml:space="preserve">"</w:t>
      </w:r>
      <w:r w:rsidDel="00000000" w:rsidR="00000000" w:rsidRPr="00000000">
        <w:rPr>
          <w:i w:val="1"/>
          <w:color w:val="000000"/>
          <w:sz w:val="27"/>
          <w:szCs w:val="27"/>
          <w:u w:val="single"/>
          <w:rtl w:val="1"/>
        </w:rPr>
        <w:t xml:space="preserve">ע</w:t>
      </w:r>
      <w:r w:rsidDel="00000000" w:rsidR="00000000" w:rsidRPr="00000000">
        <w:rPr>
          <w:i w:val="1"/>
          <w:color w:val="000000"/>
          <w:sz w:val="27"/>
          <w:szCs w:val="27"/>
          <w:u w:val="single"/>
          <w:rtl w:val="1"/>
        </w:rPr>
        <w:t xml:space="preserve"> (</w:t>
      </w:r>
      <w:r w:rsidDel="00000000" w:rsidR="00000000" w:rsidRPr="00000000">
        <w:rPr>
          <w:i w:val="1"/>
          <w:color w:val="000000"/>
          <w:sz w:val="27"/>
          <w:szCs w:val="27"/>
          <w:u w:val="single"/>
          <w:rtl w:val="1"/>
        </w:rPr>
        <w:t xml:space="preserve">תעבורה</w:t>
      </w:r>
      <w:r w:rsidDel="00000000" w:rsidR="00000000" w:rsidRPr="00000000">
        <w:rPr>
          <w:i w:val="1"/>
          <w:color w:val="000000"/>
          <w:sz w:val="27"/>
          <w:szCs w:val="27"/>
          <w:u w:val="single"/>
          <w:rtl w:val="1"/>
        </w:rPr>
        <w:t xml:space="preserve"> </w:t>
      </w:r>
      <w:r w:rsidDel="00000000" w:rsidR="00000000" w:rsidRPr="00000000">
        <w:rPr>
          <w:i w:val="1"/>
          <w:color w:val="000000"/>
          <w:sz w:val="27"/>
          <w:szCs w:val="27"/>
          <w:u w:val="single"/>
          <w:rtl w:val="1"/>
        </w:rPr>
        <w:t xml:space="preserve">י</w:t>
      </w:r>
      <w:r w:rsidDel="00000000" w:rsidR="00000000" w:rsidRPr="00000000">
        <w:rPr>
          <w:i w:val="1"/>
          <w:color w:val="000000"/>
          <w:sz w:val="27"/>
          <w:szCs w:val="27"/>
          <w:u w:val="single"/>
          <w:rtl w:val="1"/>
        </w:rPr>
        <w:t xml:space="preserve">-</w:t>
      </w:r>
      <w:r w:rsidDel="00000000" w:rsidR="00000000" w:rsidRPr="00000000">
        <w:rPr>
          <w:i w:val="1"/>
          <w:color w:val="000000"/>
          <w:sz w:val="27"/>
          <w:szCs w:val="27"/>
          <w:u w:val="single"/>
          <w:rtl w:val="1"/>
        </w:rPr>
        <w:t xml:space="preserve">ם</w:t>
      </w:r>
      <w:r w:rsidDel="00000000" w:rsidR="00000000" w:rsidRPr="00000000">
        <w:rPr>
          <w:i w:val="1"/>
          <w:color w:val="000000"/>
          <w:sz w:val="27"/>
          <w:szCs w:val="27"/>
          <w:u w:val="single"/>
          <w:rtl w:val="1"/>
        </w:rPr>
        <w:t xml:space="preserve">) 11027-10-21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bidi w:val="1"/>
        <w:spacing w:after="0" w:before="100" w:lineRule="auto"/>
        <w:jc w:val="both"/>
        <w:rPr>
          <w:i w:val="1"/>
          <w:color w:val="000000"/>
          <w:sz w:val="27"/>
          <w:szCs w:val="27"/>
          <w:u w:val="single"/>
        </w:rPr>
      </w:pPr>
      <w:r w:rsidDel="00000000" w:rsidR="00000000" w:rsidRPr="00000000">
        <w:rPr>
          <w:b w:val="1"/>
          <w:i w:val="1"/>
          <w:color w:val="000000"/>
          <w:sz w:val="27"/>
          <w:szCs w:val="27"/>
          <w:u w:val="single"/>
          <w:rtl w:val="1"/>
        </w:rPr>
        <w:t xml:space="preserve">מדינת</w:t>
      </w:r>
      <w:r w:rsidDel="00000000" w:rsidR="00000000" w:rsidRPr="00000000">
        <w:rPr>
          <w:b w:val="1"/>
          <w:i w:val="1"/>
          <w:color w:val="000000"/>
          <w:sz w:val="27"/>
          <w:szCs w:val="27"/>
          <w:u w:val="single"/>
          <w:rtl w:val="1"/>
        </w:rPr>
        <w:t xml:space="preserve"> </w:t>
      </w:r>
      <w:r w:rsidDel="00000000" w:rsidR="00000000" w:rsidRPr="00000000">
        <w:rPr>
          <w:b w:val="1"/>
          <w:i w:val="1"/>
          <w:color w:val="000000"/>
          <w:sz w:val="27"/>
          <w:szCs w:val="27"/>
          <w:u w:val="single"/>
          <w:rtl w:val="1"/>
        </w:rPr>
        <w:t xml:space="preserve">ישראל</w:t>
      </w:r>
      <w:r w:rsidDel="00000000" w:rsidR="00000000" w:rsidRPr="00000000">
        <w:rPr>
          <w:b w:val="1"/>
          <w:i w:val="1"/>
          <w:color w:val="000000"/>
          <w:sz w:val="27"/>
          <w:szCs w:val="27"/>
          <w:u w:val="single"/>
          <w:rtl w:val="1"/>
        </w:rPr>
        <w:t xml:space="preserve"> </w:t>
      </w:r>
      <w:r w:rsidDel="00000000" w:rsidR="00000000" w:rsidRPr="00000000">
        <w:rPr>
          <w:b w:val="1"/>
          <w:i w:val="1"/>
          <w:color w:val="000000"/>
          <w:sz w:val="27"/>
          <w:szCs w:val="27"/>
          <w:u w:val="single"/>
          <w:rtl w:val="1"/>
        </w:rPr>
        <w:t xml:space="preserve">נ</w:t>
      </w:r>
      <w:r w:rsidDel="00000000" w:rsidR="00000000" w:rsidRPr="00000000">
        <w:rPr>
          <w:b w:val="1"/>
          <w:i w:val="1"/>
          <w:color w:val="000000"/>
          <w:sz w:val="27"/>
          <w:szCs w:val="27"/>
          <w:u w:val="single"/>
          <w:rtl w:val="1"/>
        </w:rPr>
        <w:t xml:space="preserve">' </w:t>
      </w:r>
      <w:r w:rsidDel="00000000" w:rsidR="00000000" w:rsidRPr="00000000">
        <w:rPr>
          <w:b w:val="1"/>
          <w:i w:val="1"/>
          <w:color w:val="000000"/>
          <w:sz w:val="27"/>
          <w:szCs w:val="27"/>
          <w:u w:val="single"/>
          <w:rtl w:val="1"/>
        </w:rPr>
        <w:t xml:space="preserve">שרית</w:t>
      </w:r>
      <w:r w:rsidDel="00000000" w:rsidR="00000000" w:rsidRPr="00000000">
        <w:rPr>
          <w:b w:val="1"/>
          <w:i w:val="1"/>
          <w:color w:val="000000"/>
          <w:sz w:val="27"/>
          <w:szCs w:val="27"/>
          <w:u w:val="single"/>
          <w:rtl w:val="1"/>
        </w:rPr>
        <w:t xml:space="preserve"> </w:t>
      </w:r>
      <w:r w:rsidDel="00000000" w:rsidR="00000000" w:rsidRPr="00000000">
        <w:rPr>
          <w:b w:val="1"/>
          <w:i w:val="1"/>
          <w:color w:val="000000"/>
          <w:sz w:val="27"/>
          <w:szCs w:val="27"/>
          <w:u w:val="single"/>
          <w:rtl w:val="1"/>
        </w:rPr>
        <w:t xml:space="preserve">הדר</w:t>
      </w:r>
      <w:r w:rsidDel="00000000" w:rsidR="00000000" w:rsidRPr="00000000">
        <w:rPr>
          <w:b w:val="1"/>
          <w:i w:val="1"/>
          <w:color w:val="000000"/>
          <w:sz w:val="27"/>
          <w:szCs w:val="27"/>
          <w:u w:val="single"/>
          <w:rtl w:val="1"/>
        </w:rPr>
        <w:t xml:space="preserve"> </w:t>
      </w:r>
      <w:r w:rsidDel="00000000" w:rsidR="00000000" w:rsidRPr="00000000">
        <w:rPr>
          <w:b w:val="1"/>
          <w:i w:val="1"/>
          <w:color w:val="000000"/>
          <w:sz w:val="27"/>
          <w:szCs w:val="27"/>
          <w:u w:val="single"/>
          <w:rtl w:val="1"/>
        </w:rPr>
        <w:t xml:space="preserve">שחרור</w:t>
      </w:r>
      <w:r w:rsidDel="00000000" w:rsidR="00000000" w:rsidRPr="00000000">
        <w:rPr>
          <w:b w:val="1"/>
          <w:i w:val="1"/>
          <w:color w:val="000000"/>
          <w:sz w:val="27"/>
          <w:szCs w:val="27"/>
          <w:u w:val="single"/>
          <w:rtl w:val="1"/>
        </w:rPr>
        <w:t xml:space="preserve">-</w:t>
      </w:r>
      <w:r w:rsidDel="00000000" w:rsidR="00000000" w:rsidRPr="00000000">
        <w:rPr>
          <w:b w:val="1"/>
          <w:i w:val="1"/>
          <w:color w:val="000000"/>
          <w:sz w:val="27"/>
          <w:szCs w:val="27"/>
          <w:u w:val="single"/>
          <w:rtl w:val="1"/>
        </w:rPr>
        <w:t xml:space="preserve">קרני</w:t>
      </w:r>
      <w:r w:rsidDel="00000000" w:rsidR="00000000" w:rsidRPr="00000000">
        <w:rPr>
          <w:i w:val="1"/>
          <w:color w:val="000000"/>
          <w:sz w:val="27"/>
          <w:szCs w:val="27"/>
          <w:u w:val="single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shd w:fill="ffffff" w:val="clear"/>
        <w:bidi w:val="1"/>
        <w:spacing w:after="0" w:before="100" w:lineRule="auto"/>
        <w:jc w:val="both"/>
        <w:rPr>
          <w:rFonts w:ascii="Arial" w:cs="Arial" w:eastAsia="Arial" w:hAnsi="Arial"/>
          <w:i w:val="1"/>
          <w:color w:val="000000"/>
          <w:sz w:val="27"/>
          <w:szCs w:val="27"/>
          <w:u w:val="single"/>
        </w:rPr>
      </w:pPr>
      <w:r w:rsidDel="00000000" w:rsidR="00000000" w:rsidRPr="00000000">
        <w:rPr>
          <w:i w:val="1"/>
          <w:color w:val="000000"/>
          <w:sz w:val="27"/>
          <w:szCs w:val="27"/>
          <w:u w:val="single"/>
          <w:rtl w:val="1"/>
        </w:rPr>
        <w:t xml:space="preserve">בפני</w:t>
      </w:r>
      <w:r w:rsidDel="00000000" w:rsidR="00000000" w:rsidRPr="00000000">
        <w:rPr>
          <w:i w:val="1"/>
          <w:color w:val="000000"/>
          <w:sz w:val="27"/>
          <w:szCs w:val="27"/>
          <w:u w:val="single"/>
          <w:rtl w:val="1"/>
        </w:rPr>
        <w:t xml:space="preserve"> </w:t>
      </w:r>
      <w:r w:rsidDel="00000000" w:rsidR="00000000" w:rsidRPr="00000000">
        <w:rPr>
          <w:i w:val="1"/>
          <w:color w:val="000000"/>
          <w:sz w:val="27"/>
          <w:szCs w:val="27"/>
          <w:u w:val="single"/>
          <w:rtl w:val="1"/>
        </w:rPr>
        <w:t xml:space="preserve">כבוד</w:t>
      </w:r>
      <w:r w:rsidDel="00000000" w:rsidR="00000000" w:rsidRPr="00000000">
        <w:rPr>
          <w:i w:val="1"/>
          <w:color w:val="000000"/>
          <w:sz w:val="27"/>
          <w:szCs w:val="27"/>
          <w:u w:val="single"/>
          <w:rtl w:val="1"/>
        </w:rPr>
        <w:t xml:space="preserve"> </w:t>
      </w:r>
      <w:r w:rsidDel="00000000" w:rsidR="00000000" w:rsidRPr="00000000">
        <w:rPr>
          <w:i w:val="1"/>
          <w:color w:val="000000"/>
          <w:sz w:val="27"/>
          <w:szCs w:val="27"/>
          <w:u w:val="single"/>
          <w:rtl w:val="1"/>
        </w:rPr>
        <w:t xml:space="preserve">השופט</w:t>
      </w:r>
      <w:r w:rsidDel="00000000" w:rsidR="00000000" w:rsidRPr="00000000">
        <w:rPr>
          <w:i w:val="1"/>
          <w:color w:val="000000"/>
          <w:sz w:val="27"/>
          <w:szCs w:val="27"/>
          <w:u w:val="single"/>
          <w:rtl w:val="1"/>
        </w:rPr>
        <w:t xml:space="preserve">, </w:t>
      </w:r>
      <w:r w:rsidDel="00000000" w:rsidR="00000000" w:rsidRPr="00000000">
        <w:rPr>
          <w:i w:val="1"/>
          <w:color w:val="000000"/>
          <w:sz w:val="27"/>
          <w:szCs w:val="27"/>
          <w:u w:val="single"/>
          <w:rtl w:val="1"/>
        </w:rPr>
        <w:t xml:space="preserve">סגן</w:t>
      </w:r>
      <w:r w:rsidDel="00000000" w:rsidR="00000000" w:rsidRPr="00000000">
        <w:rPr>
          <w:i w:val="1"/>
          <w:color w:val="000000"/>
          <w:sz w:val="27"/>
          <w:szCs w:val="27"/>
          <w:u w:val="single"/>
          <w:rtl w:val="1"/>
        </w:rPr>
        <w:t xml:space="preserve"> </w:t>
      </w:r>
      <w:r w:rsidDel="00000000" w:rsidR="00000000" w:rsidRPr="00000000">
        <w:rPr>
          <w:i w:val="1"/>
          <w:color w:val="000000"/>
          <w:sz w:val="27"/>
          <w:szCs w:val="27"/>
          <w:u w:val="single"/>
          <w:rtl w:val="1"/>
        </w:rPr>
        <w:t xml:space="preserve">הנשיא</w:t>
      </w:r>
      <w:r w:rsidDel="00000000" w:rsidR="00000000" w:rsidRPr="00000000">
        <w:rPr>
          <w:i w:val="1"/>
          <w:color w:val="000000"/>
          <w:sz w:val="27"/>
          <w:szCs w:val="27"/>
          <w:u w:val="single"/>
          <w:rtl w:val="1"/>
        </w:rPr>
        <w:t xml:space="preserve"> </w:t>
      </w:r>
      <w:r w:rsidDel="00000000" w:rsidR="00000000" w:rsidRPr="00000000">
        <w:rPr>
          <w:i w:val="1"/>
          <w:color w:val="000000"/>
          <w:sz w:val="27"/>
          <w:szCs w:val="27"/>
          <w:u w:val="single"/>
          <w:rtl w:val="1"/>
        </w:rPr>
        <w:t xml:space="preserve">נאיל</w:t>
      </w:r>
      <w:r w:rsidDel="00000000" w:rsidR="00000000" w:rsidRPr="00000000">
        <w:rPr>
          <w:i w:val="1"/>
          <w:color w:val="000000"/>
          <w:sz w:val="27"/>
          <w:szCs w:val="27"/>
          <w:u w:val="single"/>
          <w:rtl w:val="1"/>
        </w:rPr>
        <w:t xml:space="preserve"> </w:t>
      </w:r>
      <w:r w:rsidDel="00000000" w:rsidR="00000000" w:rsidRPr="00000000">
        <w:rPr>
          <w:i w:val="1"/>
          <w:color w:val="000000"/>
          <w:sz w:val="27"/>
          <w:szCs w:val="27"/>
          <w:u w:val="single"/>
          <w:rtl w:val="1"/>
        </w:rPr>
        <w:t xml:space="preserve">מהנא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bidi w:val="1"/>
        <w:spacing w:after="0" w:before="100" w:lineRule="auto"/>
        <w:jc w:val="both"/>
        <w:rPr>
          <w:rFonts w:ascii="Arial" w:cs="Arial" w:eastAsia="Arial" w:hAnsi="Arial"/>
          <w:i w:val="1"/>
          <w:color w:val="000000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bidi w:val="1"/>
        <w:spacing w:after="240" w:lineRule="auto"/>
        <w:ind w:left="28" w:firstLine="0"/>
        <w:jc w:val="both"/>
        <w:rPr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i w:val="1"/>
          <w:color w:val="000000"/>
          <w:sz w:val="28"/>
          <w:szCs w:val="28"/>
          <w:u w:val="single"/>
          <w:rtl w:val="1"/>
        </w:rPr>
        <w:t xml:space="preserve">הנאשמת</w:t>
      </w:r>
      <w:r w:rsidDel="00000000" w:rsidR="00000000" w:rsidRPr="00000000">
        <w:rPr>
          <w:i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i w:val="1"/>
          <w:color w:val="000000"/>
          <w:sz w:val="28"/>
          <w:szCs w:val="28"/>
          <w:u w:val="single"/>
          <w:rtl w:val="1"/>
        </w:rPr>
        <w:t xml:space="preserve">הכחישה</w:t>
      </w:r>
      <w:r w:rsidDel="00000000" w:rsidR="00000000" w:rsidRPr="00000000">
        <w:rPr>
          <w:i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i w:val="1"/>
          <w:color w:val="000000"/>
          <w:sz w:val="28"/>
          <w:szCs w:val="28"/>
          <w:u w:val="single"/>
          <w:rtl w:val="1"/>
        </w:rPr>
        <w:t xml:space="preserve">את</w:t>
      </w:r>
      <w:r w:rsidDel="00000000" w:rsidR="00000000" w:rsidRPr="00000000">
        <w:rPr>
          <w:i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i w:val="1"/>
          <w:color w:val="000000"/>
          <w:sz w:val="28"/>
          <w:szCs w:val="28"/>
          <w:u w:val="single"/>
          <w:rtl w:val="1"/>
        </w:rPr>
        <w:t xml:space="preserve">המיוחס</w:t>
      </w:r>
      <w:r w:rsidDel="00000000" w:rsidR="00000000" w:rsidRPr="00000000">
        <w:rPr>
          <w:i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i w:val="1"/>
          <w:color w:val="000000"/>
          <w:sz w:val="28"/>
          <w:szCs w:val="28"/>
          <w:u w:val="single"/>
          <w:rtl w:val="1"/>
        </w:rPr>
        <w:t xml:space="preserve">לה</w:t>
      </w:r>
    </w:p>
    <w:p w:rsidR="00000000" w:rsidDel="00000000" w:rsidP="00000000" w:rsidRDefault="00000000" w:rsidRPr="00000000" w14:paraId="0000003C">
      <w:pPr>
        <w:shd w:fill="ffffff" w:val="clear"/>
        <w:bidi w:val="1"/>
        <w:spacing w:after="240" w:lineRule="auto"/>
        <w:ind w:left="28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וטענה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כי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השוטר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ניגש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אליה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כאשר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עמדה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ברמזור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והיא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עשתה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שימוש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בטלפון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בזמן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שהרכב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היה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בעצירה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מוחלטת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כדי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לכוון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תוכנת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הניווט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מאחר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וזו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כבתה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במהלך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הנסיעה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עוד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טענה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כי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הסבירה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לשוטר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שהיא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לא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מכירה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הדרך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וכי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היא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נסעה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הלוך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וחזור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מאחר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ותוכנת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הניווט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התנתקה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במהלך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הנהיגה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הנאשמת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הוסיפה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כי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היא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לא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נגעה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בטלפון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בטרם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עצירת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הרכב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ברמזור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וכי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מדובר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בשעת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לילה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בזמן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חשיכה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במזג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אויר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חורפי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שבו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החלונות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היו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סגורים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ולא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ניתן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להבחין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מבחוץ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מה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מתרחש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בתוך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הרכב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בטח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לא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מהמרחק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הרב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שבו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עמד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השוטר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.</w:t>
      </w:r>
      <w:r w:rsidDel="00000000" w:rsidR="00000000" w:rsidRPr="00000000">
        <w:rPr>
          <w:i w:val="1"/>
          <w:color w:val="000000"/>
          <w:sz w:val="28"/>
          <w:szCs w:val="28"/>
          <w:u w:val="single"/>
          <w:rtl w:val="1"/>
        </w:rPr>
        <w:t xml:space="preserve">לטענת</w:t>
      </w:r>
      <w:r w:rsidDel="00000000" w:rsidR="00000000" w:rsidRPr="00000000">
        <w:rPr>
          <w:i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i w:val="1"/>
          <w:color w:val="000000"/>
          <w:sz w:val="28"/>
          <w:szCs w:val="28"/>
          <w:u w:val="single"/>
          <w:rtl w:val="1"/>
        </w:rPr>
        <w:t xml:space="preserve">השוטר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הנאשמת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השתמשה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בטלפון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במהלך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הנסיעה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עוד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לפני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העצירה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ברמזור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אדום</w:t>
      </w:r>
    </w:p>
    <w:p w:rsidR="00000000" w:rsidDel="00000000" w:rsidP="00000000" w:rsidRDefault="00000000" w:rsidRPr="00000000" w14:paraId="0000003D">
      <w:pPr>
        <w:shd w:fill="ffffff" w:val="clear"/>
        <w:bidi w:val="1"/>
        <w:spacing w:after="240" w:lineRule="auto"/>
        <w:ind w:left="28" w:firstLine="0"/>
        <w:jc w:val="both"/>
        <w:rPr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i w:val="1"/>
          <w:color w:val="000000"/>
          <w:sz w:val="28"/>
          <w:szCs w:val="28"/>
          <w:u w:val="single"/>
          <w:rtl w:val="1"/>
        </w:rPr>
        <w:t xml:space="preserve">הסיבות</w:t>
      </w:r>
      <w:r w:rsidDel="00000000" w:rsidR="00000000" w:rsidRPr="00000000">
        <w:rPr>
          <w:i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i w:val="1"/>
          <w:color w:val="000000"/>
          <w:sz w:val="28"/>
          <w:szCs w:val="28"/>
          <w:u w:val="single"/>
          <w:rtl w:val="1"/>
        </w:rPr>
        <w:t xml:space="preserve">לזיכוי</w:t>
      </w:r>
      <w:r w:rsidDel="00000000" w:rsidR="00000000" w:rsidRPr="00000000">
        <w:rPr>
          <w:i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i w:val="1"/>
          <w:color w:val="000000"/>
          <w:sz w:val="28"/>
          <w:szCs w:val="28"/>
          <w:u w:val="single"/>
          <w:rtl w:val="1"/>
        </w:rPr>
        <w:t xml:space="preserve">מצורף</w:t>
      </w:r>
      <w:r w:rsidDel="00000000" w:rsidR="00000000" w:rsidRPr="00000000">
        <w:rPr>
          <w:i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i w:val="1"/>
          <w:color w:val="000000"/>
          <w:sz w:val="28"/>
          <w:szCs w:val="28"/>
          <w:u w:val="single"/>
          <w:rtl w:val="1"/>
        </w:rPr>
        <w:t xml:space="preserve">ציטוט</w:t>
      </w:r>
    </w:p>
    <w:p w:rsidR="00000000" w:rsidDel="00000000" w:rsidP="00000000" w:rsidRDefault="00000000" w:rsidRPr="00000000" w14:paraId="0000003E">
      <w:pPr>
        <w:shd w:fill="ffffff" w:val="clear"/>
        <w:bidi w:val="1"/>
        <w:spacing w:after="240" w:lineRule="auto"/>
        <w:ind w:left="28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1"/>
        </w:rPr>
        <w:t xml:space="preserve">לא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נעלמה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מעיניי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הנחיית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מדור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תעבורה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4-14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מיום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11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בפברואר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2014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שהוצאה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על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ידי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סנ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"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צ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מאיר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גל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רמ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"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ד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תעבורה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שעניינה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"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אכיפת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תקנה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28(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ב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לת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"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ת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-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שימוש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בטלפון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נייד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בעת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שהרכב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נמצא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בעצירה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"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לפיה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"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אין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לאכוף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תקנה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זו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נגד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נהג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ברכב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עומד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ברמזור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בצד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הכביש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או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בכל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מקום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אחר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מכל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סיבה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אחרת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".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לא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נעלמה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מעיניי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גם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ההוראה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שניתנה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בעקבות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אותה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הנחייה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לפיה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"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דוחות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שיירשמו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כנגד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נהג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שעושה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שימוש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במכשיר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נייד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כשהרכב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במצב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של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עמידה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יגנזו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".</w:t>
      </w:r>
    </w:p>
    <w:p w:rsidR="00000000" w:rsidDel="00000000" w:rsidP="00000000" w:rsidRDefault="00000000" w:rsidRPr="00000000" w14:paraId="0000003F">
      <w:pPr>
        <w:shd w:fill="ffffff" w:val="clear"/>
        <w:bidi w:val="1"/>
        <w:spacing w:after="240" w:lineRule="auto"/>
        <w:ind w:left="28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1"/>
        </w:rPr>
        <w:t xml:space="preserve">בנסיבות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אלה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ובבחינת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גזרה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שווה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ומטעמים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של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צדק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והגינות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משפטית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הרשעת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הנאשמת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בעבירה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הנדונה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בנסיבות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שנוצרו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תגרום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עוול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ותקפח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זכותה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להליך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הוגן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 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בהינתן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כי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העבירה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אינה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נאכפת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נגד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נאשמים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אחרים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בנסיבות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דומות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ובהינתן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כי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ניתנה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הוראה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לגנוז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דוחות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שניתנו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באותן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נסיבות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הראוי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לנהוג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עם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הנאשמת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באופן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שווה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ולהורות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על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זיכויה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מעבירה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האמורה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מאחר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והרשעת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הנאשמת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בעבירה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המיוחסת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עומדת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בסתירה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מהותית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לעקרונות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הצדק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וההגינות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המשפטית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40">
      <w:pPr>
        <w:shd w:fill="ffffff" w:val="clear"/>
        <w:bidi w:val="1"/>
        <w:spacing w:after="240" w:lineRule="auto"/>
        <w:ind w:left="567" w:hanging="539"/>
        <w:jc w:val="both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bidi w:val="1"/>
        <w:spacing w:after="240" w:lineRule="auto"/>
        <w:ind w:left="567" w:hanging="539"/>
        <w:jc w:val="both"/>
        <w:rPr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rtl w:val="1"/>
        </w:rPr>
        <w:t xml:space="preserve">לחצן</w:t>
      </w:r>
      <w:r w:rsidDel="00000000" w:rsidR="00000000" w:rsidRPr="00000000">
        <w:rPr>
          <w:b w:val="1"/>
          <w:color w:val="000000"/>
          <w:sz w:val="32"/>
          <w:szCs w:val="32"/>
          <w:u w:val="single"/>
          <w:rtl w:val="1"/>
        </w:rPr>
        <w:t xml:space="preserve">-</w:t>
      </w:r>
      <w:r w:rsidDel="00000000" w:rsidR="00000000" w:rsidRPr="00000000">
        <w:rPr>
          <w:b w:val="1"/>
          <w:color w:val="000000"/>
          <w:sz w:val="32"/>
          <w:szCs w:val="32"/>
          <w:u w:val="single"/>
          <w:rtl w:val="1"/>
        </w:rPr>
        <w:t xml:space="preserve">פרטים</w:t>
      </w:r>
      <w:r w:rsidDel="00000000" w:rsidR="00000000" w:rsidRPr="00000000">
        <w:rPr>
          <w:b w:val="1"/>
          <w:color w:val="000000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32"/>
          <w:szCs w:val="32"/>
          <w:u w:val="single"/>
          <w:rtl w:val="1"/>
        </w:rPr>
        <w:t xml:space="preserve">חסרים</w:t>
      </w:r>
      <w:r w:rsidDel="00000000" w:rsidR="00000000" w:rsidRPr="00000000">
        <w:rPr>
          <w:b w:val="1"/>
          <w:color w:val="000000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32"/>
          <w:szCs w:val="32"/>
          <w:u w:val="single"/>
          <w:rtl w:val="1"/>
        </w:rPr>
        <w:t xml:space="preserve">בדו</w:t>
      </w:r>
      <w:r w:rsidDel="00000000" w:rsidR="00000000" w:rsidRPr="00000000">
        <w:rPr>
          <w:b w:val="1"/>
          <w:color w:val="000000"/>
          <w:sz w:val="32"/>
          <w:szCs w:val="32"/>
          <w:u w:val="single"/>
          <w:rtl w:val="1"/>
        </w:rPr>
        <w:t xml:space="preserve">"</w:t>
      </w:r>
      <w:r w:rsidDel="00000000" w:rsidR="00000000" w:rsidRPr="00000000">
        <w:rPr>
          <w:b w:val="1"/>
          <w:color w:val="000000"/>
          <w:sz w:val="32"/>
          <w:szCs w:val="32"/>
          <w:u w:val="single"/>
          <w:rtl w:val="1"/>
        </w:rPr>
        <w:t xml:space="preserve">ח</w:t>
      </w:r>
      <w:r w:rsidDel="00000000" w:rsidR="00000000" w:rsidRPr="00000000">
        <w:rPr>
          <w:b w:val="1"/>
          <w:color w:val="000000"/>
          <w:sz w:val="32"/>
          <w:szCs w:val="32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42">
      <w:pPr>
        <w:pStyle w:val="Heading2"/>
        <w:bidi w:val="1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תתע</w:t>
      </w:r>
      <w:r w:rsidDel="00000000" w:rsidR="00000000" w:rsidRPr="00000000">
        <w:rPr>
          <w:highlight w:val="white"/>
          <w:rtl w:val="1"/>
        </w:rPr>
        <w:t xml:space="preserve"> (</w:t>
      </w:r>
      <w:r w:rsidDel="00000000" w:rsidR="00000000" w:rsidRPr="00000000">
        <w:rPr>
          <w:highlight w:val="white"/>
          <w:rtl w:val="1"/>
        </w:rPr>
        <w:t xml:space="preserve">מרכז</w:t>
      </w:r>
      <w:r w:rsidDel="00000000" w:rsidR="00000000" w:rsidRPr="00000000">
        <w:rPr>
          <w:highlight w:val="white"/>
          <w:rtl w:val="1"/>
        </w:rPr>
        <w:t xml:space="preserve">) 4031-07-21  </w:t>
      </w:r>
    </w:p>
    <w:p w:rsidR="00000000" w:rsidDel="00000000" w:rsidP="00000000" w:rsidRDefault="00000000" w:rsidRPr="00000000" w14:paraId="00000043">
      <w:pPr>
        <w:pStyle w:val="Heading2"/>
        <w:bidi w:val="1"/>
        <w:rPr/>
      </w:pPr>
      <w:r w:rsidDel="00000000" w:rsidR="00000000" w:rsidRPr="00000000">
        <w:rPr>
          <w:highlight w:val="white"/>
          <w:rtl w:val="1"/>
        </w:rPr>
        <w:t xml:space="preserve">מדינת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ישראל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נ</w:t>
      </w:r>
      <w:r w:rsidDel="00000000" w:rsidR="00000000" w:rsidRPr="00000000">
        <w:rPr>
          <w:highlight w:val="white"/>
          <w:rtl w:val="1"/>
        </w:rPr>
        <w:t xml:space="preserve">' </w:t>
      </w:r>
      <w:r w:rsidDel="00000000" w:rsidR="00000000" w:rsidRPr="00000000">
        <w:rPr>
          <w:highlight w:val="white"/>
          <w:rtl w:val="1"/>
        </w:rPr>
        <w:t xml:space="preserve">ענב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אלפסי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bidi w:val="1"/>
        <w:rPr/>
      </w:pPr>
      <w:r w:rsidDel="00000000" w:rsidR="00000000" w:rsidRPr="00000000">
        <w:rPr>
          <w:rtl w:val="1"/>
        </w:rPr>
        <w:t xml:space="preserve">בפני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השופטת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שפר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bidi w:val="1"/>
        <w:spacing w:after="240" w:lineRule="auto"/>
        <w:ind w:left="567" w:hanging="539"/>
        <w:jc w:val="both"/>
        <w:rPr>
          <w:rFonts w:ascii="David" w:cs="David" w:eastAsia="David" w:hAnsi="David"/>
          <w:i w:val="1"/>
          <w:sz w:val="28"/>
          <w:szCs w:val="28"/>
          <w:u w:val="single"/>
        </w:rPr>
      </w:pP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הנאשמת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טענה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השתמשה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בטלפון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הסירה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מסיכה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מעל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פניה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 ,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וכנראה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בעקבות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טעה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השוטר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לחשוב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שהשתמשה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בטלפון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ובנוסף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בתחילת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הנסיעה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נפל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לה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הטלפון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מתחת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למושב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ומאז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השתמשה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 ,</w:t>
      </w:r>
    </w:p>
    <w:p w:rsidR="00000000" w:rsidDel="00000000" w:rsidP="00000000" w:rsidRDefault="00000000" w:rsidRPr="00000000" w14:paraId="00000047">
      <w:pPr>
        <w:shd w:fill="ffffff" w:val="clear"/>
        <w:bidi w:val="1"/>
        <w:spacing w:after="240" w:lineRule="auto"/>
        <w:ind w:left="567" w:hanging="539"/>
        <w:jc w:val="both"/>
        <w:rPr>
          <w:rFonts w:ascii="David" w:cs="David" w:eastAsia="David" w:hAnsi="David"/>
          <w:i w:val="1"/>
          <w:sz w:val="28"/>
          <w:szCs w:val="28"/>
          <w:u w:val="single"/>
        </w:rPr>
      </w:pP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הסיבות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לזיכוי</w:t>
      </w:r>
      <w:r w:rsidDel="00000000" w:rsidR="00000000" w:rsidRPr="00000000">
        <w:rPr>
          <w:rFonts w:ascii="David" w:cs="David" w:eastAsia="David" w:hAnsi="David"/>
          <w:i w:val="1"/>
          <w:sz w:val="28"/>
          <w:szCs w:val="28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48">
      <w:pPr>
        <w:shd w:fill="ffffff" w:val="clear"/>
        <w:bidi w:val="1"/>
        <w:spacing w:after="0" w:before="24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 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מצאתי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כי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תיעוד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נסיבות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ביצוע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העבירה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בדו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"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ח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השוטר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כפי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שנרשם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על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ידו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חסר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 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ואין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די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בו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כדי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לשכנעני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כי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אכן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בוצעה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העבירה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כנטען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על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ידו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...</w:t>
      </w:r>
    </w:p>
    <w:p w:rsidR="00000000" w:rsidDel="00000000" w:rsidP="00000000" w:rsidRDefault="00000000" w:rsidRPr="00000000" w14:paraId="00000049">
      <w:pPr>
        <w:shd w:fill="ffffff" w:val="clear"/>
        <w:bidi w:val="1"/>
        <w:spacing w:after="0" w:before="24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       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השוטר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ציין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כי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הבחין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בנאשמת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אוחזת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ביד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ימין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בטלפון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נייד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240" w:line="259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ציין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מיקום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ידה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הימנית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הימנית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סמוכה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לאוזנה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הימנית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בגובה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פניה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שמא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נמוכה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בגובה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החזה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לקו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חלון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הרכב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ישבה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העדר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הפירוט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האמור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ספק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בלבי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השוטר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להבחין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בעבירה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הנטענת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בפרט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הימנית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נמוכה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מקו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חלון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רכבה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הנאשמת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59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השוטר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ציין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המרחק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הניידת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רכב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הנאשמת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שהבחין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בביצוע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העבירה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הנאשמת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מטרים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בודדים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59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השוטר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ציין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עמידתה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הניידת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עמדה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הניידת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כשחזיתה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לכיוון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מערב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והנאשמת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הגיעה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מאחוריו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ממזרח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למערב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כטענתו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ייתכן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הבחין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בביצוע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העבירה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כנטען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ידו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שמשת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החזית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הניידת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רכב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הנאשמת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נסע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במקביל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ומשמאלו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עמדה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הניידת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כשחזיתה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בניצב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לכביש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קרוב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לוודאי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מציין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בנסיבות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הדוח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עמידה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מיוחדת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עמדה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הניידת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כשחזיתה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ממול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לכיוון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נסיעת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הנאשמת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להבחין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בביצוע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העבירה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שמשת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חזית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הניידת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מציין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פניית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פרסה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לנסוע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רכב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הנאשמת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שנעצרה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ציין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0" w:line="259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השוטר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צבע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הטלפון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הנייד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מזהה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שיוכל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לשכנעני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הבחין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אוחזת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ימין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בטלפון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נייד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להבדיל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ממסכה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כנטען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הנאשמת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E">
      <w:pPr>
        <w:shd w:fill="ffffff" w:val="clear"/>
        <w:bidi w:val="1"/>
        <w:spacing w:after="0" w:before="24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      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מדובר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בעובדות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מהותיות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לשאלת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האשמה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ולא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הייתה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כל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מניעה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שהשוטר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יתייחס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אליהן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בפירוט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נסיבות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המקרה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אם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אכן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הבחין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בבירור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בביצוע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העבירה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כנטען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על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ידו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...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מדובר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בעבירה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נדרש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השוטר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להבחין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במתרחש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 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 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הרכב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–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להבדיל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מעבירות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בהן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נראה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הרכב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מבצע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עבירה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–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כדוגמת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עבירה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של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מתן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זכות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קדימה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ציות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לתמרור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עקיפה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מסוכנת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וכד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'.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בעבירות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המתרחשות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בתוך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הרכב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כדוגמת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העבירה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של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שימוש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אסור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בטלפון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אגב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תנועת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הרכב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והעבירה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של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חגירת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חגורת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בטיחות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–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יש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להקפיד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הקפדה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יתרה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בעת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בחינת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דיות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הראיות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כמותן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ואיכותן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F">
      <w:pPr>
        <w:shd w:fill="ffffff" w:val="clear"/>
        <w:bidi w:val="1"/>
        <w:spacing w:after="0" w:before="240" w:lineRule="auto"/>
        <w:ind w:left="360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1"/>
        </w:rPr>
        <w:t xml:space="preserve">הנאשמת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עמדה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על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גרסתה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ובעדותה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בבית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המשפט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חזרה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על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פרטי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כפירתה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מצאתי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עדותה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אמינה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–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מצאתי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בטענותיה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הגיון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פנימי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המתיישב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עם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סרטוני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מצלמת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הגוף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של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השוטר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שוכנעתי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כי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אכן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מיהרה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לבית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החולים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לראות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אימה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כי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נסעה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ברכב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שאינו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שלה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בו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אין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דיבורית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כי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הטלפון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הנייד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נפל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מתחת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לכסאה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–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הסרטונים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עולה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כי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עת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הגיע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השוטר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לרכבה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–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חיפשה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הטלפון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ואיתרה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אותו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מתחת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לכסאה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בתגובה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לטענת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השוטר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כי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עצר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אותה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כי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היתה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עם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הטלפון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ביד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ימין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השיבה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מיד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"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אין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מצב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".</w:t>
      </w:r>
    </w:p>
    <w:p w:rsidR="00000000" w:rsidDel="00000000" w:rsidP="00000000" w:rsidRDefault="00000000" w:rsidRPr="00000000" w14:paraId="00000050">
      <w:pPr>
        <w:shd w:fill="ffffff" w:val="clear"/>
        <w:bidi w:val="1"/>
        <w:spacing w:after="0" w:before="240" w:lineRule="auto"/>
        <w:ind w:left="720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240" w:line="259" w:lineRule="auto"/>
        <w:ind w:left="119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יתרה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מכך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מטעם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המאשימה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העיד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וזאת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חרף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שנכח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שוטר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נוסף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שוטר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צרף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מזכר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מטעמו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העיד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השוטר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הנוסף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חיונית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הבחין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בעבירה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מסיבה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סבירה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לציין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במזכר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השוטר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הנוסף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למיקום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הניידת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עמדה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נסעה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לכיוון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חזיתה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עמדה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ולכיווני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נסיעת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הנאשמת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לצמצם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גדר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המחלוקת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ולאפשר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לבית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לקבוע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ממצאים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עובדתיים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ברמת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הוודאות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הנדרשת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הפלילי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נקבע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הדן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בפלילים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ירשיע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סמך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יחידה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הזהיר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בעדות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יחידה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שלגביה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להקפיד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קפידה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יתירה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ולשאול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בנסיבות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העניין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לסמוך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ולהרשיע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מקובל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לכנות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חובה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חובת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האזהרה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העצמית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".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הפסיקה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חובת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האזהרה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העצמית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דרישה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פורמאלית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דרישה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מהותית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והכרעת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הדין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צריכה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ממשי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ומנומק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לבדיקה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הקפדנית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שנבדקה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העדות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היחידה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0" w:line="259" w:lineRule="auto"/>
        <w:ind w:left="1190" w:right="0" w:hanging="36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נפסק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לזיכוי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53">
      <w:pPr>
        <w:shd w:fill="ffffff" w:val="clear"/>
        <w:bidi w:val="1"/>
        <w:spacing w:after="280" w:before="280" w:lineRule="auto"/>
        <w:ind w:right="720"/>
        <w:jc w:val="both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1"/>
        </w:rPr>
        <w:t xml:space="preserve">לחצן</w:t>
      </w:r>
      <w:r w:rsidDel="00000000" w:rsidR="00000000" w:rsidRPr="00000000">
        <w:rPr>
          <w:b w:val="1"/>
          <w:color w:val="000000"/>
          <w:sz w:val="36"/>
          <w:szCs w:val="36"/>
          <w:rtl w:val="1"/>
        </w:rPr>
        <w:t xml:space="preserve">-</w:t>
      </w:r>
      <w:r w:rsidDel="00000000" w:rsidR="00000000" w:rsidRPr="00000000">
        <w:rPr>
          <w:b w:val="1"/>
          <w:color w:val="000000"/>
          <w:sz w:val="36"/>
          <w:szCs w:val="36"/>
          <w:rtl w:val="1"/>
        </w:rPr>
        <w:t xml:space="preserve">צבע</w:t>
      </w:r>
      <w:r w:rsidDel="00000000" w:rsidR="00000000" w:rsidRPr="00000000">
        <w:rPr>
          <w:b w:val="1"/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36"/>
          <w:szCs w:val="36"/>
          <w:rtl w:val="1"/>
        </w:rPr>
        <w:t xml:space="preserve">הפלאפון</w:t>
      </w:r>
      <w:r w:rsidDel="00000000" w:rsidR="00000000" w:rsidRPr="00000000">
        <w:rPr>
          <w:b w:val="1"/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36"/>
          <w:szCs w:val="36"/>
          <w:rtl w:val="1"/>
        </w:rPr>
        <w:t xml:space="preserve">שנרשם</w:t>
      </w:r>
      <w:r w:rsidDel="00000000" w:rsidR="00000000" w:rsidRPr="00000000">
        <w:rPr>
          <w:b w:val="1"/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36"/>
          <w:szCs w:val="36"/>
          <w:rtl w:val="1"/>
        </w:rPr>
        <w:t xml:space="preserve">בדוח</w:t>
      </w:r>
      <w:r w:rsidDel="00000000" w:rsidR="00000000" w:rsidRPr="00000000">
        <w:rPr>
          <w:b w:val="1"/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36"/>
          <w:szCs w:val="36"/>
          <w:rtl w:val="1"/>
        </w:rPr>
        <w:t xml:space="preserve">אינו</w:t>
      </w:r>
      <w:r w:rsidDel="00000000" w:rsidR="00000000" w:rsidRPr="00000000">
        <w:rPr>
          <w:b w:val="1"/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36"/>
          <w:szCs w:val="36"/>
          <w:rtl w:val="1"/>
        </w:rPr>
        <w:t xml:space="preserve">נכון</w:t>
      </w:r>
      <w:r w:rsidDel="00000000" w:rsidR="00000000" w:rsidRPr="00000000">
        <w:rPr>
          <w:b w:val="1"/>
          <w:color w:val="000000"/>
          <w:sz w:val="36"/>
          <w:szCs w:val="36"/>
          <w:rtl w:val="1"/>
        </w:rPr>
        <w:t xml:space="preserve"> </w:t>
      </w:r>
    </w:p>
    <w:tbl>
      <w:tblPr>
        <w:tblStyle w:val="Table1"/>
        <w:bidiVisual w:val="1"/>
        <w:tblW w:w="8306.0" w:type="dxa"/>
        <w:jc w:val="center"/>
        <w:tblLayout w:type="fixed"/>
        <w:tblLook w:val="0400"/>
      </w:tblPr>
      <w:tblGrid>
        <w:gridCol w:w="8306"/>
        <w:tblGridChange w:id="0">
          <w:tblGrid>
            <w:gridCol w:w="8306"/>
          </w:tblGrid>
        </w:tblGridChange>
      </w:tblGrid>
      <w:tr>
        <w:trPr>
          <w:cantSplit w:val="0"/>
          <w:trHeight w:val="337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pStyle w:val="Heading2"/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תת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"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6010-02-17</w:t>
            </w:r>
          </w:p>
          <w:p w:rsidR="00000000" w:rsidDel="00000000" w:rsidP="00000000" w:rsidRDefault="00000000" w:rsidRPr="00000000" w14:paraId="00000055">
            <w:pPr>
              <w:pStyle w:val="Heading2"/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מדינת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ישראל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'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עריאן</w:t>
            </w:r>
          </w:p>
          <w:p w:rsidR="00000000" w:rsidDel="00000000" w:rsidP="00000000" w:rsidRDefault="00000000" w:rsidRPr="00000000" w14:paraId="00000056">
            <w:pPr>
              <w:pStyle w:val="Heading2"/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בפני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כבוד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השופט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יעקב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בכר</w:t>
            </w:r>
          </w:p>
          <w:p w:rsidR="00000000" w:rsidDel="00000000" w:rsidP="00000000" w:rsidRDefault="00000000" w:rsidRPr="00000000" w14:paraId="00000057">
            <w:pPr>
              <w:shd w:fill="ffffff" w:val="clear"/>
              <w:bidi w:val="1"/>
              <w:spacing w:after="280" w:before="280" w:lineRule="auto"/>
              <w:ind w:right="720"/>
              <w:jc w:val="both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1"/>
              </w:rPr>
              <w:t xml:space="preserve">המדובר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1"/>
              </w:rPr>
              <w:t xml:space="preserve">במקרה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1"/>
              </w:rPr>
              <w:t xml:space="preserve">בו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1"/>
              </w:rPr>
              <w:t xml:space="preserve">השוטרת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1"/>
              </w:rPr>
              <w:t xml:space="preserve">טענה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1"/>
              </w:rPr>
              <w:t xml:space="preserve">שהנהגת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1"/>
              </w:rPr>
              <w:t xml:space="preserve">אחזה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1"/>
              </w:rPr>
              <w:t xml:space="preserve">בידה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1"/>
              </w:rPr>
              <w:t xml:space="preserve">הימנית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1"/>
              </w:rPr>
              <w:t xml:space="preserve">טלפון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1"/>
              </w:rPr>
              <w:t xml:space="preserve">לבן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1"/>
              </w:rPr>
              <w:t xml:space="preserve">והנהגת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1"/>
              </w:rPr>
              <w:t xml:space="preserve">טענה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1"/>
              </w:rPr>
              <w:t xml:space="preserve">שהטלפון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1"/>
              </w:rPr>
              <w:t xml:space="preserve">היה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1"/>
              </w:rPr>
              <w:t xml:space="preserve">בתיקה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1"/>
              </w:rPr>
              <w:t xml:space="preserve">והוא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1"/>
              </w:rPr>
              <w:t xml:space="preserve">בצבע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1"/>
              </w:rPr>
              <w:t xml:space="preserve">שחור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1"/>
              </w:rPr>
              <w:t xml:space="preserve">כמו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1"/>
              </w:rPr>
              <w:t xml:space="preserve">כן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1"/>
              </w:rPr>
              <w:t xml:space="preserve">  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highlight w:val="white"/>
                <w:rtl w:val="1"/>
              </w:rPr>
              <w:t xml:space="preserve">השוטרת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highlight w:val="white"/>
                <w:rtl w:val="1"/>
              </w:rPr>
              <w:t xml:space="preserve">לא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highlight w:val="white"/>
                <w:rtl w:val="1"/>
              </w:rPr>
              <w:t xml:space="preserve">ציינה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highlight w:val="white"/>
                <w:rtl w:val="1"/>
              </w:rPr>
              <w:t xml:space="preserve">בדו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highlight w:val="white"/>
                <w:rtl w:val="1"/>
              </w:rPr>
              <w:t xml:space="preserve">"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highlight w:val="white"/>
                <w:rtl w:val="1"/>
              </w:rPr>
              <w:t xml:space="preserve">ח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highlight w:val="white"/>
                <w:rtl w:val="1"/>
              </w:rPr>
              <w:t xml:space="preserve">את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highlight w:val="white"/>
                <w:rtl w:val="1"/>
              </w:rPr>
              <w:t xml:space="preserve">המרחק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highlight w:val="white"/>
                <w:rtl w:val="1"/>
              </w:rPr>
              <w:t xml:space="preserve">המדויק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highlight w:val="white"/>
                <w:rtl w:val="1"/>
              </w:rPr>
              <w:t xml:space="preserve">ממנו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highlight w:val="white"/>
                <w:rtl w:val="1"/>
              </w:rPr>
              <w:t xml:space="preserve">הבחינה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highlight w:val="white"/>
                <w:rtl w:val="1"/>
              </w:rPr>
              <w:t xml:space="preserve">בנאשמת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highlight w:val="white"/>
                <w:rtl w:val="1"/>
              </w:rPr>
              <w:t xml:space="preserve">אוחזת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highlight w:val="white"/>
                <w:rtl w:val="1"/>
              </w:rPr>
              <w:t xml:space="preserve">לכאורה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highlight w:val="white"/>
                <w:rtl w:val="1"/>
              </w:rPr>
              <w:t xml:space="preserve">בטלפון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highlight w:val="white"/>
                <w:rtl w:val="1"/>
              </w:rPr>
              <w:t xml:space="preserve">בידה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000000"/>
                <w:highlight w:val="white"/>
                <w:rtl w:val="0"/>
              </w:rPr>
              <w:t xml:space="preserve">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hd w:fill="ffffff" w:val="clear"/>
              <w:bidi w:val="1"/>
              <w:spacing w:after="0" w:lineRule="auto"/>
              <w:ind w:left="720" w:hanging="720"/>
              <w:jc w:val="both"/>
              <w:rPr>
                <w:rFonts w:ascii="Arial" w:cs="Arial" w:eastAsia="Arial" w:hAnsi="Arial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000000"/>
                <w:sz w:val="27"/>
                <w:szCs w:val="27"/>
                <w:u w:val="single"/>
                <w:rtl w:val="1"/>
              </w:rPr>
              <w:t xml:space="preserve">סיכומו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000000"/>
                <w:sz w:val="27"/>
                <w:szCs w:val="27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000000"/>
                <w:sz w:val="27"/>
                <w:szCs w:val="27"/>
                <w:u w:val="single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000000"/>
                <w:sz w:val="27"/>
                <w:szCs w:val="27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000000"/>
                <w:sz w:val="27"/>
                <w:szCs w:val="27"/>
                <w:u w:val="single"/>
                <w:rtl w:val="1"/>
              </w:rPr>
              <w:t xml:space="preserve">דבר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000000"/>
                <w:sz w:val="27"/>
                <w:szCs w:val="27"/>
                <w:u w:val="single"/>
                <w:rtl w:val="1"/>
              </w:rPr>
              <w:t xml:space="preserve">: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לאור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כל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האמור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לעיל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ומאחר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ונטל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השכנוע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רובץ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לאורך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כל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הדרך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על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כתבי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המאשימה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וזו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נתמכת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ע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"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י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גרסת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השוטרת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כעדות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יחידה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בלבד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ויכול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כי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אכן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הנאשמת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לא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ביצעה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את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המיוחס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לה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הגעתי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למסקנה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כי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אין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מקום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להעדיף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גרסתה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על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פני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גרסת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הנאשם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ולכן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יש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לזכות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את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הנאשמת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מהמיוחס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לה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בכתב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האישום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וזאת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מחמת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7"/>
                <w:szCs w:val="27"/>
                <w:rtl w:val="1"/>
              </w:rPr>
              <w:t xml:space="preserve">הספק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hd w:fill="ffffff" w:val="clear"/>
              <w:bidi w:val="1"/>
              <w:spacing w:before="280" w:lineRule="auto"/>
              <w:ind w:right="720"/>
              <w:jc w:val="both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hd w:fill="ffffff" w:val="clear"/>
        <w:bidi w:val="1"/>
        <w:spacing w:after="280" w:before="280" w:lineRule="auto"/>
        <w:ind w:right="72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bidi w:val="1"/>
        <w:spacing w:after="280" w:before="280" w:lineRule="auto"/>
        <w:ind w:right="72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לחצן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-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שימוש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בטלפון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בעודו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מחובר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למתקן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קבוע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C">
      <w:pPr>
        <w:pStyle w:val="Heading2"/>
        <w:bidi w:val="1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תת</w:t>
      </w:r>
      <w:r w:rsidDel="00000000" w:rsidR="00000000" w:rsidRPr="00000000">
        <w:rPr>
          <w:highlight w:val="white"/>
          <w:rtl w:val="1"/>
        </w:rPr>
        <w:t xml:space="preserve">"</w:t>
      </w:r>
      <w:r w:rsidDel="00000000" w:rsidR="00000000" w:rsidRPr="00000000">
        <w:rPr>
          <w:highlight w:val="white"/>
          <w:rtl w:val="1"/>
        </w:rPr>
        <w:t xml:space="preserve">ע</w:t>
      </w:r>
      <w:r w:rsidDel="00000000" w:rsidR="00000000" w:rsidRPr="00000000">
        <w:rPr>
          <w:highlight w:val="white"/>
          <w:rtl w:val="1"/>
        </w:rPr>
        <w:t xml:space="preserve"> 12593-02-19 </w:t>
      </w:r>
    </w:p>
    <w:p w:rsidR="00000000" w:rsidDel="00000000" w:rsidP="00000000" w:rsidRDefault="00000000" w:rsidRPr="00000000" w14:paraId="0000005D">
      <w:pPr>
        <w:pStyle w:val="Heading2"/>
        <w:bidi w:val="1"/>
        <w:rPr>
          <w:sz w:val="28"/>
          <w:szCs w:val="28"/>
        </w:rPr>
      </w:pPr>
      <w:r w:rsidDel="00000000" w:rsidR="00000000" w:rsidRPr="00000000">
        <w:rPr>
          <w:highlight w:val="white"/>
          <w:rtl w:val="1"/>
        </w:rPr>
        <w:t xml:space="preserve">מדינת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ישראל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נ</w:t>
      </w:r>
      <w:r w:rsidDel="00000000" w:rsidR="00000000" w:rsidRPr="00000000">
        <w:rPr>
          <w:highlight w:val="white"/>
          <w:rtl w:val="1"/>
        </w:rPr>
        <w:t xml:space="preserve">' </w:t>
      </w:r>
      <w:r w:rsidDel="00000000" w:rsidR="00000000" w:rsidRPr="00000000">
        <w:rPr>
          <w:highlight w:val="white"/>
          <w:rtl w:val="1"/>
        </w:rPr>
        <w:t xml:space="preserve">גבע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הולצמן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bidi w:val="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bidi w:val="1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תיאור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המקרה</w:t>
      </w:r>
    </w:p>
    <w:p w:rsidR="00000000" w:rsidDel="00000000" w:rsidP="00000000" w:rsidRDefault="00000000" w:rsidRPr="00000000" w14:paraId="00000060">
      <w:pPr>
        <w:pStyle w:val="Heading2"/>
        <w:bidi w:val="1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 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על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פי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הנטען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נסע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הנאשם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בכביש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ונגע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נגיעות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חזרות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ונשנות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במכשיר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הטלפון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שלו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אשר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היה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במתקן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בעוד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מבטו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מופנה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למטה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וימינה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לכיוון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המתקן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במהלך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כ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-10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שניו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 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הנאשם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כפר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באשמה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וטען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כי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הנסיבות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אותן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ציין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השוטר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אינן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מגלות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עבירה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שכן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הטלפון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היה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במתקן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קבוע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ברכב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אין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עבירה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של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הסטת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מבט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ומותר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לנהג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להשתמש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בטלפון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המותקן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ברכב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וללחוץ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על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המקשים</w:t>
      </w:r>
    </w:p>
    <w:p w:rsidR="00000000" w:rsidDel="00000000" w:rsidP="00000000" w:rsidRDefault="00000000" w:rsidRPr="00000000" w14:paraId="00000061">
      <w:pPr>
        <w:pStyle w:val="Heading2"/>
        <w:bidi w:val="1"/>
        <w:rPr>
          <w:b w:val="1"/>
          <w:color w:val="000000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u w:val="single"/>
          <w:rtl w:val="1"/>
        </w:rPr>
        <w:t xml:space="preserve">דברי</w:t>
      </w:r>
      <w:r w:rsidDel="00000000" w:rsidR="00000000" w:rsidRPr="00000000">
        <w:rPr>
          <w:b w:val="1"/>
          <w:color w:val="00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highlight w:val="white"/>
          <w:u w:val="single"/>
          <w:rtl w:val="1"/>
        </w:rPr>
        <w:t xml:space="preserve">השופטת</w:t>
      </w:r>
    </w:p>
    <w:p w:rsidR="00000000" w:rsidDel="00000000" w:rsidP="00000000" w:rsidRDefault="00000000" w:rsidRPr="00000000" w14:paraId="00000062">
      <w:pPr>
        <w:pStyle w:val="Heading2"/>
        <w:bidi w:val="1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לאחר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שבחנתי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נוסח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התקנות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תכליתן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עיינתי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בהיסטוריה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החקיקתית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של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התקנה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המדוברת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בחנתי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פסיקה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רלבנטית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והתרשמתי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אף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ככל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הניתן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מכוונת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המחוקק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הגעתי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למסקנה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כי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מחוקק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המשנה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לא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אסר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ולמעשה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אף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התיר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במפורש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עת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מחק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ההוראה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המונעת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הסרת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יד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מהכידון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או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מההגה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להשתמש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בטלפון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נייד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אשר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נמצא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במתקן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קבוע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או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מונח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ברכב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אופן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יציב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המונע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נפילתו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אבקש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להדגיש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כי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באומרי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"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שימוש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"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כוונתי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לשימוש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הפשוט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בטלפון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הנייד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כטלפון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קרי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נגיעה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רגעית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לצורך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מענה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וחיוג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ולא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ביצוע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כל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פעולה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אחרת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בטלפון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1"/>
        </w:rPr>
        <w:t xml:space="preserve">הנייד</w:t>
      </w:r>
    </w:p>
    <w:p w:rsidR="00000000" w:rsidDel="00000000" w:rsidP="00000000" w:rsidRDefault="00000000" w:rsidRPr="00000000" w14:paraId="00000063">
      <w:pPr>
        <w:pStyle w:val="Heading2"/>
        <w:bidi w:val="1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 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מסקנתי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האמורה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לעיל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היא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כי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נגיעה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רגעית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בטלפון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לצורך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מענה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או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חיוג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אינה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מהווה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עבירה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לפי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 </w:t>
      </w:r>
      <w:hyperlink r:id="rId16">
        <w:r w:rsidDel="00000000" w:rsidR="00000000" w:rsidRPr="00000000">
          <w:rPr>
            <w:color w:val="000000"/>
            <w:sz w:val="28"/>
            <w:szCs w:val="28"/>
            <w:rtl w:val="1"/>
          </w:rPr>
          <w:t xml:space="preserve">תקנה</w:t>
        </w:r>
      </w:hyperlink>
      <w:hyperlink r:id="rId17">
        <w:r w:rsidDel="00000000" w:rsidR="00000000" w:rsidRPr="00000000">
          <w:rPr>
            <w:color w:val="000000"/>
            <w:sz w:val="28"/>
            <w:szCs w:val="28"/>
            <w:rtl w:val="1"/>
          </w:rPr>
          <w:t xml:space="preserve"> 28(</w:t>
        </w:r>
      </w:hyperlink>
      <w:hyperlink r:id="rId18">
        <w:r w:rsidDel="00000000" w:rsidR="00000000" w:rsidRPr="00000000">
          <w:rPr>
            <w:color w:val="000000"/>
            <w:sz w:val="28"/>
            <w:szCs w:val="28"/>
            <w:rtl w:val="1"/>
          </w:rPr>
          <w:t xml:space="preserve">ב</w:t>
        </w:r>
      </w:hyperlink>
      <w:hyperlink r:id="rId19">
        <w:r w:rsidDel="00000000" w:rsidR="00000000" w:rsidRPr="00000000">
          <w:rPr>
            <w:color w:val="000000"/>
            <w:sz w:val="28"/>
            <w:szCs w:val="28"/>
            <w:rtl w:val="1"/>
          </w:rPr>
          <w:t xml:space="preserve">)(1)(</w:t>
        </w:r>
      </w:hyperlink>
      <w:hyperlink r:id="rId20">
        <w:r w:rsidDel="00000000" w:rsidR="00000000" w:rsidRPr="00000000">
          <w:rPr>
            <w:color w:val="000000"/>
            <w:sz w:val="28"/>
            <w:szCs w:val="28"/>
            <w:rtl w:val="1"/>
          </w:rPr>
          <w:t xml:space="preserve">א</w:t>
        </w:r>
      </w:hyperlink>
      <w:hyperlink r:id="rId21">
        <w:r w:rsidDel="00000000" w:rsidR="00000000" w:rsidRPr="00000000">
          <w:rPr>
            <w:color w:val="000000"/>
            <w:sz w:val="28"/>
            <w:szCs w:val="28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 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לתקנות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אך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האם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יש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בכך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כדי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לפטור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הנאשם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גם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מהעבירה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הנוספת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והשונה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של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אחיזת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הגה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בשתי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הידיים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?;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היא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העבירה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המיוחסת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לו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(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על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פי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 </w:t>
      </w:r>
      <w:hyperlink r:id="rId22">
        <w:r w:rsidDel="00000000" w:rsidR="00000000" w:rsidRPr="00000000">
          <w:rPr>
            <w:color w:val="000000"/>
            <w:sz w:val="28"/>
            <w:szCs w:val="28"/>
            <w:rtl w:val="1"/>
          </w:rPr>
          <w:t xml:space="preserve">תקנה</w:t>
        </w:r>
      </w:hyperlink>
      <w:hyperlink r:id="rId23">
        <w:r w:rsidDel="00000000" w:rsidR="00000000" w:rsidRPr="00000000">
          <w:rPr>
            <w:color w:val="000000"/>
            <w:sz w:val="28"/>
            <w:szCs w:val="28"/>
            <w:rtl w:val="1"/>
          </w:rPr>
          <w:t xml:space="preserve">28(</w:t>
        </w:r>
      </w:hyperlink>
      <w:hyperlink r:id="rId24">
        <w:r w:rsidDel="00000000" w:rsidR="00000000" w:rsidRPr="00000000">
          <w:rPr>
            <w:color w:val="000000"/>
            <w:sz w:val="28"/>
            <w:szCs w:val="28"/>
            <w:rtl w:val="1"/>
          </w:rPr>
          <w:t xml:space="preserve">א</w:t>
        </w:r>
      </w:hyperlink>
      <w:hyperlink r:id="rId25">
        <w:r w:rsidDel="00000000" w:rsidR="00000000" w:rsidRPr="00000000">
          <w:rPr>
            <w:color w:val="000000"/>
            <w:sz w:val="28"/>
            <w:szCs w:val="28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 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לתקנות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64">
      <w:pPr>
        <w:pStyle w:val="Heading2"/>
        <w:bidi w:val="1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1"/>
        </w:rPr>
        <w:t xml:space="preserve">לטעמי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עת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אפשר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המחוקק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לנהג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לגעת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במכשיר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הטלפון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(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הנמצא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במתקן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קבוע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או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מונח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במקום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יציב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המונע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נפילה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),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כחלק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מהחובה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הכללית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להחזיק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בהגה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או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בכידון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הרי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שלא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ניתן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עוד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להאשים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הנהג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באי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אחיזת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ההגה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שעה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שהוא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מבצע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פעולה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המותרת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על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פי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תקנת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המשנה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 </w:t>
      </w:r>
      <w:hyperlink r:id="rId26">
        <w:r w:rsidDel="00000000" w:rsidR="00000000" w:rsidRPr="00000000">
          <w:rPr>
            <w:rtl w:val="0"/>
          </w:rPr>
        </w:r>
      </w:hyperlink>
      <w:hyperlink r:id="rId27">
        <w:r w:rsidDel="00000000" w:rsidR="00000000" w:rsidRPr="00000000">
          <w:rPr>
            <w:color w:val="000000"/>
            <w:sz w:val="28"/>
            <w:szCs w:val="28"/>
            <w:rtl w:val="1"/>
          </w:rPr>
          <w:t xml:space="preserve">28(</w:t>
        </w:r>
      </w:hyperlink>
      <w:hyperlink r:id="rId28">
        <w:r w:rsidDel="00000000" w:rsidR="00000000" w:rsidRPr="00000000">
          <w:rPr>
            <w:color w:val="000000"/>
            <w:sz w:val="28"/>
            <w:szCs w:val="28"/>
            <w:rtl w:val="1"/>
          </w:rPr>
          <w:t xml:space="preserve">ב</w:t>
        </w:r>
      </w:hyperlink>
      <w:hyperlink r:id="rId29">
        <w:r w:rsidDel="00000000" w:rsidR="00000000" w:rsidRPr="00000000">
          <w:rPr>
            <w:color w:val="000000"/>
            <w:sz w:val="28"/>
            <w:szCs w:val="28"/>
            <w:rtl w:val="1"/>
          </w:rPr>
          <w:t xml:space="preserve">).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bidi w:val="1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bidi w:val="1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   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ברור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כי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מחוקק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המשנה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בעת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התרת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המעשה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האמור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הנלמדת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כאמור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לעיל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ממחיקת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האיסור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על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הסרת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היד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מההגה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או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מהכידון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בין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הנוסח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הראשון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לנוסח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השני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של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התקנות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היה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מודע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לאיסור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על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הסרת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היד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מההגה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ואם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בכל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זאת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בחר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להתיר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האמור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הרי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שזה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מתוך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הבנה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והתרה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של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ביצוע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הפעולה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למרות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האיסור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על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החזקת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ההגה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בשתי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הידיים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7">
      <w:pPr>
        <w:pStyle w:val="Heading2"/>
        <w:bidi w:val="1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   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מסקנתי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האמורה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מתחזקת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גם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מדבריה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של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כב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'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השופטת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שטרסברג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כהן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בעניין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אהובה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לוי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אותם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ציטטתי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לעיל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אך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מפאת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חשיבותם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אשוב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ואחזור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עליהם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6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ניסיון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מלמד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להשיג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בטיחות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אבסולוטית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התקנות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נותנות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ביטוי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לכך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טול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לדוגמה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החובה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לנהוג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כששתי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הידיים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ההגה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חובה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קבועה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בתקנה</w:t>
      </w:r>
      <w:r w:rsidDel="00000000" w:rsidR="00000000" w:rsidRPr="00000000">
        <w:rPr>
          <w:sz w:val="28"/>
          <w:szCs w:val="28"/>
          <w:rtl w:val="1"/>
        </w:rPr>
        <w:t xml:space="preserve"> 28 </w:t>
      </w:r>
      <w:r w:rsidDel="00000000" w:rsidR="00000000" w:rsidRPr="00000000">
        <w:rPr>
          <w:sz w:val="28"/>
          <w:szCs w:val="28"/>
          <w:rtl w:val="1"/>
        </w:rPr>
        <w:t xml:space="preserve">ולכאורה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זוהי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מוחלטת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אולם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תקנה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עצמה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מתקין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התקנות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להרשות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המחייבות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ההגה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קצר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להבטחת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התקינה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הרכב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לקיום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התנועה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ברדיו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אסור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במכונית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להפעילו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לכבותו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להחליף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תחנות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מנוס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מלהסיר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ההגה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tbl>
      <w:tblPr>
        <w:tblStyle w:val="Table2"/>
        <w:bidiVisual w:val="1"/>
        <w:tblW w:w="8820.0" w:type="dxa"/>
        <w:jc w:val="left"/>
        <w:tblLayout w:type="fixed"/>
        <w:tblLook w:val="0400"/>
      </w:tblPr>
      <w:tblGrid>
        <w:gridCol w:w="743"/>
        <w:gridCol w:w="8077"/>
        <w:tblGridChange w:id="0">
          <w:tblGrid>
            <w:gridCol w:w="743"/>
            <w:gridCol w:w="8077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pStyle w:val="Heading2"/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pStyle w:val="Heading2"/>
              <w:bidi w:val="1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מדוגמאות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אלה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ואחרות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עולה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כי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המחוקק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הכיר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בחוסר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יכולת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ואולי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גם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בהיעדר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צורך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להטיל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איסורים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מוחלטים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והקל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במקום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שהדבר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אפשרי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וראוי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B">
            <w:pPr>
              <w:pStyle w:val="Heading2"/>
              <w:bidi w:val="1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תקנה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169 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אוסרת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 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גם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הולך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רגל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ללכת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בכביש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כשאוזניות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צמודות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לאוזניו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.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האם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אכן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יש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לפרש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התקנה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כך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שגם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הולך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רגל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יחצה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הכביש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כשאוזנייה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אחת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לאוזנו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יעבור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הוא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עבירה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?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נראה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שאין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הדבר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כך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.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אין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איסור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כזה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מתחייב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מלשון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התקנה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ומתכליתה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.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גם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המגמה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הראויה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בעיניי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לדה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-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קרימינליזציה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החיים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מצדיקה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שלא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להפוך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–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שלא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לצורך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–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התנהגות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אנוש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לעבירה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" </w:t>
            </w:r>
          </w:p>
          <w:p w:rsidR="00000000" w:rsidDel="00000000" w:rsidP="00000000" w:rsidRDefault="00000000" w:rsidRPr="00000000" w14:paraId="0000006C">
            <w:pPr>
              <w:pStyle w:val="Heading2"/>
              <w:bidi w:val="1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.   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ניתן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וראוי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להתיר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שימוש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ברדיו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בעת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הנהיגה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אף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שהדבר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אינו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לצורך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הבטחת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פעולתו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התקינה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הרכב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ועל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אף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שהדבר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אינו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מבוסס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בלשון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התקנה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ראוי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וניתן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להתיר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פעולה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אותה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בחר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מחוקק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המשנה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להתיר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במפורש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בהיותו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מודע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לאיסור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הסרת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היד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מן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ההגה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D">
            <w:pPr>
              <w:pStyle w:val="Heading2"/>
              <w:bidi w:val="1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מן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המקובץ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אני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רואה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לקבוע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כי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מענה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או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חיוג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בטלפון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נייד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הנמצא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במתקן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קבוע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או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מונח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במקום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יציב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המונע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נפילתו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אינה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פעולה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אסורה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לא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לפי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 </w:t>
            </w:r>
            <w:hyperlink r:id="rId30">
              <w:r w:rsidDel="00000000" w:rsidR="00000000" w:rsidRPr="00000000">
                <w:rPr>
                  <w:color w:val="000000"/>
                  <w:sz w:val="28"/>
                  <w:szCs w:val="28"/>
                  <w:rtl w:val="1"/>
                </w:rPr>
                <w:t xml:space="preserve">תקנה</w:t>
              </w:r>
            </w:hyperlink>
            <w:hyperlink r:id="rId31">
              <w:r w:rsidDel="00000000" w:rsidR="00000000" w:rsidRPr="00000000">
                <w:rPr>
                  <w:color w:val="000000"/>
                  <w:sz w:val="28"/>
                  <w:szCs w:val="28"/>
                  <w:rtl w:val="1"/>
                </w:rPr>
                <w:t xml:space="preserve"> 28(</w:t>
              </w:r>
            </w:hyperlink>
            <w:hyperlink r:id="rId32">
              <w:r w:rsidDel="00000000" w:rsidR="00000000" w:rsidRPr="00000000">
                <w:rPr>
                  <w:color w:val="000000"/>
                  <w:sz w:val="28"/>
                  <w:szCs w:val="28"/>
                  <w:rtl w:val="1"/>
                </w:rPr>
                <w:t xml:space="preserve">ב</w:t>
              </w:r>
            </w:hyperlink>
            <w:hyperlink r:id="rId33">
              <w:r w:rsidDel="00000000" w:rsidR="00000000" w:rsidRPr="00000000">
                <w:rPr>
                  <w:color w:val="000000"/>
                  <w:sz w:val="28"/>
                  <w:szCs w:val="28"/>
                  <w:rtl w:val="1"/>
                </w:rPr>
                <w:t xml:space="preserve">)(1)(</w:t>
              </w:r>
            </w:hyperlink>
            <w:hyperlink r:id="rId34">
              <w:r w:rsidDel="00000000" w:rsidR="00000000" w:rsidRPr="00000000">
                <w:rPr>
                  <w:color w:val="000000"/>
                  <w:sz w:val="28"/>
                  <w:szCs w:val="28"/>
                  <w:rtl w:val="1"/>
                </w:rPr>
                <w:t xml:space="preserve">א</w:t>
              </w:r>
            </w:hyperlink>
            <w:hyperlink r:id="rId35">
              <w:r w:rsidDel="00000000" w:rsidR="00000000" w:rsidRPr="00000000">
                <w:rPr>
                  <w:color w:val="000000"/>
                  <w:sz w:val="28"/>
                  <w:szCs w:val="28"/>
                  <w:rtl w:val="1"/>
                </w:rPr>
                <w:t xml:space="preserve">)</w:t>
              </w:r>
            </w:hyperlink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 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ולא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לפי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 </w:t>
            </w:r>
            <w:hyperlink r:id="rId36">
              <w:r w:rsidDel="00000000" w:rsidR="00000000" w:rsidRPr="00000000">
                <w:rPr>
                  <w:color w:val="000000"/>
                  <w:sz w:val="28"/>
                  <w:szCs w:val="28"/>
                  <w:rtl w:val="1"/>
                </w:rPr>
                <w:t xml:space="preserve">תקנה</w:t>
              </w:r>
            </w:hyperlink>
            <w:hyperlink r:id="rId37">
              <w:r w:rsidDel="00000000" w:rsidR="00000000" w:rsidRPr="00000000">
                <w:rPr>
                  <w:color w:val="000000"/>
                  <w:sz w:val="28"/>
                  <w:szCs w:val="28"/>
                  <w:rtl w:val="1"/>
                </w:rPr>
                <w:t xml:space="preserve"> 28(</w:t>
              </w:r>
            </w:hyperlink>
            <w:hyperlink r:id="rId38">
              <w:r w:rsidDel="00000000" w:rsidR="00000000" w:rsidRPr="00000000">
                <w:rPr>
                  <w:color w:val="000000"/>
                  <w:sz w:val="28"/>
                  <w:szCs w:val="28"/>
                  <w:rtl w:val="1"/>
                </w:rPr>
                <w:t xml:space="preserve">א</w:t>
              </w:r>
            </w:hyperlink>
            <w:hyperlink r:id="rId39">
              <w:r w:rsidDel="00000000" w:rsidR="00000000" w:rsidRPr="00000000">
                <w:rPr>
                  <w:color w:val="000000"/>
                  <w:sz w:val="28"/>
                  <w:szCs w:val="28"/>
                  <w:rtl w:val="1"/>
                </w:rPr>
                <w:t xml:space="preserve">)</w:t>
              </w:r>
            </w:hyperlink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 </w:t>
            </w:r>
            <w:r w:rsidDel="00000000" w:rsidR="00000000" w:rsidRPr="00000000">
              <w:rPr>
                <w:color w:val="000000"/>
                <w:sz w:val="28"/>
                <w:szCs w:val="28"/>
                <w:rtl w:val="1"/>
              </w:rPr>
              <w:t xml:space="preserve">ל</w:t>
            </w:r>
            <w:hyperlink r:id="rId40">
              <w:r w:rsidDel="00000000" w:rsidR="00000000" w:rsidRPr="00000000">
                <w:rPr>
                  <w:color w:val="000000"/>
                  <w:sz w:val="28"/>
                  <w:szCs w:val="28"/>
                  <w:rtl w:val="1"/>
                </w:rPr>
                <w:t xml:space="preserve">תקנות</w:t>
              </w:r>
            </w:hyperlink>
            <w:hyperlink r:id="rId41">
              <w:r w:rsidDel="00000000" w:rsidR="00000000" w:rsidRPr="00000000">
                <w:rPr>
                  <w:color w:val="000000"/>
                  <w:sz w:val="28"/>
                  <w:szCs w:val="28"/>
                  <w:rtl w:val="1"/>
                </w:rPr>
                <w:t xml:space="preserve"> </w:t>
              </w:r>
            </w:hyperlink>
            <w:hyperlink r:id="rId42">
              <w:r w:rsidDel="00000000" w:rsidR="00000000" w:rsidRPr="00000000">
                <w:rPr>
                  <w:color w:val="000000"/>
                  <w:sz w:val="28"/>
                  <w:szCs w:val="28"/>
                  <w:rtl w:val="1"/>
                </w:rPr>
                <w:t xml:space="preserve">התעבורה</w:t>
              </w:r>
            </w:hyperlink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E">
            <w:pPr>
              <w:pStyle w:val="Heading2"/>
              <w:bidi w:val="1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6F">
            <w:pPr>
              <w:pStyle w:val="Heading2"/>
              <w:bidi w:val="1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70">
            <w:pPr>
              <w:pStyle w:val="Heading2"/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71">
            <w:pPr>
              <w:pStyle w:val="Heading2"/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Style w:val="Heading2"/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Style w:val="Heading2"/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74">
            <w:pPr>
              <w:pStyle w:val="Heading2"/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hd w:fill="ffffff" w:val="clear"/>
        <w:bidi w:val="1"/>
        <w:spacing w:after="280" w:before="280" w:lineRule="auto"/>
        <w:ind w:right="72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bidi w:val="1"/>
        <w:spacing w:after="280" w:before="280" w:lineRule="auto"/>
        <w:ind w:right="72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bidi w:val="1"/>
        <w:spacing w:after="280" w:before="280" w:lineRule="auto"/>
        <w:ind w:right="72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bidi w:val="1"/>
        <w:spacing w:before="280" w:lineRule="auto"/>
        <w:ind w:right="72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avid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7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1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5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2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60C86"/>
    <w:pPr>
      <w:bidi w:val="1"/>
    </w:p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886CF2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DC1711"/>
    <w:pPr>
      <w:ind w:left="720"/>
      <w:contextualSpacing w:val="1"/>
    </w:pPr>
  </w:style>
  <w:style w:type="character" w:styleId="Hyperlink">
    <w:name w:val="Hyperlink"/>
    <w:basedOn w:val="a0"/>
    <w:uiPriority w:val="99"/>
    <w:semiHidden w:val="1"/>
    <w:unhideWhenUsed w:val="1"/>
    <w:rsid w:val="00F53DBE"/>
    <w:rPr>
      <w:color w:val="0000ff"/>
      <w:u w:val="single"/>
    </w:rPr>
  </w:style>
  <w:style w:type="character" w:styleId="20" w:customStyle="1">
    <w:name w:val="כותרת 2 תו"/>
    <w:basedOn w:val="a0"/>
    <w:link w:val="2"/>
    <w:uiPriority w:val="9"/>
    <w:rsid w:val="00886CF2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ezproxy.ono.ac.il:2141/law/74274" TargetMode="External"/><Relationship Id="rId20" Type="http://schemas.openxmlformats.org/officeDocument/2006/relationships/hyperlink" Target="http://ezproxy.ono.ac.il:2141/law/74274/28.b.1.a" TargetMode="External"/><Relationship Id="rId42" Type="http://schemas.openxmlformats.org/officeDocument/2006/relationships/hyperlink" Target="http://ezproxy.ono.ac.il:2141/law/74274" TargetMode="External"/><Relationship Id="rId41" Type="http://schemas.openxmlformats.org/officeDocument/2006/relationships/hyperlink" Target="http://ezproxy.ono.ac.il:2141/law/74274" TargetMode="External"/><Relationship Id="rId22" Type="http://schemas.openxmlformats.org/officeDocument/2006/relationships/hyperlink" Target="http://ezproxy.ono.ac.il:2141/law/74274/28.a" TargetMode="External"/><Relationship Id="rId21" Type="http://schemas.openxmlformats.org/officeDocument/2006/relationships/hyperlink" Target="http://ezproxy.ono.ac.il:2141/law/74274/28.b.1.a" TargetMode="External"/><Relationship Id="rId24" Type="http://schemas.openxmlformats.org/officeDocument/2006/relationships/hyperlink" Target="http://ezproxy.ono.ac.il:2141/law/74274/28.a" TargetMode="External"/><Relationship Id="rId23" Type="http://schemas.openxmlformats.org/officeDocument/2006/relationships/hyperlink" Target="http://ezproxy.ono.ac.il:2141/law/74274/28.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zproxy.ono.ac.il:2141/law/74274/28a.b" TargetMode="External"/><Relationship Id="rId26" Type="http://schemas.openxmlformats.org/officeDocument/2006/relationships/hyperlink" Target="http://ezproxy.ono.ac.il:2141/law/74274/28.b" TargetMode="External"/><Relationship Id="rId25" Type="http://schemas.openxmlformats.org/officeDocument/2006/relationships/hyperlink" Target="http://ezproxy.ono.ac.il:2141/law/74274/28.a" TargetMode="External"/><Relationship Id="rId28" Type="http://schemas.openxmlformats.org/officeDocument/2006/relationships/hyperlink" Target="http://ezproxy.ono.ac.il:2141/law/74274/28.b" TargetMode="External"/><Relationship Id="rId27" Type="http://schemas.openxmlformats.org/officeDocument/2006/relationships/hyperlink" Target="http://ezproxy.ono.ac.il:2141/law/74274/28.b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://ezproxy.ono.ac.il:2141/law/74274/28.b" TargetMode="External"/><Relationship Id="rId7" Type="http://schemas.openxmlformats.org/officeDocument/2006/relationships/hyperlink" Target="http://ezproxy.ono.ac.il:2141/law/74274/28a.b" TargetMode="External"/><Relationship Id="rId8" Type="http://schemas.openxmlformats.org/officeDocument/2006/relationships/hyperlink" Target="http://ezproxy.ono.ac.il:2141/law/74274/28a.b" TargetMode="External"/><Relationship Id="rId31" Type="http://schemas.openxmlformats.org/officeDocument/2006/relationships/hyperlink" Target="http://ezproxy.ono.ac.il:2141/law/74274/28.b.1.a" TargetMode="External"/><Relationship Id="rId30" Type="http://schemas.openxmlformats.org/officeDocument/2006/relationships/hyperlink" Target="http://ezproxy.ono.ac.il:2141/law/74274/28.b.1.a" TargetMode="External"/><Relationship Id="rId11" Type="http://schemas.openxmlformats.org/officeDocument/2006/relationships/hyperlink" Target="http://ezproxy.ono.ac.il:2141/law/74274/28a.b" TargetMode="External"/><Relationship Id="rId33" Type="http://schemas.openxmlformats.org/officeDocument/2006/relationships/hyperlink" Target="http://ezproxy.ono.ac.il:2141/law/74274/28.b.1.a" TargetMode="External"/><Relationship Id="rId10" Type="http://schemas.openxmlformats.org/officeDocument/2006/relationships/hyperlink" Target="http://ezproxy.ono.ac.il:2141/law/74274/28a.b" TargetMode="External"/><Relationship Id="rId32" Type="http://schemas.openxmlformats.org/officeDocument/2006/relationships/hyperlink" Target="http://ezproxy.ono.ac.il:2141/law/74274/28.b.1.a" TargetMode="External"/><Relationship Id="rId13" Type="http://schemas.openxmlformats.org/officeDocument/2006/relationships/hyperlink" Target="http://ezproxy.ono.ac.il:2141/law/74274" TargetMode="External"/><Relationship Id="rId35" Type="http://schemas.openxmlformats.org/officeDocument/2006/relationships/hyperlink" Target="http://ezproxy.ono.ac.il:2141/law/74274/28.b.1.a" TargetMode="External"/><Relationship Id="rId12" Type="http://schemas.openxmlformats.org/officeDocument/2006/relationships/hyperlink" Target="http://ezproxy.ono.ac.il:2141/law/74274/28a.b" TargetMode="External"/><Relationship Id="rId34" Type="http://schemas.openxmlformats.org/officeDocument/2006/relationships/hyperlink" Target="http://ezproxy.ono.ac.il:2141/law/74274/28.b.1.a" TargetMode="External"/><Relationship Id="rId15" Type="http://schemas.openxmlformats.org/officeDocument/2006/relationships/hyperlink" Target="http://ezproxy.ono.ac.il:2141/law/74274" TargetMode="External"/><Relationship Id="rId37" Type="http://schemas.openxmlformats.org/officeDocument/2006/relationships/hyperlink" Target="http://ezproxy.ono.ac.il:2141/law/74274/28.a" TargetMode="External"/><Relationship Id="rId14" Type="http://schemas.openxmlformats.org/officeDocument/2006/relationships/hyperlink" Target="http://ezproxy.ono.ac.il:2141/law/74274" TargetMode="External"/><Relationship Id="rId36" Type="http://schemas.openxmlformats.org/officeDocument/2006/relationships/hyperlink" Target="http://ezproxy.ono.ac.il:2141/law/74274/28.a" TargetMode="External"/><Relationship Id="rId17" Type="http://schemas.openxmlformats.org/officeDocument/2006/relationships/hyperlink" Target="http://ezproxy.ono.ac.il:2141/law/74274/28.b.1.a" TargetMode="External"/><Relationship Id="rId39" Type="http://schemas.openxmlformats.org/officeDocument/2006/relationships/hyperlink" Target="http://ezproxy.ono.ac.il:2141/law/74274/28.a" TargetMode="External"/><Relationship Id="rId16" Type="http://schemas.openxmlformats.org/officeDocument/2006/relationships/hyperlink" Target="http://ezproxy.ono.ac.il:2141/law/74274/28.b.1.a" TargetMode="External"/><Relationship Id="rId38" Type="http://schemas.openxmlformats.org/officeDocument/2006/relationships/hyperlink" Target="http://ezproxy.ono.ac.il:2141/law/74274/28.a" TargetMode="External"/><Relationship Id="rId19" Type="http://schemas.openxmlformats.org/officeDocument/2006/relationships/hyperlink" Target="http://ezproxy.ono.ac.il:2141/law/74274/28.b.1.a" TargetMode="External"/><Relationship Id="rId18" Type="http://schemas.openxmlformats.org/officeDocument/2006/relationships/hyperlink" Target="http://ezproxy.ono.ac.il:2141/law/74274/28.b.1.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wjgfR2n7rccMLEYYUonfygTo6g==">CgMxLjA4AHIhMUZ5OVRWWnVyQnd2QkJfdWZxb1dBaHlYdm45dXZBZUVu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2022-02-26T18:53:00Z</dcterms:created>
  <dc:creator>משה שניאור</dc:creator>
</cp:coreProperties>
</file>