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7E87" w14:textId="7C39C08B" w:rsidR="006512AF" w:rsidRDefault="007D4394" w:rsidP="006512AF">
      <w:pPr>
        <w:rPr>
          <w:b/>
          <w:bCs/>
          <w:sz w:val="36"/>
          <w:szCs w:val="36"/>
          <w:rtl/>
        </w:rPr>
      </w:pPr>
      <w:r>
        <w:rPr>
          <w:rFonts w:hint="cs"/>
          <w:b/>
          <w:bCs/>
          <w:sz w:val="36"/>
          <w:szCs w:val="36"/>
          <w:rtl/>
        </w:rPr>
        <w:t>לחצן-אופנוע</w:t>
      </w:r>
      <w:r w:rsidR="006512AF" w:rsidRPr="006512AF">
        <w:rPr>
          <w:rFonts w:hint="cs"/>
          <w:b/>
          <w:bCs/>
          <w:sz w:val="36"/>
          <w:szCs w:val="36"/>
          <w:rtl/>
        </w:rPr>
        <w:t xml:space="preserve"> רעש </w:t>
      </w:r>
      <w:r>
        <w:rPr>
          <w:rFonts w:hint="cs"/>
          <w:b/>
          <w:bCs/>
          <w:sz w:val="36"/>
          <w:szCs w:val="36"/>
          <w:rtl/>
        </w:rPr>
        <w:t>מ</w:t>
      </w:r>
      <w:r w:rsidR="006512AF" w:rsidRPr="006512AF">
        <w:rPr>
          <w:rFonts w:hint="cs"/>
          <w:b/>
          <w:bCs/>
          <w:sz w:val="36"/>
          <w:szCs w:val="36"/>
          <w:rtl/>
        </w:rPr>
        <w:t>האגזוז</w:t>
      </w:r>
    </w:p>
    <w:tbl>
      <w:tblPr>
        <w:bidiVisual/>
        <w:tblW w:w="0" w:type="auto"/>
        <w:shd w:val="clear" w:color="auto" w:fill="FFFFFF"/>
        <w:tblCellMar>
          <w:left w:w="0" w:type="dxa"/>
          <w:right w:w="0" w:type="dxa"/>
        </w:tblCellMar>
        <w:tblLook w:val="04A0" w:firstRow="1" w:lastRow="0" w:firstColumn="1" w:lastColumn="0" w:noHBand="0" w:noVBand="1"/>
      </w:tblPr>
      <w:tblGrid>
        <w:gridCol w:w="4818"/>
        <w:gridCol w:w="3488"/>
      </w:tblGrid>
      <w:tr w:rsidR="006512AF" w:rsidRPr="006512AF" w14:paraId="4B35543B" w14:textId="77777777" w:rsidTr="006512AF">
        <w:trPr>
          <w:trHeight w:val="337"/>
        </w:trPr>
        <w:tc>
          <w:tcPr>
            <w:tcW w:w="5047" w:type="dxa"/>
            <w:shd w:val="clear" w:color="auto" w:fill="FFFFFF"/>
            <w:tcMar>
              <w:top w:w="0" w:type="dxa"/>
              <w:left w:w="108" w:type="dxa"/>
              <w:bottom w:w="0" w:type="dxa"/>
              <w:right w:w="108" w:type="dxa"/>
            </w:tcMar>
            <w:hideMark/>
          </w:tcPr>
          <w:p w14:paraId="4727AB79" w14:textId="77777777" w:rsidR="006512AF" w:rsidRPr="006512AF" w:rsidRDefault="006512AF" w:rsidP="006512AF">
            <w:pPr>
              <w:spacing w:after="0" w:line="240" w:lineRule="auto"/>
              <w:rPr>
                <w:rFonts w:ascii="Arial (W1)" w:eastAsia="Times New Roman" w:hAnsi="Arial (W1)" w:cs="Times New Roman"/>
                <w:color w:val="000000"/>
                <w:sz w:val="24"/>
                <w:szCs w:val="24"/>
              </w:rPr>
            </w:pPr>
            <w:r w:rsidRPr="006512AF">
              <w:rPr>
                <w:rFonts w:ascii="FrankRuehl" w:eastAsia="Times New Roman" w:hAnsi="FrankRuehl" w:cs="FrankRuehl"/>
                <w:color w:val="000000"/>
                <w:sz w:val="28"/>
                <w:szCs w:val="28"/>
                <w:rtl/>
              </w:rPr>
              <w:t> </w:t>
            </w:r>
          </w:p>
        </w:tc>
        <w:tc>
          <w:tcPr>
            <w:tcW w:w="3674" w:type="dxa"/>
            <w:shd w:val="clear" w:color="auto" w:fill="FFFFFF"/>
            <w:tcMar>
              <w:top w:w="0" w:type="dxa"/>
              <w:left w:w="108" w:type="dxa"/>
              <w:bottom w:w="0" w:type="dxa"/>
              <w:right w:w="108" w:type="dxa"/>
            </w:tcMar>
            <w:hideMark/>
          </w:tcPr>
          <w:p w14:paraId="57EA1BB2" w14:textId="77777777" w:rsidR="006512AF" w:rsidRPr="006512AF" w:rsidRDefault="006512AF" w:rsidP="006512AF">
            <w:pPr>
              <w:spacing w:after="0" w:line="240" w:lineRule="auto"/>
              <w:jc w:val="right"/>
              <w:rPr>
                <w:rFonts w:ascii="Arial (W1)" w:eastAsia="Times New Roman" w:hAnsi="Arial (W1)" w:cs="Times New Roman"/>
                <w:color w:val="000000"/>
                <w:sz w:val="24"/>
                <w:szCs w:val="24"/>
                <w:rtl/>
              </w:rPr>
            </w:pPr>
            <w:r w:rsidRPr="006512AF">
              <w:rPr>
                <w:rFonts w:ascii="FrankRuehl" w:eastAsia="Times New Roman" w:hAnsi="FrankRuehl" w:cs="FrankRuehl"/>
                <w:color w:val="000000"/>
                <w:sz w:val="28"/>
                <w:szCs w:val="28"/>
                <w:rtl/>
              </w:rPr>
              <w:t> </w:t>
            </w:r>
          </w:p>
        </w:tc>
      </w:tr>
      <w:tr w:rsidR="006512AF" w:rsidRPr="006512AF" w14:paraId="4066E405" w14:textId="77777777" w:rsidTr="006512AF">
        <w:trPr>
          <w:trHeight w:val="337"/>
        </w:trPr>
        <w:tc>
          <w:tcPr>
            <w:tcW w:w="8721" w:type="dxa"/>
            <w:gridSpan w:val="2"/>
            <w:shd w:val="clear" w:color="auto" w:fill="FFFFFF"/>
            <w:tcMar>
              <w:top w:w="0" w:type="dxa"/>
              <w:left w:w="108" w:type="dxa"/>
              <w:bottom w:w="0" w:type="dxa"/>
              <w:right w:w="108" w:type="dxa"/>
            </w:tcMar>
            <w:hideMark/>
          </w:tcPr>
          <w:p w14:paraId="60E03092" w14:textId="6D696F86" w:rsidR="006512AF" w:rsidRDefault="006512AF" w:rsidP="006512AF">
            <w:pPr>
              <w:spacing w:after="0" w:line="240" w:lineRule="auto"/>
              <w:rPr>
                <w:rFonts w:ascii="FrankRuehl" w:eastAsia="Times New Roman" w:hAnsi="FrankRuehl" w:cs="FrankRuehl"/>
                <w:color w:val="000000"/>
                <w:sz w:val="28"/>
                <w:szCs w:val="28"/>
                <w:rtl/>
              </w:rPr>
            </w:pPr>
            <w:r w:rsidRPr="006512AF">
              <w:rPr>
                <w:rFonts w:ascii="FrankRuehl" w:eastAsia="Times New Roman" w:hAnsi="FrankRuehl" w:cs="FrankRuehl"/>
                <w:color w:val="000000"/>
                <w:sz w:val="28"/>
                <w:szCs w:val="28"/>
                <w:rtl/>
              </w:rPr>
              <w:t xml:space="preserve">תת"ע </w:t>
            </w:r>
            <w:r>
              <w:rPr>
                <w:rFonts w:ascii="FrankRuehl" w:eastAsia="Times New Roman" w:hAnsi="FrankRuehl" w:cs="FrankRuehl" w:hint="cs"/>
                <w:color w:val="000000"/>
                <w:sz w:val="28"/>
                <w:szCs w:val="28"/>
                <w:rtl/>
              </w:rPr>
              <w:t xml:space="preserve"> </w:t>
            </w:r>
            <w:r w:rsidRPr="006512AF">
              <w:rPr>
                <w:rFonts w:ascii="FrankRuehl" w:eastAsia="Times New Roman" w:hAnsi="FrankRuehl" w:cs="FrankRuehl"/>
                <w:color w:val="000000"/>
                <w:sz w:val="28"/>
                <w:szCs w:val="28"/>
                <w:rtl/>
              </w:rPr>
              <w:t>5205-12-20מדינת ישראל נ' סעיד עלי</w:t>
            </w:r>
          </w:p>
          <w:p w14:paraId="00E865B7" w14:textId="77777777" w:rsidR="006512AF" w:rsidRDefault="006512AF" w:rsidP="006512AF">
            <w:pPr>
              <w:spacing w:after="0" w:line="240" w:lineRule="auto"/>
              <w:rPr>
                <w:rFonts w:ascii="FrankRuehl" w:eastAsia="Times New Roman" w:hAnsi="FrankRuehl" w:cs="FrankRuehl"/>
                <w:color w:val="000000"/>
                <w:sz w:val="28"/>
                <w:szCs w:val="28"/>
                <w:rtl/>
              </w:rPr>
            </w:pPr>
          </w:p>
          <w:p w14:paraId="578E7E19" w14:textId="77777777" w:rsidR="006512AF" w:rsidRDefault="006512AF" w:rsidP="006512AF">
            <w:pPr>
              <w:spacing w:after="0" w:line="240" w:lineRule="auto"/>
              <w:rPr>
                <w:rFonts w:ascii="David" w:hAnsi="David" w:cs="David"/>
                <w:b/>
                <w:bCs/>
                <w:color w:val="000000"/>
                <w:sz w:val="26"/>
                <w:szCs w:val="26"/>
                <w:shd w:val="clear" w:color="auto" w:fill="FFFFFF"/>
                <w:rtl/>
              </w:rPr>
            </w:pPr>
            <w:r>
              <w:rPr>
                <w:rFonts w:ascii="David" w:hAnsi="David" w:cs="David"/>
                <w:b/>
                <w:bCs/>
                <w:color w:val="000000"/>
                <w:sz w:val="26"/>
                <w:szCs w:val="26"/>
                <w:shd w:val="clear" w:color="auto" w:fill="FFFFFF"/>
                <w:rtl/>
              </w:rPr>
              <w:t>בפני כב' השופט יעקב בכר</w:t>
            </w:r>
            <w:r>
              <w:rPr>
                <w:rFonts w:ascii="David" w:hAnsi="David" w:cs="David" w:hint="cs"/>
                <w:b/>
                <w:bCs/>
                <w:color w:val="000000"/>
                <w:sz w:val="26"/>
                <w:szCs w:val="26"/>
                <w:shd w:val="clear" w:color="auto" w:fill="FFFFFF"/>
                <w:rtl/>
              </w:rPr>
              <w:t>-נפסק לזיכוי</w:t>
            </w:r>
          </w:p>
          <w:p w14:paraId="5A9D162E" w14:textId="77777777" w:rsidR="006512AF" w:rsidRDefault="006512AF" w:rsidP="006512AF">
            <w:pPr>
              <w:spacing w:after="0" w:line="240" w:lineRule="auto"/>
              <w:rPr>
                <w:rFonts w:ascii="FrankRuehl" w:eastAsia="Times New Roman" w:hAnsi="FrankRuehl" w:cs="FrankRuehl"/>
                <w:color w:val="000000"/>
                <w:sz w:val="28"/>
                <w:szCs w:val="28"/>
                <w:rtl/>
              </w:rPr>
            </w:pPr>
          </w:p>
          <w:p w14:paraId="5DC4E9F7" w14:textId="77777777" w:rsidR="006512AF" w:rsidRPr="006512AF" w:rsidRDefault="006512AF" w:rsidP="006512AF">
            <w:pPr>
              <w:shd w:val="clear" w:color="auto" w:fill="FFFFFF"/>
              <w:spacing w:after="0" w:line="360" w:lineRule="atLeast"/>
              <w:ind w:left="720" w:hanging="720"/>
              <w:jc w:val="both"/>
              <w:rPr>
                <w:rFonts w:ascii="Arial (W1)" w:eastAsia="Times New Roman" w:hAnsi="Arial (W1)" w:cs="Times New Roman"/>
                <w:color w:val="000000"/>
                <w:sz w:val="27"/>
                <w:szCs w:val="27"/>
              </w:rPr>
            </w:pPr>
            <w:r w:rsidRPr="006512AF">
              <w:rPr>
                <w:rFonts w:ascii="David" w:eastAsia="Times New Roman" w:hAnsi="David" w:cs="David"/>
                <w:color w:val="000000"/>
                <w:sz w:val="27"/>
                <w:szCs w:val="27"/>
                <w:rtl/>
              </w:rPr>
              <w:t> </w:t>
            </w:r>
            <w:r w:rsidRPr="006512AF">
              <w:rPr>
                <w:rFonts w:ascii="David" w:eastAsia="Times New Roman" w:hAnsi="David" w:cs="David"/>
                <w:b/>
                <w:bCs/>
                <w:color w:val="000000"/>
                <w:sz w:val="27"/>
                <w:szCs w:val="27"/>
                <w:u w:val="single"/>
                <w:rtl/>
              </w:rPr>
              <w:t>נסיבות המקרה</w:t>
            </w:r>
            <w:r w:rsidRPr="006512AF">
              <w:rPr>
                <w:rFonts w:ascii="David" w:eastAsia="Times New Roman" w:hAnsi="David" w:cs="David"/>
                <w:color w:val="000000"/>
                <w:sz w:val="27"/>
                <w:szCs w:val="27"/>
                <w:rtl/>
              </w:rPr>
              <w:t>:</w:t>
            </w:r>
          </w:p>
          <w:p w14:paraId="6650880A" w14:textId="5C76A893" w:rsidR="006512AF" w:rsidRPr="006512AF" w:rsidRDefault="006512AF" w:rsidP="006512AF">
            <w:pPr>
              <w:shd w:val="clear" w:color="auto" w:fill="FFFFFF"/>
              <w:spacing w:after="0" w:line="360" w:lineRule="atLeast"/>
              <w:ind w:left="720"/>
              <w:jc w:val="both"/>
              <w:rPr>
                <w:rFonts w:ascii="Arial (W1)" w:eastAsia="Times New Roman" w:hAnsi="Arial (W1)" w:cs="Times New Roman"/>
                <w:sz w:val="27"/>
                <w:szCs w:val="27"/>
              </w:rPr>
            </w:pPr>
            <w:r w:rsidRPr="006512AF">
              <w:rPr>
                <w:rFonts w:ascii="David" w:eastAsia="Times New Roman" w:hAnsi="David" w:cs="David"/>
                <w:sz w:val="27"/>
                <w:szCs w:val="27"/>
                <w:rtl/>
              </w:rPr>
              <w:t xml:space="preserve">כנגד הנאשם הוגש כתב אישום לפיו נהג על אופנוע שנמצא לא תקין </w:t>
            </w:r>
            <w:r w:rsidR="007D4394">
              <w:rPr>
                <w:rFonts w:ascii="David" w:eastAsia="Times New Roman" w:hAnsi="David" w:cs="David" w:hint="cs"/>
                <w:sz w:val="27"/>
                <w:szCs w:val="27"/>
                <w:rtl/>
              </w:rPr>
              <w:t>,</w:t>
            </w:r>
            <w:r w:rsidRPr="006512AF">
              <w:rPr>
                <w:rFonts w:ascii="David" w:eastAsia="Times New Roman" w:hAnsi="David" w:cs="David"/>
                <w:sz w:val="27"/>
                <w:szCs w:val="27"/>
                <w:rtl/>
              </w:rPr>
              <w:t>ע"י שוטר שהוא בוחן תנועה</w:t>
            </w:r>
            <w:r w:rsidR="007D4394" w:rsidRPr="006512AF">
              <w:rPr>
                <w:rFonts w:ascii="Arial (W1)" w:eastAsia="Times New Roman" w:hAnsi="Arial (W1)" w:cs="Times New Roman"/>
                <w:sz w:val="27"/>
                <w:szCs w:val="27"/>
              </w:rPr>
              <w:t xml:space="preserve"> </w:t>
            </w:r>
          </w:p>
          <w:p w14:paraId="3A7FC345" w14:textId="4F2DF933" w:rsidR="006512AF" w:rsidRPr="006512AF" w:rsidRDefault="006512AF" w:rsidP="006512AF">
            <w:pPr>
              <w:shd w:val="clear" w:color="auto" w:fill="FFFFFF"/>
              <w:spacing w:after="0" w:line="360" w:lineRule="atLeast"/>
              <w:jc w:val="both"/>
              <w:rPr>
                <w:rFonts w:ascii="Arial (W1)" w:eastAsia="Times New Roman" w:hAnsi="Arial (W1)" w:cs="Times New Roman"/>
                <w:color w:val="000000"/>
                <w:sz w:val="27"/>
                <w:szCs w:val="27"/>
                <w:rtl/>
              </w:rPr>
            </w:pPr>
          </w:p>
          <w:p w14:paraId="52730D86" w14:textId="3F441779" w:rsidR="006512AF" w:rsidRDefault="006512AF" w:rsidP="006512AF">
            <w:pPr>
              <w:shd w:val="clear" w:color="auto" w:fill="FFFFFF"/>
              <w:spacing w:after="0" w:line="360" w:lineRule="atLeast"/>
              <w:ind w:left="720" w:hanging="720"/>
              <w:jc w:val="both"/>
              <w:rPr>
                <w:rFonts w:ascii="Arial (W1)" w:eastAsia="Times New Roman" w:hAnsi="Arial (W1)" w:cs="Times New Roman"/>
                <w:b/>
                <w:bCs/>
                <w:i/>
                <w:iCs/>
                <w:color w:val="000000"/>
                <w:sz w:val="27"/>
                <w:szCs w:val="27"/>
                <w:rtl/>
              </w:rPr>
            </w:pPr>
            <w:r w:rsidRPr="007D4394">
              <w:rPr>
                <w:rFonts w:ascii="David" w:eastAsia="Times New Roman" w:hAnsi="David" w:cs="David"/>
                <w:b/>
                <w:bCs/>
                <w:i/>
                <w:iCs/>
                <w:color w:val="000000"/>
                <w:sz w:val="27"/>
                <w:szCs w:val="27"/>
                <w:rtl/>
              </w:rPr>
              <w:t>.         </w:t>
            </w:r>
            <w:r w:rsidR="007D4394" w:rsidRPr="007D4394">
              <w:rPr>
                <w:rFonts w:ascii="David" w:eastAsia="Times New Roman" w:hAnsi="David" w:cs="David" w:hint="cs"/>
                <w:b/>
                <w:bCs/>
                <w:i/>
                <w:iCs/>
                <w:color w:val="000000"/>
                <w:sz w:val="27"/>
                <w:szCs w:val="27"/>
                <w:rtl/>
              </w:rPr>
              <w:t>סיכום הדברים</w:t>
            </w:r>
          </w:p>
          <w:p w14:paraId="324556F2" w14:textId="77777777" w:rsidR="007D4394" w:rsidRPr="007D4394" w:rsidRDefault="007D4394" w:rsidP="006512AF">
            <w:pPr>
              <w:shd w:val="clear" w:color="auto" w:fill="FFFFFF"/>
              <w:spacing w:after="0" w:line="360" w:lineRule="atLeast"/>
              <w:ind w:left="720" w:hanging="720"/>
              <w:jc w:val="both"/>
              <w:rPr>
                <w:rFonts w:ascii="Arial (W1)" w:eastAsia="Times New Roman" w:hAnsi="Arial (W1)" w:cs="Times New Roman"/>
                <w:b/>
                <w:bCs/>
                <w:i/>
                <w:iCs/>
                <w:color w:val="000000"/>
                <w:sz w:val="27"/>
                <w:szCs w:val="27"/>
                <w:rtl/>
              </w:rPr>
            </w:pPr>
          </w:p>
          <w:p w14:paraId="366814AC" w14:textId="7F59754D" w:rsidR="006512AF" w:rsidRPr="006512AF" w:rsidRDefault="006512AF" w:rsidP="006512AF">
            <w:pPr>
              <w:shd w:val="clear" w:color="auto" w:fill="FFFFFF"/>
              <w:spacing w:after="0" w:line="360" w:lineRule="atLeast"/>
              <w:ind w:left="720"/>
              <w:jc w:val="both"/>
              <w:rPr>
                <w:rFonts w:ascii="Arial (W1)" w:eastAsia="Times New Roman" w:hAnsi="Arial (W1)" w:cs="Times New Roman"/>
                <w:color w:val="000000"/>
                <w:sz w:val="27"/>
                <w:szCs w:val="27"/>
                <w:rtl/>
              </w:rPr>
            </w:pPr>
            <w:r w:rsidRPr="006512AF">
              <w:rPr>
                <w:rFonts w:ascii="David" w:eastAsia="Times New Roman" w:hAnsi="David" w:cs="David"/>
                <w:color w:val="000000"/>
                <w:sz w:val="27"/>
                <w:szCs w:val="27"/>
                <w:rtl/>
              </w:rPr>
              <w:t xml:space="preserve">לעניות דעתי, לא הוכיחה המאשימה מעבר לכל ספק סביר כי הנאשם נהג על אופנוע לא </w:t>
            </w:r>
            <w:proofErr w:type="spellStart"/>
            <w:r w:rsidRPr="006512AF">
              <w:rPr>
                <w:rFonts w:ascii="David" w:eastAsia="Times New Roman" w:hAnsi="David" w:cs="David"/>
                <w:color w:val="000000"/>
                <w:sz w:val="27"/>
                <w:szCs w:val="27"/>
                <w:rtl/>
              </w:rPr>
              <w:t>תקין.</w:t>
            </w:r>
            <w:r w:rsidRPr="006512AF">
              <w:rPr>
                <w:rFonts w:ascii="David" w:eastAsia="Times New Roman" w:hAnsi="David" w:cs="David"/>
                <w:b/>
                <w:bCs/>
                <w:color w:val="000000"/>
                <w:sz w:val="27"/>
                <w:szCs w:val="27"/>
                <w:rtl/>
              </w:rPr>
              <w:t>ראשית</w:t>
            </w:r>
            <w:proofErr w:type="spellEnd"/>
            <w:r w:rsidRPr="006512AF">
              <w:rPr>
                <w:rFonts w:ascii="David" w:eastAsia="Times New Roman" w:hAnsi="David" w:cs="David"/>
                <w:color w:val="000000"/>
                <w:sz w:val="27"/>
                <w:szCs w:val="27"/>
                <w:rtl/>
              </w:rPr>
              <w:t>, השוטר</w:t>
            </w:r>
            <w:r>
              <w:rPr>
                <w:rFonts w:ascii="David" w:eastAsia="Times New Roman" w:hAnsi="David" w:cs="David" w:hint="cs"/>
                <w:color w:val="000000"/>
                <w:sz w:val="27"/>
                <w:szCs w:val="27"/>
                <w:rtl/>
              </w:rPr>
              <w:t xml:space="preserve"> </w:t>
            </w:r>
            <w:r w:rsidRPr="006512AF">
              <w:rPr>
                <w:rFonts w:ascii="David" w:eastAsia="Times New Roman" w:hAnsi="David" w:cs="David"/>
                <w:color w:val="000000"/>
                <w:sz w:val="27"/>
                <w:szCs w:val="27"/>
                <w:rtl/>
              </w:rPr>
              <w:t>העיד כי בשעת האירוע היה ללא מד דציבלים ולכן קבע כי אופנוע הנאשם הפיק רעש חזק חוות דעתו</w:t>
            </w:r>
            <w:r>
              <w:rPr>
                <w:rFonts w:ascii="David" w:eastAsia="Times New Roman" w:hAnsi="David" w:cs="David" w:hint="cs"/>
                <w:color w:val="000000"/>
                <w:sz w:val="27"/>
                <w:szCs w:val="27"/>
                <w:rtl/>
              </w:rPr>
              <w:t xml:space="preserve"> </w:t>
            </w:r>
            <w:r w:rsidRPr="006512AF">
              <w:rPr>
                <w:rFonts w:ascii="David" w:eastAsia="Times New Roman" w:hAnsi="David" w:cs="David"/>
                <w:color w:val="000000"/>
                <w:sz w:val="27"/>
                <w:szCs w:val="27"/>
                <w:rtl/>
              </w:rPr>
              <w:t>הסובייקטיבית (לפי שמיעתו בלבד)  וזו איננה יכולה לכשעצמה להביא להרשעתו של הנאשם.   </w:t>
            </w:r>
          </w:p>
          <w:p w14:paraId="51EDD02B" w14:textId="77777777" w:rsidR="006512AF" w:rsidRPr="006512AF" w:rsidRDefault="006512AF" w:rsidP="006512AF">
            <w:pPr>
              <w:shd w:val="clear" w:color="auto" w:fill="FFFFFF"/>
              <w:spacing w:after="0" w:line="360" w:lineRule="atLeast"/>
              <w:ind w:left="720"/>
              <w:jc w:val="both"/>
              <w:rPr>
                <w:rFonts w:ascii="Arial (W1)" w:eastAsia="Times New Roman" w:hAnsi="Arial (W1)" w:cs="Times New Roman"/>
                <w:color w:val="000000"/>
                <w:sz w:val="27"/>
                <w:szCs w:val="27"/>
                <w:rtl/>
              </w:rPr>
            </w:pPr>
            <w:r w:rsidRPr="006512AF">
              <w:rPr>
                <w:rFonts w:ascii="David" w:eastAsia="Times New Roman" w:hAnsi="David" w:cs="David"/>
                <w:b/>
                <w:bCs/>
                <w:color w:val="000000"/>
                <w:sz w:val="27"/>
                <w:szCs w:val="27"/>
                <w:rtl/>
              </w:rPr>
              <w:t>שנית</w:t>
            </w:r>
            <w:r w:rsidRPr="006512AF">
              <w:rPr>
                <w:rFonts w:ascii="David" w:eastAsia="Times New Roman" w:hAnsi="David" w:cs="David"/>
                <w:color w:val="000000"/>
                <w:sz w:val="27"/>
                <w:szCs w:val="27"/>
                <w:rtl/>
              </w:rPr>
              <w:t>, גרסת המאשימה מתערערת עוד יותר לנוכח המסמכים אותם הציג הנאשם:</w:t>
            </w:r>
          </w:p>
          <w:p w14:paraId="2B57D89D" w14:textId="77777777" w:rsidR="006512AF" w:rsidRPr="006512AF" w:rsidRDefault="006512AF" w:rsidP="006512AF">
            <w:pPr>
              <w:shd w:val="clear" w:color="auto" w:fill="FFFFFF"/>
              <w:spacing w:after="0" w:line="360" w:lineRule="atLeast"/>
              <w:ind w:left="720"/>
              <w:jc w:val="both"/>
              <w:rPr>
                <w:rFonts w:ascii="Arial (W1)" w:eastAsia="Times New Roman" w:hAnsi="Arial (W1)" w:cs="Times New Roman"/>
                <w:color w:val="000000"/>
                <w:sz w:val="27"/>
                <w:szCs w:val="27"/>
                <w:rtl/>
              </w:rPr>
            </w:pPr>
            <w:r w:rsidRPr="006512AF">
              <w:rPr>
                <w:rFonts w:ascii="David" w:eastAsia="Times New Roman" w:hAnsi="David" w:cs="David"/>
                <w:b/>
                <w:bCs/>
                <w:color w:val="000000"/>
                <w:sz w:val="27"/>
                <w:szCs w:val="27"/>
                <w:rtl/>
              </w:rPr>
              <w:t>1 - </w:t>
            </w:r>
            <w:r w:rsidRPr="006512AF">
              <w:rPr>
                <w:rFonts w:ascii="David" w:eastAsia="Times New Roman" w:hAnsi="David" w:cs="David"/>
                <w:color w:val="000000"/>
                <w:sz w:val="27"/>
                <w:szCs w:val="27"/>
                <w:rtl/>
              </w:rPr>
              <w:t>מסמך רכישת האופנוע ממכון מוסמך (מטרו מוטור שיווק בע"מ) מיום 12/3/19, דבר אשר מפחית בהתאם את החשש באשר לרכישת ו/או התקנת אגזוז לא חוקי.</w:t>
            </w:r>
          </w:p>
          <w:p w14:paraId="641DD474" w14:textId="155DC856" w:rsidR="006512AF" w:rsidRPr="006512AF" w:rsidRDefault="006512AF" w:rsidP="006512AF">
            <w:pPr>
              <w:shd w:val="clear" w:color="auto" w:fill="FFFFFF"/>
              <w:spacing w:after="0" w:line="360" w:lineRule="atLeast"/>
              <w:ind w:left="720"/>
              <w:jc w:val="both"/>
              <w:rPr>
                <w:rFonts w:ascii="Arial (W1)" w:eastAsia="Times New Roman" w:hAnsi="Arial (W1)" w:cs="Times New Roman"/>
                <w:color w:val="000000"/>
                <w:sz w:val="27"/>
                <w:szCs w:val="27"/>
                <w:rtl/>
              </w:rPr>
            </w:pPr>
            <w:r w:rsidRPr="006512AF">
              <w:rPr>
                <w:rFonts w:ascii="David" w:eastAsia="Times New Roman" w:hAnsi="David" w:cs="David"/>
                <w:b/>
                <w:bCs/>
                <w:color w:val="000000"/>
                <w:sz w:val="27"/>
                <w:szCs w:val="27"/>
                <w:rtl/>
              </w:rPr>
              <w:t>2 -</w:t>
            </w:r>
            <w:r w:rsidRPr="006512AF">
              <w:rPr>
                <w:rFonts w:ascii="David" w:eastAsia="Times New Roman" w:hAnsi="David" w:cs="David"/>
                <w:color w:val="000000"/>
                <w:sz w:val="27"/>
                <w:szCs w:val="27"/>
                <w:rtl/>
              </w:rPr>
              <w:t xml:space="preserve"> מסמך הודעת התקינות לפיו אופנוע הנאשם נמצא תקין בבדיקת בוחן רכב (לרבות בדיקת הליקויים שמצא השוטר), כאשר הבדיקה </w:t>
            </w:r>
            <w:r>
              <w:rPr>
                <w:rFonts w:ascii="David" w:eastAsia="Times New Roman" w:hAnsi="David" w:cs="David" w:hint="cs"/>
                <w:color w:val="000000"/>
                <w:sz w:val="27"/>
                <w:szCs w:val="27"/>
                <w:rtl/>
              </w:rPr>
              <w:t>נעשתה</w:t>
            </w:r>
            <w:r w:rsidRPr="006512AF">
              <w:rPr>
                <w:rFonts w:ascii="David" w:eastAsia="Times New Roman" w:hAnsi="David" w:cs="David"/>
                <w:color w:val="000000"/>
                <w:sz w:val="27"/>
                <w:szCs w:val="27"/>
                <w:rtl/>
              </w:rPr>
              <w:t xml:space="preserve"> פחות מיממה משעת האירוע וקבלת הדו"ח.</w:t>
            </w:r>
          </w:p>
          <w:p w14:paraId="676C42AD" w14:textId="77777777" w:rsidR="006512AF" w:rsidRPr="006512AF" w:rsidRDefault="006512AF" w:rsidP="006512AF">
            <w:pPr>
              <w:shd w:val="clear" w:color="auto" w:fill="FFFFFF"/>
              <w:spacing w:after="0" w:line="360" w:lineRule="atLeast"/>
              <w:ind w:left="720"/>
              <w:jc w:val="both"/>
              <w:rPr>
                <w:rFonts w:ascii="Arial (W1)" w:eastAsia="Times New Roman" w:hAnsi="Arial (W1)" w:cs="Times New Roman"/>
                <w:color w:val="000000"/>
                <w:sz w:val="27"/>
                <w:szCs w:val="27"/>
                <w:rtl/>
              </w:rPr>
            </w:pPr>
            <w:r w:rsidRPr="006512AF">
              <w:rPr>
                <w:rFonts w:ascii="David" w:eastAsia="Times New Roman" w:hAnsi="David" w:cs="David"/>
                <w:color w:val="000000"/>
                <w:sz w:val="27"/>
                <w:szCs w:val="27"/>
                <w:rtl/>
              </w:rPr>
              <w:t xml:space="preserve">סבורני כי ככל </w:t>
            </w:r>
            <w:proofErr w:type="spellStart"/>
            <w:r w:rsidRPr="006512AF">
              <w:rPr>
                <w:rFonts w:ascii="David" w:eastAsia="Times New Roman" w:hAnsi="David" w:cs="David"/>
                <w:color w:val="000000"/>
                <w:sz w:val="27"/>
                <w:szCs w:val="27"/>
                <w:rtl/>
              </w:rPr>
              <w:t>שהיתה</w:t>
            </w:r>
            <w:proofErr w:type="spellEnd"/>
            <w:r w:rsidRPr="006512AF">
              <w:rPr>
                <w:rFonts w:ascii="David" w:eastAsia="Times New Roman" w:hAnsi="David" w:cs="David"/>
                <w:color w:val="000000"/>
                <w:sz w:val="27"/>
                <w:szCs w:val="27"/>
                <w:rtl/>
              </w:rPr>
              <w:t xml:space="preserve"> טענת המאשימה נכונה (מערכת פליטה לא חוקית בשל רעש חזק העולה ממה), היה נתקל הנאשם בקשיים בשעת בדיקת התקינות שנערכה לאופנועו למחרת היום.</w:t>
            </w:r>
          </w:p>
          <w:p w14:paraId="3F46CD33" w14:textId="77777777" w:rsidR="006512AF" w:rsidRPr="006512AF" w:rsidRDefault="006512AF" w:rsidP="006512AF">
            <w:pPr>
              <w:shd w:val="clear" w:color="auto" w:fill="FFFFFF"/>
              <w:spacing w:after="0" w:line="360" w:lineRule="atLeast"/>
              <w:jc w:val="both"/>
              <w:rPr>
                <w:rFonts w:ascii="Arial (W1)" w:eastAsia="Times New Roman" w:hAnsi="Arial (W1)" w:cs="Times New Roman"/>
                <w:color w:val="000000"/>
                <w:sz w:val="27"/>
                <w:szCs w:val="27"/>
                <w:rtl/>
              </w:rPr>
            </w:pPr>
            <w:r w:rsidRPr="006512AF">
              <w:rPr>
                <w:rFonts w:ascii="David" w:eastAsia="Times New Roman" w:hAnsi="David" w:cs="David"/>
                <w:color w:val="000000"/>
                <w:sz w:val="27"/>
                <w:szCs w:val="27"/>
                <w:rtl/>
              </w:rPr>
              <w:t> </w:t>
            </w:r>
          </w:p>
          <w:p w14:paraId="1A3AFC04" w14:textId="6C4C66F5" w:rsidR="006512AF" w:rsidRPr="007D4394" w:rsidRDefault="006512AF" w:rsidP="007D4394">
            <w:pPr>
              <w:shd w:val="clear" w:color="auto" w:fill="FFFFFF"/>
              <w:spacing w:after="0" w:line="360" w:lineRule="atLeast"/>
              <w:jc w:val="both"/>
              <w:rPr>
                <w:rFonts w:ascii="Arial (W1)" w:eastAsia="Times New Roman" w:hAnsi="Arial (W1)" w:cs="Times New Roman"/>
                <w:b/>
                <w:bCs/>
                <w:i/>
                <w:iCs/>
                <w:color w:val="000000"/>
                <w:sz w:val="27"/>
                <w:szCs w:val="27"/>
                <w:rtl/>
              </w:rPr>
            </w:pPr>
            <w:r w:rsidRPr="007D4394">
              <w:rPr>
                <w:rFonts w:ascii="David" w:eastAsia="Times New Roman" w:hAnsi="David" w:cs="David"/>
                <w:b/>
                <w:bCs/>
                <w:i/>
                <w:iCs/>
                <w:color w:val="000000"/>
                <w:sz w:val="27"/>
                <w:szCs w:val="27"/>
                <w:rtl/>
              </w:rPr>
              <w:t>        </w:t>
            </w:r>
            <w:r w:rsidR="007D4394" w:rsidRPr="007D4394">
              <w:rPr>
                <w:rFonts w:ascii="David" w:eastAsia="Times New Roman" w:hAnsi="David" w:cs="David" w:hint="cs"/>
                <w:b/>
                <w:bCs/>
                <w:i/>
                <w:iCs/>
                <w:color w:val="000000"/>
                <w:sz w:val="27"/>
                <w:szCs w:val="27"/>
                <w:rtl/>
              </w:rPr>
              <w:t>סוף טוב</w:t>
            </w:r>
          </w:p>
          <w:p w14:paraId="63E2DACD" w14:textId="77777777" w:rsidR="006512AF" w:rsidRPr="006512AF" w:rsidRDefault="006512AF" w:rsidP="006512AF">
            <w:pPr>
              <w:shd w:val="clear" w:color="auto" w:fill="FFFFFF"/>
              <w:spacing w:after="0" w:line="360" w:lineRule="atLeast"/>
              <w:ind w:left="720"/>
              <w:jc w:val="both"/>
              <w:rPr>
                <w:rFonts w:ascii="Arial (W1)" w:eastAsia="Times New Roman" w:hAnsi="Arial (W1)" w:cs="Times New Roman"/>
                <w:color w:val="000000"/>
                <w:sz w:val="27"/>
                <w:szCs w:val="27"/>
                <w:rtl/>
              </w:rPr>
            </w:pPr>
            <w:r w:rsidRPr="006512AF">
              <w:rPr>
                <w:rFonts w:ascii="David" w:eastAsia="Times New Roman" w:hAnsi="David" w:cs="David"/>
                <w:color w:val="000000"/>
                <w:sz w:val="27"/>
                <w:szCs w:val="27"/>
                <w:rtl/>
              </w:rPr>
              <w:t>מאחר ונטל השכנוע רובץ לאורך כל הדרך על כתבי המאשימה, וזו נתמכת למעשה ע"י דעתו הסובייקטיבית של השוטר הבוחן בלבד, לא ניתן לשלול גרסתו המוצקה של הנאשם לפיה לא מדובר במערכת פליטה לא חוקית ואופנוע לא תקין. משכך, הגעתי למסקנה כי יש מקום במקרה דנן לזכות את הנאשם מחמת הספק.</w:t>
            </w:r>
          </w:p>
          <w:p w14:paraId="57ED29BC" w14:textId="10885E7A" w:rsidR="006512AF" w:rsidRPr="006512AF" w:rsidRDefault="006512AF" w:rsidP="006512AF">
            <w:pPr>
              <w:spacing w:after="0" w:line="240" w:lineRule="auto"/>
              <w:rPr>
                <w:rFonts w:ascii="FrankRuehl" w:eastAsia="Times New Roman" w:hAnsi="FrankRuehl" w:cs="FrankRuehl"/>
                <w:color w:val="000000"/>
                <w:sz w:val="28"/>
                <w:szCs w:val="28"/>
                <w:rtl/>
              </w:rPr>
            </w:pPr>
          </w:p>
        </w:tc>
      </w:tr>
    </w:tbl>
    <w:p w14:paraId="7FEBEB06" w14:textId="77777777" w:rsidR="006512AF" w:rsidRPr="006512AF" w:rsidRDefault="006512AF">
      <w:pPr>
        <w:rPr>
          <w:b/>
          <w:bCs/>
          <w:sz w:val="36"/>
          <w:szCs w:val="36"/>
        </w:rPr>
      </w:pPr>
    </w:p>
    <w:sectPr w:rsidR="006512AF" w:rsidRPr="006512AF" w:rsidSect="00343F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AF"/>
    <w:rsid w:val="00197B20"/>
    <w:rsid w:val="00343F25"/>
    <w:rsid w:val="006512AF"/>
    <w:rsid w:val="007D43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E67B"/>
  <w15:chartTrackingRefBased/>
  <w15:docId w15:val="{18B62F24-88AF-4A23-A56C-861D1BD5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05556">
      <w:bodyDiv w:val="1"/>
      <w:marLeft w:val="0"/>
      <w:marRight w:val="0"/>
      <w:marTop w:val="0"/>
      <w:marBottom w:val="0"/>
      <w:divBdr>
        <w:top w:val="none" w:sz="0" w:space="0" w:color="auto"/>
        <w:left w:val="none" w:sz="0" w:space="0" w:color="auto"/>
        <w:bottom w:val="none" w:sz="0" w:space="0" w:color="auto"/>
        <w:right w:val="none" w:sz="0" w:space="0" w:color="auto"/>
      </w:divBdr>
    </w:div>
    <w:div w:id="13611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216</Words>
  <Characters>1084</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משה שניאור</dc:creator>
  <cp:keywords/>
  <dc:description/>
  <cp:lastModifiedBy>משה שניאור</cp:lastModifiedBy>
  <cp:revision>3</cp:revision>
  <dcterms:created xsi:type="dcterms:W3CDTF">2022-02-28T21:37:00Z</dcterms:created>
  <dcterms:modified xsi:type="dcterms:W3CDTF">2023-03-02T20:03:00Z</dcterms:modified>
</cp:coreProperties>
</file>