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B69" w:rsidRDefault="00126B1B">
      <w:pPr>
        <w:rPr>
          <w:sz w:val="36"/>
          <w:szCs w:val="36"/>
          <w:rtl/>
        </w:rPr>
      </w:pPr>
      <w:r w:rsidRPr="00126B1B">
        <w:rPr>
          <w:rFonts w:hint="cs"/>
          <w:sz w:val="36"/>
          <w:szCs w:val="36"/>
          <w:highlight w:val="yellow"/>
          <w:rtl/>
        </w:rPr>
        <w:t>דוחות לנהג מונית</w:t>
      </w:r>
      <w:r w:rsidRPr="00126B1B">
        <w:rPr>
          <w:rFonts w:hint="cs"/>
          <w:sz w:val="36"/>
          <w:szCs w:val="36"/>
          <w:rtl/>
        </w:rPr>
        <w:t xml:space="preserve"> </w:t>
      </w:r>
    </w:p>
    <w:p w:rsidR="00126B1B" w:rsidRDefault="00126B1B">
      <w:pPr>
        <w:rPr>
          <w:sz w:val="36"/>
          <w:szCs w:val="36"/>
          <w:rtl/>
        </w:rPr>
      </w:pPr>
    </w:p>
    <w:p w:rsidR="00126B1B" w:rsidRDefault="00126B1B">
      <w:pPr>
        <w:rPr>
          <w:sz w:val="32"/>
          <w:szCs w:val="32"/>
          <w:rtl/>
        </w:rPr>
      </w:pPr>
      <w:r w:rsidRPr="00126B1B">
        <w:rPr>
          <w:rFonts w:hint="cs"/>
          <w:sz w:val="32"/>
          <w:szCs w:val="32"/>
          <w:highlight w:val="darkCyan"/>
          <w:rtl/>
        </w:rPr>
        <w:t>דוח לנהג מונית שסייע לנכה</w:t>
      </w:r>
      <w:r w:rsidRPr="00126B1B">
        <w:rPr>
          <w:rFonts w:hint="cs"/>
          <w:sz w:val="32"/>
          <w:szCs w:val="32"/>
          <w:rtl/>
        </w:rPr>
        <w:t xml:space="preserve"> </w:t>
      </w:r>
    </w:p>
    <w:p w:rsidR="00126B1B" w:rsidRDefault="00126B1B">
      <w:pPr>
        <w:rPr>
          <w:sz w:val="32"/>
          <w:szCs w:val="32"/>
          <w:rtl/>
        </w:rPr>
      </w:pPr>
      <w:r>
        <w:rPr>
          <w:rFonts w:hint="cs"/>
          <w:sz w:val="32"/>
          <w:szCs w:val="32"/>
          <w:rtl/>
        </w:rPr>
        <w:t>מבוסס ע"פ פס"ד תת"ע 6171-11-18</w:t>
      </w:r>
    </w:p>
    <w:p w:rsidR="00126B1B" w:rsidRDefault="00126B1B">
      <w:pPr>
        <w:rPr>
          <w:rFonts w:hint="cs"/>
          <w:sz w:val="32"/>
          <w:szCs w:val="32"/>
          <w:rtl/>
        </w:rPr>
      </w:pPr>
      <w:r>
        <w:rPr>
          <w:rFonts w:hint="cs"/>
          <w:sz w:val="32"/>
          <w:szCs w:val="32"/>
          <w:rtl/>
        </w:rPr>
        <w:t>מדינת ישראל נ" שמואל נגב</w:t>
      </w:r>
    </w:p>
    <w:p w:rsidR="00126B1B" w:rsidRDefault="00126B1B">
      <w:pPr>
        <w:rPr>
          <w:rFonts w:hint="cs"/>
          <w:sz w:val="32"/>
          <w:szCs w:val="32"/>
          <w:rtl/>
        </w:rPr>
      </w:pPr>
      <w:r>
        <w:rPr>
          <w:rFonts w:hint="cs"/>
          <w:sz w:val="32"/>
          <w:szCs w:val="32"/>
          <w:rtl/>
        </w:rPr>
        <w:t xml:space="preserve">ביהמ"ש השלום לתעבורה פתח תקווה </w:t>
      </w:r>
    </w:p>
    <w:p w:rsidR="00126B1B" w:rsidRDefault="00126B1B">
      <w:pPr>
        <w:rPr>
          <w:sz w:val="32"/>
          <w:szCs w:val="32"/>
          <w:rtl/>
        </w:rPr>
      </w:pPr>
      <w:r>
        <w:rPr>
          <w:rFonts w:hint="cs"/>
          <w:sz w:val="32"/>
          <w:szCs w:val="32"/>
          <w:rtl/>
        </w:rPr>
        <w:t>בפני כבוד השופטת רות רז *נפסק לזיכוי</w:t>
      </w:r>
    </w:p>
    <w:p w:rsidR="00126B1B" w:rsidRDefault="00126B1B">
      <w:pPr>
        <w:rPr>
          <w:sz w:val="32"/>
          <w:szCs w:val="32"/>
          <w:rtl/>
        </w:rPr>
      </w:pPr>
    </w:p>
    <w:p w:rsidR="00126B1B" w:rsidRDefault="00126B1B">
      <w:pPr>
        <w:rPr>
          <w:sz w:val="32"/>
          <w:szCs w:val="32"/>
          <w:rtl/>
        </w:rPr>
      </w:pPr>
      <w:r w:rsidRPr="00126B1B">
        <w:rPr>
          <w:rFonts w:hint="cs"/>
          <w:sz w:val="32"/>
          <w:szCs w:val="32"/>
          <w:highlight w:val="blue"/>
          <w:rtl/>
        </w:rPr>
        <w:t>סיכום הפסק דין</w:t>
      </w:r>
      <w:r>
        <w:rPr>
          <w:rFonts w:hint="cs"/>
          <w:sz w:val="32"/>
          <w:szCs w:val="32"/>
          <w:rtl/>
        </w:rPr>
        <w:t xml:space="preserve"> </w:t>
      </w:r>
    </w:p>
    <w:p w:rsidR="00126B1B" w:rsidRPr="00126B1B" w:rsidRDefault="00126B1B">
      <w:pPr>
        <w:rPr>
          <w:sz w:val="28"/>
          <w:szCs w:val="28"/>
          <w:rtl/>
        </w:rPr>
      </w:pPr>
      <w:r w:rsidRPr="00126B1B">
        <w:rPr>
          <w:rFonts w:hint="cs"/>
          <w:sz w:val="28"/>
          <w:szCs w:val="28"/>
          <w:rtl/>
        </w:rPr>
        <w:t>הנאשם קיבל דוח בגין הפרעה לתנועה והודה בכך אך טען כי עקב היותו נהג מונית עצר במקום על מנת לאסוף נוסע נכה וי</w:t>
      </w:r>
      <w:r>
        <w:rPr>
          <w:rFonts w:hint="cs"/>
          <w:sz w:val="28"/>
          <w:szCs w:val="28"/>
          <w:rtl/>
        </w:rPr>
        <w:t>צא מהמונית כדי לסייע לו ובנוסף חנה סמוך לתמרור המתיר ע</w:t>
      </w:r>
      <w:r w:rsidRPr="00126B1B">
        <w:rPr>
          <w:rFonts w:hint="cs"/>
          <w:sz w:val="28"/>
          <w:szCs w:val="28"/>
          <w:rtl/>
        </w:rPr>
        <w:t>צירה לצורך העלאת /הורדת נוסעים</w:t>
      </w:r>
    </w:p>
    <w:p w:rsidR="00126B1B" w:rsidRDefault="00126B1B" w:rsidP="00126B1B">
      <w:pPr>
        <w:rPr>
          <w:sz w:val="28"/>
          <w:szCs w:val="28"/>
          <w:rtl/>
        </w:rPr>
      </w:pPr>
      <w:r w:rsidRPr="00126B1B">
        <w:rPr>
          <w:rFonts w:hint="cs"/>
          <w:sz w:val="28"/>
          <w:szCs w:val="28"/>
          <w:highlight w:val="darkCyan"/>
          <w:rtl/>
        </w:rPr>
        <w:t>השופט העדיף</w:t>
      </w:r>
      <w:r w:rsidRPr="00126B1B">
        <w:rPr>
          <w:rFonts w:hint="cs"/>
          <w:sz w:val="28"/>
          <w:szCs w:val="28"/>
          <w:rtl/>
        </w:rPr>
        <w:t xml:space="preserve"> </w:t>
      </w:r>
    </w:p>
    <w:p w:rsidR="00126B1B" w:rsidRDefault="00126B1B" w:rsidP="00126B1B">
      <w:pPr>
        <w:rPr>
          <w:sz w:val="28"/>
          <w:szCs w:val="28"/>
          <w:rtl/>
        </w:rPr>
      </w:pPr>
      <w:r w:rsidRPr="00126B1B">
        <w:rPr>
          <w:rFonts w:hint="cs"/>
          <w:sz w:val="28"/>
          <w:szCs w:val="28"/>
          <w:rtl/>
        </w:rPr>
        <w:t>את גרסת פקח ש</w:t>
      </w:r>
      <w:r>
        <w:rPr>
          <w:rFonts w:hint="cs"/>
          <w:sz w:val="28"/>
          <w:szCs w:val="28"/>
          <w:rtl/>
        </w:rPr>
        <w:t xml:space="preserve">טען שנהג המונית חנה במקום אסור </w:t>
      </w:r>
      <w:r w:rsidRPr="00126B1B">
        <w:rPr>
          <w:rFonts w:hint="cs"/>
          <w:sz w:val="28"/>
          <w:szCs w:val="28"/>
          <w:rtl/>
        </w:rPr>
        <w:t xml:space="preserve">אך בשאלה </w:t>
      </w:r>
      <w:r>
        <w:rPr>
          <w:rFonts w:hint="cs"/>
          <w:sz w:val="28"/>
          <w:szCs w:val="28"/>
          <w:rtl/>
        </w:rPr>
        <w:t>האם עצר לצורך העלאת נוסע עצר</w:t>
      </w:r>
      <w:r w:rsidRPr="00126B1B">
        <w:rPr>
          <w:rFonts w:hint="cs"/>
          <w:sz w:val="28"/>
          <w:szCs w:val="28"/>
          <w:rtl/>
        </w:rPr>
        <w:t xml:space="preserve"> העדיף את גרסת נהג המונית שנתמכה בעדות הנוסע </w:t>
      </w:r>
      <w:r w:rsidRPr="00126B1B">
        <w:rPr>
          <w:rFonts w:ascii="Arial" w:eastAsia="Times New Roman" w:hAnsi="Arial" w:cs="Arial"/>
          <w:color w:val="000000"/>
          <w:sz w:val="28"/>
          <w:szCs w:val="28"/>
          <w:rtl/>
        </w:rPr>
        <w:t>עקב כך ש</w:t>
      </w:r>
      <w:r w:rsidRPr="00126B1B">
        <w:rPr>
          <w:rFonts w:ascii="Arial" w:eastAsia="Times New Roman" w:hAnsi="Arial" w:cs="Arial"/>
          <w:color w:val="000000"/>
          <w:sz w:val="28"/>
          <w:szCs w:val="28"/>
          <w:rtl/>
        </w:rPr>
        <w:t xml:space="preserve">מדובר בעדות מול עדות כאשר עדותו של הנאשם נתמכת בעדות </w:t>
      </w:r>
      <w:proofErr w:type="spellStart"/>
      <w:r w:rsidRPr="00126B1B">
        <w:rPr>
          <w:rFonts w:ascii="Arial" w:eastAsia="Times New Roman" w:hAnsi="Arial" w:cs="Arial"/>
          <w:color w:val="000000"/>
          <w:sz w:val="28"/>
          <w:szCs w:val="28"/>
          <w:rtl/>
        </w:rPr>
        <w:t>הנוסע.</w:t>
      </w:r>
      <w:r w:rsidRPr="00126B1B">
        <w:rPr>
          <w:rFonts w:ascii="Arial" w:eastAsia="Times New Roman" w:hAnsi="Arial" w:cs="Arial"/>
          <w:color w:val="000000"/>
          <w:sz w:val="28"/>
          <w:szCs w:val="28"/>
          <w:highlight w:val="darkCyan"/>
          <w:rtl/>
        </w:rPr>
        <w:t>בנוסף</w:t>
      </w:r>
      <w:proofErr w:type="spellEnd"/>
      <w:r w:rsidRPr="00126B1B">
        <w:rPr>
          <w:rFonts w:ascii="Arial" w:eastAsia="Times New Roman" w:hAnsi="Arial" w:cs="Arial"/>
          <w:color w:val="000000"/>
          <w:sz w:val="28"/>
          <w:szCs w:val="28"/>
          <w:rtl/>
        </w:rPr>
        <w:t>, תגובתו הראשונית של הנאשם לעד התביעה הייתה כי הוא הסיע אדם נכה.</w:t>
      </w:r>
    </w:p>
    <w:p w:rsidR="00126B1B" w:rsidRPr="00126B1B" w:rsidRDefault="00126B1B" w:rsidP="00126B1B">
      <w:pPr>
        <w:rPr>
          <w:sz w:val="28"/>
          <w:szCs w:val="28"/>
          <w:rtl/>
        </w:rPr>
      </w:pPr>
      <w:r w:rsidRPr="00126B1B">
        <w:rPr>
          <w:rFonts w:ascii="Arial" w:eastAsia="Times New Roman" w:hAnsi="Arial" w:cs="Arial"/>
          <w:color w:val="000000"/>
          <w:sz w:val="28"/>
          <w:szCs w:val="28"/>
          <w:rtl/>
        </w:rPr>
        <w:t> </w:t>
      </w:r>
      <w:r w:rsidRPr="00126B1B">
        <w:rPr>
          <w:rFonts w:ascii="Arial" w:eastAsia="Times New Roman" w:hAnsi="Arial" w:cs="Arial" w:hint="cs"/>
          <w:color w:val="000000"/>
          <w:sz w:val="28"/>
          <w:szCs w:val="28"/>
          <w:highlight w:val="darkCyan"/>
          <w:rtl/>
        </w:rPr>
        <w:t>הסיבות לזיכוי נהג המונית</w:t>
      </w:r>
    </w:p>
    <w:p w:rsidR="00126B1B" w:rsidRDefault="00126B1B" w:rsidP="00126B1B">
      <w:pPr>
        <w:shd w:val="clear" w:color="auto" w:fill="FFFFFF"/>
        <w:spacing w:after="0" w:line="360" w:lineRule="atLeast"/>
        <w:rPr>
          <w:rFonts w:ascii="Arial" w:eastAsia="Times New Roman" w:hAnsi="Arial" w:cs="Arial"/>
          <w:color w:val="000000"/>
          <w:sz w:val="28"/>
          <w:szCs w:val="28"/>
          <w:rtl/>
        </w:rPr>
      </w:pPr>
      <w:r w:rsidRPr="00126B1B">
        <w:rPr>
          <w:rFonts w:ascii="Arial" w:eastAsia="Times New Roman" w:hAnsi="Arial" w:cs="Arial"/>
          <w:color w:val="000000"/>
          <w:sz w:val="28"/>
          <w:szCs w:val="28"/>
          <w:rtl/>
        </w:rPr>
        <w:t>עד התביעה לא בדק האם בין נוסעי</w:t>
      </w:r>
      <w:r>
        <w:rPr>
          <w:rFonts w:ascii="Arial" w:eastAsia="Times New Roman" w:hAnsi="Arial" w:cs="Arial"/>
          <w:color w:val="000000"/>
          <w:sz w:val="28"/>
          <w:szCs w:val="28"/>
          <w:rtl/>
        </w:rPr>
        <w:t xml:space="preserve"> הרכב היה אדם נכה</w:t>
      </w:r>
    </w:p>
    <w:p w:rsidR="00126B1B" w:rsidRPr="00126B1B" w:rsidRDefault="00126B1B" w:rsidP="00126B1B">
      <w:pPr>
        <w:shd w:val="clear" w:color="auto" w:fill="FFFFFF"/>
        <w:spacing w:after="0" w:line="360" w:lineRule="atLeast"/>
        <w:rPr>
          <w:rFonts w:ascii="Arial" w:eastAsia="Times New Roman" w:hAnsi="Arial" w:cs="Arial"/>
          <w:color w:val="000000"/>
          <w:sz w:val="28"/>
          <w:szCs w:val="28"/>
          <w:rtl/>
        </w:rPr>
      </w:pPr>
      <w:r w:rsidRPr="00126B1B">
        <w:rPr>
          <w:rFonts w:ascii="Arial" w:eastAsia="Times New Roman" w:hAnsi="Arial" w:cs="Arial"/>
          <w:color w:val="000000"/>
          <w:sz w:val="28"/>
          <w:szCs w:val="28"/>
          <w:rtl/>
        </w:rPr>
        <w:t>עד התביעה לא הבחין בשלב בו העלה הנאשם את הנוסע לרכב ולא הבחין בשלב בו הנאשם חזר למונית, כך שלא ניתן לשלול את גרסת הנאשם שיצא מן המונית על מנת לעזור לנוסע.</w:t>
      </w:r>
    </w:p>
    <w:p w:rsidR="00126B1B" w:rsidRPr="00126B1B" w:rsidRDefault="00126B1B" w:rsidP="00126B1B">
      <w:pPr>
        <w:shd w:val="clear" w:color="auto" w:fill="FFFFFF"/>
        <w:spacing w:after="0" w:line="360" w:lineRule="atLeast"/>
        <w:rPr>
          <w:rFonts w:ascii="Arial" w:eastAsia="Times New Roman" w:hAnsi="Arial" w:cs="Arial"/>
          <w:color w:val="000000"/>
          <w:sz w:val="28"/>
          <w:szCs w:val="28"/>
          <w:rtl/>
        </w:rPr>
      </w:pPr>
      <w:r w:rsidRPr="00126B1B">
        <w:rPr>
          <w:rFonts w:ascii="Arial" w:eastAsia="Times New Roman" w:hAnsi="Arial" w:cs="Arial"/>
          <w:color w:val="000000"/>
          <w:sz w:val="28"/>
          <w:szCs w:val="28"/>
          <w:rtl/>
        </w:rPr>
        <w:t>עד התביעה לא ציין מה היה משך זמן עמידת המונית במקום כך שלא הוכח שהנאשם העמיד את המונית במשך פרק זמן ארוך שלא לצורך או למשך פרק זמן בלתי סביר שלא למטרה המותרת בתקנה.</w:t>
      </w:r>
    </w:p>
    <w:p w:rsidR="00126B1B" w:rsidRPr="00126B1B" w:rsidRDefault="00126B1B" w:rsidP="00126B1B">
      <w:pPr>
        <w:shd w:val="clear" w:color="auto" w:fill="FFFFFF"/>
        <w:spacing w:after="0" w:line="360" w:lineRule="atLeast"/>
        <w:rPr>
          <w:rFonts w:ascii="Arial" w:eastAsia="Times New Roman" w:hAnsi="Arial" w:cs="Arial"/>
          <w:color w:val="000000"/>
          <w:sz w:val="28"/>
          <w:szCs w:val="28"/>
          <w:rtl/>
        </w:rPr>
      </w:pPr>
      <w:r w:rsidRPr="00126B1B">
        <w:rPr>
          <w:rFonts w:ascii="Arial" w:eastAsia="Times New Roman" w:hAnsi="Arial" w:cs="Arial"/>
          <w:color w:val="000000"/>
          <w:sz w:val="28"/>
          <w:szCs w:val="28"/>
          <w:rtl/>
        </w:rPr>
        <w:t>עד התביעה לא ציין באיזה מרחק עמד מן המונית כך שלא ברור האם צפה במתרחש סביב המונית והאם יכול היה להבחין בנאשם ניגש לסייע לנוסע הנכה.</w:t>
      </w:r>
    </w:p>
    <w:p w:rsidR="00126B1B" w:rsidRPr="00126B1B" w:rsidRDefault="00126B1B" w:rsidP="00126B1B">
      <w:pPr>
        <w:shd w:val="clear" w:color="auto" w:fill="FFFFFF"/>
        <w:spacing w:after="0" w:line="360" w:lineRule="atLeast"/>
        <w:rPr>
          <w:rFonts w:ascii="Arial" w:eastAsia="Times New Roman" w:hAnsi="Arial" w:cs="Arial"/>
          <w:color w:val="000000"/>
          <w:sz w:val="28"/>
          <w:szCs w:val="28"/>
          <w:rtl/>
        </w:rPr>
      </w:pPr>
      <w:r w:rsidRPr="00126B1B">
        <w:rPr>
          <w:rFonts w:ascii="Arial" w:eastAsia="Times New Roman" w:hAnsi="Arial" w:cs="Arial"/>
          <w:color w:val="000000"/>
          <w:sz w:val="28"/>
          <w:szCs w:val="28"/>
          <w:rtl/>
        </w:rPr>
        <w:t> </w:t>
      </w:r>
    </w:p>
    <w:p w:rsidR="00126B1B" w:rsidRPr="00126B1B" w:rsidRDefault="00126B1B" w:rsidP="00126B1B">
      <w:pPr>
        <w:rPr>
          <w:rFonts w:ascii="Arial" w:hAnsi="Arial" w:cs="Arial"/>
          <w:sz w:val="28"/>
          <w:szCs w:val="28"/>
          <w:rtl/>
        </w:rPr>
      </w:pPr>
      <w:r w:rsidRPr="00126B1B">
        <w:rPr>
          <w:rFonts w:ascii="Arial" w:eastAsia="Times New Roman" w:hAnsi="Arial" w:cs="Arial"/>
          <w:color w:val="000000"/>
          <w:sz w:val="28"/>
          <w:szCs w:val="28"/>
          <w:rtl/>
        </w:rPr>
        <w:t xml:space="preserve">העצירה בנסיבות כמתואר על ידי הנאשם, כאשר ירד מן המונית לצורך סיוע לאדם נכה להיכנס למונית, הינה עצירה מותרת, גם כאשר היא מהווה הפרעה </w:t>
      </w:r>
      <w:r w:rsidRPr="00126B1B">
        <w:rPr>
          <w:rFonts w:ascii="Arial" w:eastAsia="Times New Roman" w:hAnsi="Arial" w:cs="Arial"/>
          <w:color w:val="000000"/>
          <w:sz w:val="28"/>
          <w:szCs w:val="28"/>
          <w:rtl/>
        </w:rPr>
        <w:lastRenderedPageBreak/>
        <w:t>לתנועה, במיוחד כאשר מדובר בהסעת אדם נכה.  המאשימה לא הוכיחה מעבר לספק סביר כי עצירה זו גרמה הפרעה בלתי מידית שלא למשך פרק זמן קצר הנדרש ל</w:t>
      </w:r>
      <w:r w:rsidRPr="00126B1B">
        <w:rPr>
          <w:rFonts w:ascii="Arial" w:hAnsi="Arial" w:cs="Arial"/>
          <w:sz w:val="28"/>
          <w:szCs w:val="28"/>
          <w:rtl/>
        </w:rPr>
        <w:t xml:space="preserve">העלאת </w:t>
      </w:r>
      <w:r>
        <w:rPr>
          <w:rFonts w:ascii="Arial" w:hAnsi="Arial" w:cs="Arial" w:hint="cs"/>
          <w:sz w:val="28"/>
          <w:szCs w:val="28"/>
          <w:rtl/>
        </w:rPr>
        <w:t>ה</w:t>
      </w:r>
      <w:r w:rsidRPr="00126B1B">
        <w:rPr>
          <w:rFonts w:ascii="Arial" w:hAnsi="Arial" w:cs="Arial"/>
          <w:sz w:val="28"/>
          <w:szCs w:val="28"/>
          <w:rtl/>
        </w:rPr>
        <w:t xml:space="preserve">נוסע </w:t>
      </w:r>
      <w:r>
        <w:rPr>
          <w:rFonts w:ascii="Arial" w:hAnsi="Arial" w:cs="Arial" w:hint="cs"/>
          <w:sz w:val="28"/>
          <w:szCs w:val="28"/>
          <w:rtl/>
        </w:rPr>
        <w:t xml:space="preserve">למונית </w:t>
      </w:r>
    </w:p>
    <w:p w:rsidR="00126B1B" w:rsidRPr="00126B1B" w:rsidRDefault="00126B1B">
      <w:pPr>
        <w:rPr>
          <w:rFonts w:ascii="Arial" w:hAnsi="Arial" w:cs="Arial"/>
          <w:sz w:val="28"/>
          <w:szCs w:val="28"/>
          <w:rtl/>
        </w:rPr>
      </w:pPr>
    </w:p>
    <w:p w:rsidR="00126B1B" w:rsidRPr="00126B1B" w:rsidRDefault="00126B1B">
      <w:pPr>
        <w:rPr>
          <w:rFonts w:ascii="Arial" w:hAnsi="Arial" w:cs="Arial"/>
          <w:sz w:val="28"/>
          <w:szCs w:val="28"/>
          <w:rtl/>
        </w:rPr>
      </w:pPr>
    </w:p>
    <w:p w:rsidR="00081BFC" w:rsidRDefault="00081BFC">
      <w:pPr>
        <w:rPr>
          <w:rFonts w:eastAsia="Times New Roman" w:cstheme="minorHAnsi"/>
          <w:color w:val="000000"/>
          <w:sz w:val="36"/>
          <w:szCs w:val="36"/>
          <w:highlight w:val="darkGreen"/>
          <w:rtl/>
        </w:rPr>
      </w:pPr>
    </w:p>
    <w:p w:rsidR="00126B1B" w:rsidRDefault="00081BFC">
      <w:pPr>
        <w:rPr>
          <w:rFonts w:cstheme="minorHAnsi"/>
          <w:sz w:val="36"/>
          <w:szCs w:val="36"/>
          <w:rtl/>
        </w:rPr>
      </w:pPr>
      <w:r w:rsidRPr="00081BFC">
        <w:rPr>
          <w:rFonts w:eastAsia="Times New Roman" w:cstheme="minorHAnsi"/>
          <w:color w:val="000000"/>
          <w:sz w:val="36"/>
          <w:szCs w:val="36"/>
          <w:highlight w:val="darkGreen"/>
          <w:rtl/>
        </w:rPr>
        <w:t>דוח מצלמת חניה לנהג מונית במקום איסור עצירה</w:t>
      </w:r>
      <w:r w:rsidRPr="00081BFC">
        <w:rPr>
          <w:rFonts w:eastAsia="Times New Roman" w:cstheme="minorHAnsi"/>
          <w:color w:val="000000"/>
          <w:sz w:val="36"/>
          <w:szCs w:val="36"/>
          <w:rtl/>
        </w:rPr>
        <w:t xml:space="preserve"> </w:t>
      </w:r>
    </w:p>
    <w:p w:rsidR="00081BFC" w:rsidRDefault="00081BFC">
      <w:pPr>
        <w:rPr>
          <w:rFonts w:cstheme="minorHAnsi"/>
          <w:sz w:val="36"/>
          <w:szCs w:val="36"/>
          <w:rtl/>
        </w:rPr>
      </w:pPr>
    </w:p>
    <w:p w:rsidR="00AF5968" w:rsidRDefault="00AF5968">
      <w:pPr>
        <w:rPr>
          <w:rFonts w:cstheme="minorHAnsi" w:hint="cs"/>
          <w:sz w:val="36"/>
          <w:szCs w:val="36"/>
          <w:rtl/>
        </w:rPr>
      </w:pPr>
      <w:r>
        <w:rPr>
          <w:rFonts w:cstheme="minorHAnsi" w:hint="cs"/>
          <w:sz w:val="36"/>
          <w:szCs w:val="36"/>
          <w:rtl/>
        </w:rPr>
        <w:t>לצרף את הרשום למטה לערעור</w:t>
      </w:r>
    </w:p>
    <w:p w:rsidR="00AF5968" w:rsidRPr="00AF5968" w:rsidRDefault="00AF5968">
      <w:pPr>
        <w:rPr>
          <w:rFonts w:cstheme="minorHAnsi"/>
          <w:sz w:val="28"/>
          <w:szCs w:val="28"/>
          <w:rtl/>
        </w:rPr>
      </w:pPr>
      <w:bookmarkStart w:id="0" w:name="_GoBack"/>
      <w:bookmarkEnd w:id="0"/>
    </w:p>
    <w:p w:rsidR="00AF5968" w:rsidRDefault="00AF5968" w:rsidP="00AF5968">
      <w:pPr>
        <w:shd w:val="clear" w:color="auto" w:fill="FFFFFF"/>
        <w:spacing w:after="120" w:line="320" w:lineRule="atLeast"/>
        <w:jc w:val="both"/>
        <w:rPr>
          <w:rFonts w:ascii="David" w:hAnsi="David" w:cs="David"/>
          <w:b/>
          <w:bCs/>
          <w:color w:val="000000"/>
          <w:shd w:val="clear" w:color="auto" w:fill="FFFFFF"/>
        </w:rPr>
      </w:pPr>
      <w:r w:rsidRPr="00B6224F">
        <w:rPr>
          <w:rFonts w:ascii="FrankRuehl" w:eastAsia="Times New Roman" w:hAnsi="FrankRuehl" w:cs="FrankRuehl"/>
          <w:color w:val="000000"/>
          <w:sz w:val="26"/>
          <w:szCs w:val="26"/>
          <w:rtl/>
        </w:rPr>
        <w:t>המחוקק </w:t>
      </w:r>
      <w:hyperlink r:id="rId4" w:tgtFrame="blank" w:history="1">
        <w:r w:rsidRPr="00B6224F">
          <w:rPr>
            <w:rFonts w:ascii="FrankRuehl" w:eastAsia="Times New Roman" w:hAnsi="FrankRuehl" w:cs="FrankRuehl"/>
            <w:color w:val="0000FF"/>
            <w:sz w:val="26"/>
            <w:szCs w:val="26"/>
            <w:u w:val="single"/>
            <w:rtl/>
          </w:rPr>
          <w:t>בסעיף 76(ב)</w:t>
        </w:r>
      </w:hyperlink>
      <w:r w:rsidRPr="00B6224F">
        <w:rPr>
          <w:rFonts w:ascii="FrankRuehl" w:eastAsia="Times New Roman" w:hAnsi="FrankRuehl" w:cs="FrankRuehl"/>
          <w:color w:val="000000"/>
          <w:sz w:val="26"/>
          <w:szCs w:val="26"/>
          <w:rtl/>
        </w:rPr>
        <w:t> ל</w:t>
      </w:r>
      <w:hyperlink r:id="rId5" w:tgtFrame="blank" w:history="1">
        <w:r w:rsidRPr="00B6224F">
          <w:rPr>
            <w:rFonts w:ascii="FrankRuehl" w:eastAsia="Times New Roman" w:hAnsi="FrankRuehl" w:cs="FrankRuehl"/>
            <w:color w:val="0000FF"/>
            <w:sz w:val="26"/>
            <w:szCs w:val="26"/>
            <w:u w:val="single"/>
            <w:rtl/>
          </w:rPr>
          <w:t>תקנות התעבורה</w:t>
        </w:r>
      </w:hyperlink>
      <w:r w:rsidRPr="00B6224F">
        <w:rPr>
          <w:rFonts w:ascii="FrankRuehl" w:eastAsia="Times New Roman" w:hAnsi="FrankRuehl" w:cs="FrankRuehl"/>
          <w:color w:val="000000"/>
          <w:sz w:val="26"/>
          <w:szCs w:val="26"/>
          <w:rtl/>
        </w:rPr>
        <w:t>, והרשות המקומית </w:t>
      </w:r>
      <w:hyperlink r:id="rId6" w:tgtFrame="blank" w:history="1">
        <w:r w:rsidRPr="00B6224F">
          <w:rPr>
            <w:rFonts w:ascii="FrankRuehl" w:eastAsia="Times New Roman" w:hAnsi="FrankRuehl" w:cs="FrankRuehl"/>
            <w:color w:val="0000FF"/>
            <w:sz w:val="26"/>
            <w:szCs w:val="26"/>
            <w:u w:val="single"/>
            <w:rtl/>
          </w:rPr>
          <w:t>בסעיף 8</w:t>
        </w:r>
      </w:hyperlink>
      <w:r w:rsidRPr="00B6224F">
        <w:rPr>
          <w:rFonts w:ascii="FrankRuehl" w:eastAsia="Times New Roman" w:hAnsi="FrankRuehl" w:cs="FrankRuehl"/>
          <w:color w:val="000000"/>
          <w:sz w:val="26"/>
          <w:szCs w:val="26"/>
          <w:rtl/>
        </w:rPr>
        <w:t> לחוק העזר,</w:t>
      </w:r>
      <w:r w:rsidRPr="00B6224F">
        <w:rPr>
          <w:rFonts w:ascii="David" w:hAnsi="David" w:cs="David"/>
          <w:b/>
          <w:bCs/>
          <w:color w:val="000000"/>
          <w:shd w:val="clear" w:color="auto" w:fill="FFFFFF"/>
        </w:rPr>
        <w:t xml:space="preserve"> </w:t>
      </w:r>
      <w:r>
        <w:rPr>
          <w:rFonts w:ascii="David" w:hAnsi="David" w:cs="David"/>
          <w:b/>
          <w:bCs/>
          <w:color w:val="000000"/>
          <w:shd w:val="clear" w:color="auto" w:fill="FFFFFF"/>
        </w:rPr>
        <w:t> </w:t>
      </w:r>
    </w:p>
    <w:p w:rsidR="00AF5968" w:rsidRPr="00B6224F" w:rsidRDefault="00AF5968" w:rsidP="00AF5968">
      <w:pPr>
        <w:shd w:val="clear" w:color="auto" w:fill="FFFFFF"/>
        <w:spacing w:after="120" w:line="320" w:lineRule="atLeast"/>
        <w:jc w:val="both"/>
        <w:rPr>
          <w:rFonts w:ascii="FrankRuehl" w:eastAsia="Times New Roman" w:hAnsi="FrankRuehl" w:cs="FrankRuehl"/>
          <w:color w:val="000000"/>
          <w:sz w:val="26"/>
          <w:szCs w:val="26"/>
          <w:rtl/>
        </w:rPr>
      </w:pPr>
      <w:r>
        <w:rPr>
          <w:rFonts w:ascii="David" w:hAnsi="David" w:cs="David"/>
          <w:b/>
          <w:bCs/>
          <w:color w:val="000000"/>
          <w:shd w:val="clear" w:color="auto" w:fill="FFFFFF"/>
        </w:rPr>
        <w:t>  </w:t>
      </w:r>
      <w:r>
        <w:rPr>
          <w:rFonts w:ascii="David" w:hAnsi="David" w:cs="David"/>
          <w:b/>
          <w:bCs/>
          <w:color w:val="000000"/>
          <w:shd w:val="clear" w:color="auto" w:fill="FFFFFF"/>
          <w:rtl/>
        </w:rPr>
        <w:t>נוהג במונית רשאי לעצור לאיסוף נוסע או להורדתו בקטע דרך עירונית, גם אם הוצב בו </w:t>
      </w:r>
      <w:r>
        <w:rPr>
          <w:rFonts w:ascii="David" w:hAnsi="David" w:cs="David"/>
          <w:b/>
          <w:bCs/>
          <w:color w:val="000000"/>
          <w:shd w:val="clear" w:color="auto" w:fill="FFFF66"/>
          <w:rtl/>
        </w:rPr>
        <w:t>תמרור</w:t>
      </w:r>
      <w:r>
        <w:rPr>
          <w:rFonts w:ascii="David" w:hAnsi="David" w:cs="David"/>
          <w:b/>
          <w:bCs/>
          <w:color w:val="000000"/>
          <w:shd w:val="clear" w:color="auto" w:fill="FFFFFF"/>
          <w:rtl/>
        </w:rPr>
        <w:t> </w:t>
      </w:r>
      <w:r>
        <w:rPr>
          <w:rFonts w:ascii="David" w:hAnsi="David" w:cs="David"/>
          <w:b/>
          <w:bCs/>
          <w:color w:val="000000"/>
          <w:shd w:val="clear" w:color="auto" w:fill="FFFF66"/>
        </w:rPr>
        <w:t>433</w:t>
      </w:r>
      <w:r>
        <w:rPr>
          <w:rFonts w:ascii="David" w:hAnsi="David" w:cs="David"/>
          <w:b/>
          <w:bCs/>
          <w:color w:val="000000"/>
          <w:shd w:val="clear" w:color="auto" w:fill="FFFFFF"/>
        </w:rPr>
        <w:t> </w:t>
      </w:r>
      <w:r>
        <w:rPr>
          <w:rFonts w:ascii="David" w:hAnsi="David" w:cs="David"/>
          <w:b/>
          <w:bCs/>
          <w:color w:val="000000"/>
          <w:shd w:val="clear" w:color="auto" w:fill="FFFFFF"/>
          <w:rtl/>
        </w:rPr>
        <w:t>או </w:t>
      </w:r>
      <w:r>
        <w:rPr>
          <w:rFonts w:ascii="David" w:hAnsi="David" w:cs="David"/>
          <w:b/>
          <w:bCs/>
          <w:color w:val="000000"/>
          <w:shd w:val="clear" w:color="auto" w:fill="FFFF66"/>
        </w:rPr>
        <w:t>818</w:t>
      </w:r>
      <w:r>
        <w:rPr>
          <w:rFonts w:ascii="David" w:hAnsi="David" w:cs="David"/>
          <w:b/>
          <w:bCs/>
          <w:color w:val="000000"/>
          <w:shd w:val="clear" w:color="auto" w:fill="FFFFFF"/>
        </w:rPr>
        <w:t xml:space="preserve">, </w:t>
      </w:r>
      <w:r>
        <w:rPr>
          <w:rFonts w:ascii="David" w:hAnsi="David" w:cs="David"/>
          <w:b/>
          <w:bCs/>
          <w:color w:val="000000"/>
          <w:shd w:val="clear" w:color="auto" w:fill="FFFFFF"/>
          <w:rtl/>
        </w:rPr>
        <w:t>למעט בתחום תחנת אוטובוס</w:t>
      </w:r>
      <w:r>
        <w:rPr>
          <w:rFonts w:ascii="David" w:hAnsi="David" w:cs="David"/>
          <w:b/>
          <w:bCs/>
          <w:color w:val="000000"/>
          <w:shd w:val="clear" w:color="auto" w:fill="FFFFFF"/>
        </w:rPr>
        <w:t>.</w:t>
      </w:r>
    </w:p>
    <w:p w:rsidR="00AF5968" w:rsidRPr="00B6224F" w:rsidRDefault="00AF5968" w:rsidP="00AF5968">
      <w:pPr>
        <w:shd w:val="clear" w:color="auto" w:fill="FFFFFF"/>
        <w:spacing w:after="120" w:line="320" w:lineRule="atLeast"/>
        <w:jc w:val="both"/>
        <w:rPr>
          <w:rFonts w:ascii="Garamond" w:eastAsia="Times New Roman" w:hAnsi="Garamond" w:cs="Times New Roman"/>
          <w:color w:val="000000"/>
          <w:sz w:val="20"/>
          <w:szCs w:val="20"/>
        </w:rPr>
      </w:pPr>
      <w:r w:rsidRPr="00B6224F">
        <w:rPr>
          <w:rFonts w:ascii="FrankRuehl" w:eastAsia="Times New Roman" w:hAnsi="FrankRuehl" w:cs="FrankRuehl"/>
          <w:color w:val="000000"/>
          <w:sz w:val="26"/>
          <w:szCs w:val="26"/>
          <w:rtl/>
        </w:rPr>
        <w:t xml:space="preserve"> הכירו בכך שפעילות רכב ציבורי כמונית היא פעילות חשובה ועוד הכירו בצורך, שלא לומר בהכרח, להתיר למוניות חריגה</w:t>
      </w:r>
    </w:p>
    <w:p w:rsidR="00AF5968" w:rsidRPr="00B6224F" w:rsidRDefault="00AF5968" w:rsidP="00AF5968">
      <w:pPr>
        <w:shd w:val="clear" w:color="auto" w:fill="FFFFFF"/>
        <w:spacing w:after="120" w:line="320" w:lineRule="atLeast"/>
        <w:jc w:val="both"/>
        <w:rPr>
          <w:rFonts w:ascii="Garamond" w:eastAsia="Times New Roman" w:hAnsi="Garamond" w:cs="Times New Roman"/>
          <w:color w:val="000000"/>
          <w:sz w:val="20"/>
          <w:szCs w:val="20"/>
        </w:rPr>
      </w:pPr>
      <w:r w:rsidRPr="00B6224F">
        <w:rPr>
          <w:rFonts w:ascii="FrankRuehl" w:eastAsia="Times New Roman" w:hAnsi="FrankRuehl" w:cs="FrankRuehl"/>
          <w:color w:val="000000"/>
          <w:sz w:val="26"/>
          <w:szCs w:val="26"/>
          <w:rtl/>
        </w:rPr>
        <w:t>מהכלל האוסר על חנייה באזור "אין עצירה". מדובר בהיתר מחויב המציאות, בלעדיו יקשה על נהגי המוניות להעניק שירות סביר לציבור הרחב.</w:t>
      </w:r>
    </w:p>
    <w:p w:rsidR="00AF5968" w:rsidRPr="00081BFC" w:rsidRDefault="00AF5968">
      <w:pPr>
        <w:rPr>
          <w:rFonts w:cstheme="minorHAnsi"/>
          <w:sz w:val="36"/>
          <w:szCs w:val="36"/>
          <w:rtl/>
        </w:rPr>
      </w:pPr>
    </w:p>
    <w:p w:rsidR="00126B1B" w:rsidRPr="00126B1B" w:rsidRDefault="00126B1B">
      <w:pPr>
        <w:rPr>
          <w:rFonts w:ascii="Arial" w:hAnsi="Arial" w:cs="Arial"/>
          <w:sz w:val="28"/>
          <w:szCs w:val="28"/>
        </w:rPr>
      </w:pPr>
    </w:p>
    <w:sectPr w:rsidR="00126B1B" w:rsidRPr="00126B1B"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1B"/>
    <w:rsid w:val="00081BFC"/>
    <w:rsid w:val="00126B1B"/>
    <w:rsid w:val="00AA7B69"/>
    <w:rsid w:val="00AF5968"/>
    <w:rsid w:val="00CD46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824B"/>
  <w15:chartTrackingRefBased/>
  <w15:docId w15:val="{D96AC5C2-FFF1-4815-B266-1A6A2016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097/8" TargetMode="External"/><Relationship Id="rId5" Type="http://schemas.openxmlformats.org/officeDocument/2006/relationships/hyperlink" Target="http://www.nevo.co.il/law/74274" TargetMode="External"/><Relationship Id="rId4" Type="http://schemas.openxmlformats.org/officeDocument/2006/relationships/hyperlink" Target="http://www.nevo.co.il/law/74274/76.b"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360</Words>
  <Characters>1802</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שנאור</cp:lastModifiedBy>
  <cp:revision>1</cp:revision>
  <dcterms:created xsi:type="dcterms:W3CDTF">2021-02-07T09:49:00Z</dcterms:created>
  <dcterms:modified xsi:type="dcterms:W3CDTF">2021-02-07T10:27:00Z</dcterms:modified>
</cp:coreProperties>
</file>