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CF6" w:rsidRDefault="00EB01C5">
      <w:pPr>
        <w:rPr>
          <w:sz w:val="40"/>
          <w:szCs w:val="40"/>
          <w:rtl/>
        </w:rPr>
      </w:pPr>
      <w:r w:rsidRPr="00EB01C5">
        <w:rPr>
          <w:rFonts w:hint="cs"/>
          <w:sz w:val="40"/>
          <w:szCs w:val="40"/>
          <w:highlight w:val="yellow"/>
          <w:rtl/>
        </w:rPr>
        <w:t>דוח בגין הפרעה לתנועה</w:t>
      </w:r>
      <w:r w:rsidRPr="00EB01C5">
        <w:rPr>
          <w:rFonts w:hint="cs"/>
          <w:sz w:val="40"/>
          <w:szCs w:val="40"/>
          <w:rtl/>
        </w:rPr>
        <w:t xml:space="preserve"> </w:t>
      </w:r>
    </w:p>
    <w:p w:rsidR="00EB01C5" w:rsidRDefault="00EB01C5">
      <w:pPr>
        <w:rPr>
          <w:sz w:val="40"/>
          <w:szCs w:val="40"/>
          <w:rtl/>
        </w:rPr>
      </w:pPr>
    </w:p>
    <w:p w:rsidR="00EB01C5" w:rsidRDefault="00EB01C5">
      <w:pPr>
        <w:rPr>
          <w:sz w:val="32"/>
          <w:szCs w:val="32"/>
          <w:rtl/>
        </w:rPr>
      </w:pPr>
      <w:r w:rsidRPr="00EB01C5">
        <w:rPr>
          <w:rFonts w:hint="cs"/>
          <w:sz w:val="32"/>
          <w:szCs w:val="32"/>
          <w:highlight w:val="darkYellow"/>
          <w:rtl/>
        </w:rPr>
        <w:t>במקרה שיש אדום לבן בסמוך וחנה היכן שאין</w:t>
      </w:r>
      <w:r w:rsidRPr="00EB01C5">
        <w:rPr>
          <w:rFonts w:hint="cs"/>
          <w:sz w:val="32"/>
          <w:szCs w:val="32"/>
          <w:rtl/>
        </w:rPr>
        <w:t xml:space="preserve"> </w:t>
      </w:r>
    </w:p>
    <w:p w:rsidR="00EB01C5" w:rsidRDefault="00EB01C5">
      <w:pPr>
        <w:rPr>
          <w:sz w:val="32"/>
          <w:szCs w:val="32"/>
          <w:rtl/>
        </w:rPr>
      </w:pPr>
    </w:p>
    <w:p w:rsidR="00EB01C5" w:rsidRPr="00EB01C5" w:rsidRDefault="00EB01C5">
      <w:pPr>
        <w:rPr>
          <w:sz w:val="32"/>
          <w:szCs w:val="32"/>
          <w:highlight w:val="yellow"/>
          <w:rtl/>
        </w:rPr>
      </w:pPr>
      <w:r w:rsidRPr="00EB01C5">
        <w:rPr>
          <w:rFonts w:hint="cs"/>
          <w:sz w:val="32"/>
          <w:szCs w:val="32"/>
          <w:highlight w:val="yellow"/>
          <w:rtl/>
        </w:rPr>
        <w:t xml:space="preserve">מבוסס ע"פ פס"ד </w:t>
      </w:r>
      <w:proofErr w:type="spellStart"/>
      <w:r w:rsidRPr="00EB01C5">
        <w:rPr>
          <w:rFonts w:hint="cs"/>
          <w:sz w:val="32"/>
          <w:szCs w:val="32"/>
          <w:highlight w:val="yellow"/>
          <w:rtl/>
        </w:rPr>
        <w:t>חנ</w:t>
      </w:r>
      <w:proofErr w:type="spellEnd"/>
      <w:r w:rsidRPr="00EB01C5">
        <w:rPr>
          <w:rFonts w:hint="cs"/>
          <w:sz w:val="32"/>
          <w:szCs w:val="32"/>
          <w:highlight w:val="yellow"/>
          <w:rtl/>
        </w:rPr>
        <w:t xml:space="preserve"> 39003-07-14</w:t>
      </w:r>
    </w:p>
    <w:p w:rsidR="00EB01C5" w:rsidRPr="00EB01C5" w:rsidRDefault="00EB01C5">
      <w:pPr>
        <w:rPr>
          <w:sz w:val="32"/>
          <w:szCs w:val="32"/>
          <w:highlight w:val="yellow"/>
          <w:rtl/>
        </w:rPr>
      </w:pPr>
      <w:r w:rsidRPr="00EB01C5">
        <w:rPr>
          <w:rFonts w:hint="cs"/>
          <w:sz w:val="32"/>
          <w:szCs w:val="32"/>
          <w:highlight w:val="yellow"/>
          <w:rtl/>
        </w:rPr>
        <w:t xml:space="preserve">עיריית הוד השרון נ שחר </w:t>
      </w:r>
      <w:proofErr w:type="spellStart"/>
      <w:r w:rsidRPr="00EB01C5">
        <w:rPr>
          <w:rFonts w:hint="cs"/>
          <w:sz w:val="32"/>
          <w:szCs w:val="32"/>
          <w:highlight w:val="yellow"/>
          <w:rtl/>
        </w:rPr>
        <w:t>פרילינג</w:t>
      </w:r>
      <w:proofErr w:type="spellEnd"/>
    </w:p>
    <w:p w:rsidR="00EB01C5" w:rsidRPr="00EB01C5" w:rsidRDefault="00EB01C5">
      <w:pPr>
        <w:rPr>
          <w:sz w:val="32"/>
          <w:szCs w:val="32"/>
          <w:highlight w:val="yellow"/>
          <w:rtl/>
        </w:rPr>
      </w:pPr>
      <w:r w:rsidRPr="00EB01C5">
        <w:rPr>
          <w:rFonts w:hint="cs"/>
          <w:sz w:val="32"/>
          <w:szCs w:val="32"/>
          <w:highlight w:val="yellow"/>
          <w:rtl/>
        </w:rPr>
        <w:t xml:space="preserve">בית המשפט לעניינים מקומיים בכפר סבא  </w:t>
      </w:r>
    </w:p>
    <w:p w:rsidR="00EB01C5" w:rsidRPr="00EB01C5" w:rsidRDefault="00EB01C5">
      <w:pPr>
        <w:rPr>
          <w:sz w:val="32"/>
          <w:szCs w:val="32"/>
        </w:rPr>
      </w:pPr>
      <w:r w:rsidRPr="000B63E3">
        <w:rPr>
          <w:rFonts w:hint="cs"/>
          <w:sz w:val="32"/>
          <w:szCs w:val="32"/>
          <w:highlight w:val="yellow"/>
          <w:rtl/>
        </w:rPr>
        <w:t xml:space="preserve">25 ביוני 2015 כבוד השופט עמית </w:t>
      </w:r>
      <w:proofErr w:type="spellStart"/>
      <w:r w:rsidRPr="000B63E3">
        <w:rPr>
          <w:rFonts w:hint="cs"/>
          <w:sz w:val="32"/>
          <w:szCs w:val="32"/>
          <w:highlight w:val="yellow"/>
          <w:rtl/>
        </w:rPr>
        <w:t>פרייז</w:t>
      </w:r>
      <w:proofErr w:type="spellEnd"/>
      <w:r w:rsidRPr="000B63E3">
        <w:rPr>
          <w:rFonts w:hint="cs"/>
          <w:sz w:val="32"/>
          <w:szCs w:val="32"/>
          <w:highlight w:val="yellow"/>
          <w:rtl/>
        </w:rPr>
        <w:t xml:space="preserve"> </w:t>
      </w:r>
      <w:r w:rsidR="00FE6701" w:rsidRPr="000B63E3">
        <w:rPr>
          <w:rFonts w:hint="cs"/>
          <w:sz w:val="32"/>
          <w:szCs w:val="32"/>
          <w:highlight w:val="yellow"/>
          <w:rtl/>
        </w:rPr>
        <w:t>*נפסק לזיכוי</w:t>
      </w:r>
      <w:r w:rsidR="00FE6701">
        <w:rPr>
          <w:rFonts w:hint="cs"/>
          <w:sz w:val="32"/>
          <w:szCs w:val="32"/>
          <w:rtl/>
        </w:rPr>
        <w:t xml:space="preserve"> </w:t>
      </w:r>
    </w:p>
    <w:p w:rsidR="00EB01C5" w:rsidRPr="00EB01C5" w:rsidRDefault="00EB01C5" w:rsidP="00EB01C5">
      <w:pPr>
        <w:tabs>
          <w:tab w:val="left" w:pos="1325"/>
        </w:tabs>
        <w:rPr>
          <w:sz w:val="32"/>
          <w:szCs w:val="32"/>
          <w:rtl/>
        </w:rPr>
      </w:pPr>
      <w:r w:rsidRPr="00EB01C5">
        <w:rPr>
          <w:rFonts w:hint="cs"/>
          <w:sz w:val="32"/>
          <w:szCs w:val="32"/>
          <w:highlight w:val="darkBlue"/>
          <w:rtl/>
        </w:rPr>
        <w:t>תיאור המקרה</w:t>
      </w:r>
      <w:r w:rsidRPr="00EB01C5">
        <w:rPr>
          <w:rFonts w:hint="cs"/>
          <w:sz w:val="32"/>
          <w:szCs w:val="32"/>
          <w:rtl/>
        </w:rPr>
        <w:t xml:space="preserve"> </w:t>
      </w:r>
      <w:r w:rsidRPr="00EB01C5">
        <w:rPr>
          <w:sz w:val="32"/>
          <w:szCs w:val="32"/>
          <w:rtl/>
        </w:rPr>
        <w:tab/>
      </w:r>
    </w:p>
    <w:p w:rsidR="00EB01C5" w:rsidRDefault="00EB01C5" w:rsidP="00EB01C5">
      <w:pPr>
        <w:spacing w:after="0" w:line="360" w:lineRule="atLeast"/>
        <w:jc w:val="both"/>
        <w:rPr>
          <w:rFonts w:ascii="David" w:eastAsia="Times New Roman" w:hAnsi="David" w:cs="David"/>
          <w:color w:val="000000"/>
          <w:sz w:val="24"/>
          <w:szCs w:val="24"/>
          <w:rtl/>
        </w:rPr>
      </w:pPr>
      <w:r>
        <w:rPr>
          <w:rFonts w:ascii="David" w:eastAsia="Times New Roman" w:hAnsi="David" w:cs="David"/>
          <w:color w:val="000000"/>
          <w:sz w:val="24"/>
          <w:szCs w:val="24"/>
          <w:rtl/>
        </w:rPr>
        <w:t>הנאשם החנה את רכבו במקום שיש בו משום הפרעה לתנועה וגרם לכך   שנמנעה תנועה דו סטירית במקום בו חנה על כך אפשר להוסיף שכלי רכב שבא להשתלב מהכביש הראשי ימינה לאותו רחוב ללא מוצא ויעקוף רכב החונה כפי שחנה הנאשם, עלול לעכב תנועתו של רכב הבא ממול ואולי חלילה להתנגש בו.</w:t>
      </w:r>
    </w:p>
    <w:p w:rsidR="00EB01C5" w:rsidRPr="00EB01C5" w:rsidRDefault="00EB01C5" w:rsidP="00EB01C5">
      <w:pPr>
        <w:spacing w:after="0" w:line="360" w:lineRule="atLeast"/>
        <w:jc w:val="both"/>
        <w:rPr>
          <w:rFonts w:ascii="David" w:eastAsia="Times New Roman" w:hAnsi="David" w:cs="David"/>
          <w:color w:val="000000"/>
          <w:sz w:val="32"/>
          <w:szCs w:val="32"/>
          <w:rtl/>
        </w:rPr>
      </w:pPr>
      <w:r w:rsidRPr="00EB01C5">
        <w:rPr>
          <w:rFonts w:ascii="David" w:eastAsia="Times New Roman" w:hAnsi="David" w:cs="David" w:hint="cs"/>
          <w:color w:val="000000"/>
          <w:sz w:val="32"/>
          <w:szCs w:val="32"/>
          <w:highlight w:val="darkBlue"/>
          <w:rtl/>
        </w:rPr>
        <w:t>דברי השופט</w:t>
      </w:r>
    </w:p>
    <w:p w:rsidR="00EB01C5" w:rsidRDefault="00EB01C5" w:rsidP="00EB01C5">
      <w:pPr>
        <w:spacing w:after="0" w:line="360" w:lineRule="atLeast"/>
        <w:jc w:val="both"/>
        <w:rPr>
          <w:rFonts w:ascii="David" w:eastAsia="Times New Roman" w:hAnsi="David" w:cs="David"/>
          <w:color w:val="000000"/>
          <w:sz w:val="24"/>
          <w:szCs w:val="24"/>
          <w:rtl/>
        </w:rPr>
      </w:pPr>
      <w:r>
        <w:rPr>
          <w:rFonts w:ascii="David" w:eastAsia="Times New Roman" w:hAnsi="David" w:cs="David"/>
          <w:color w:val="000000"/>
          <w:sz w:val="24"/>
          <w:szCs w:val="24"/>
          <w:rtl/>
        </w:rPr>
        <w:t xml:space="preserve"> טענה אחת מטענות הנאשם נמצאה ראויה בעיני והיא הטענה שבמקום קיים סימון אדום-לבן  לפני המקום </w:t>
      </w:r>
      <w:proofErr w:type="spellStart"/>
      <w:r>
        <w:rPr>
          <w:rFonts w:ascii="David" w:eastAsia="Times New Roman" w:hAnsi="David" w:cs="David"/>
          <w:color w:val="000000"/>
          <w:sz w:val="24"/>
          <w:szCs w:val="24"/>
          <w:rtl/>
        </w:rPr>
        <w:t>המדוייק</w:t>
      </w:r>
      <w:proofErr w:type="spellEnd"/>
      <w:r>
        <w:rPr>
          <w:rFonts w:ascii="David" w:eastAsia="Times New Roman" w:hAnsi="David" w:cs="David"/>
          <w:color w:val="000000"/>
          <w:sz w:val="24"/>
          <w:szCs w:val="24"/>
          <w:rtl/>
        </w:rPr>
        <w:t xml:space="preserve"> בו הוא חנה. הנאשם הבהיר שהקפיד לחנות לאחר שנסתיים סימון אדום-לבן ולא העלה על דעתו שמא קיים איסור מסוג אחר במקום הספציפי שבו חנה. </w:t>
      </w:r>
      <w:proofErr w:type="spellStart"/>
      <w:r>
        <w:rPr>
          <w:rFonts w:ascii="David" w:eastAsia="Times New Roman" w:hAnsi="David" w:cs="David"/>
          <w:color w:val="000000"/>
          <w:sz w:val="24"/>
          <w:szCs w:val="24"/>
          <w:rtl/>
        </w:rPr>
        <w:t>לענין</w:t>
      </w:r>
      <w:proofErr w:type="spellEnd"/>
      <w:r>
        <w:rPr>
          <w:rFonts w:ascii="David" w:eastAsia="Times New Roman" w:hAnsi="David" w:cs="David"/>
          <w:color w:val="000000"/>
          <w:sz w:val="24"/>
          <w:szCs w:val="24"/>
          <w:rtl/>
        </w:rPr>
        <w:t xml:space="preserve"> זה חשוב להזכיר מושכלות יסוד בדבר עקרון החוקיות לפיו כל מה שלא נאסר על האזרח, מותר לו ועל כן כאשר אזרח מבחין באזור שבאמצעות תמרור </w:t>
      </w:r>
      <w:proofErr w:type="spellStart"/>
      <w:r>
        <w:rPr>
          <w:rFonts w:ascii="David" w:eastAsia="Times New Roman" w:hAnsi="David" w:cs="David"/>
          <w:color w:val="000000"/>
          <w:sz w:val="24"/>
          <w:szCs w:val="24"/>
          <w:rtl/>
        </w:rPr>
        <w:t>בענין</w:t>
      </w:r>
      <w:proofErr w:type="spellEnd"/>
      <w:r>
        <w:rPr>
          <w:rFonts w:ascii="David" w:eastAsia="Times New Roman" w:hAnsi="David" w:cs="David"/>
          <w:color w:val="000000"/>
          <w:sz w:val="24"/>
          <w:szCs w:val="24"/>
          <w:rtl/>
        </w:rPr>
        <w:t xml:space="preserve"> זה, סימון אדום-לבן, נאסר לתנועה, רשאי הוא להניח שכאשר תחום איסור זה מסתיים ניתן לחנות במקום כל עוד אין תמרור אחר אשר אוסר את החניה.</w:t>
      </w:r>
    </w:p>
    <w:p w:rsidR="00EB01C5" w:rsidRDefault="00EB01C5" w:rsidP="00EB01C5">
      <w:pPr>
        <w:spacing w:after="0" w:line="360" w:lineRule="atLeast"/>
        <w:jc w:val="both"/>
        <w:rPr>
          <w:rFonts w:ascii="David" w:eastAsia="Times New Roman" w:hAnsi="David" w:cs="David"/>
          <w:color w:val="000000"/>
          <w:sz w:val="24"/>
          <w:szCs w:val="24"/>
          <w:rtl/>
        </w:rPr>
      </w:pPr>
      <w:r>
        <w:rPr>
          <w:rFonts w:ascii="David" w:eastAsia="Times New Roman" w:hAnsi="David" w:cs="David"/>
          <w:color w:val="000000"/>
          <w:sz w:val="24"/>
          <w:szCs w:val="24"/>
          <w:rtl/>
        </w:rPr>
        <w:t>יש לזכור שהפרעה לתנועה איננה בגדר דבר מובן מאליו, בוודאי אף בנסיבות מקרה זה שהרי אף אני נדרשתי להסבריו של הפקח כדי להבין את ההפרעה לתנועה. לא ניתן לצפות מאזרח שיבין שבמקום</w:t>
      </w:r>
      <w:r>
        <w:rPr>
          <w:rFonts w:ascii="David" w:eastAsia="Times New Roman" w:hAnsi="David" w:cs="David" w:hint="cs"/>
          <w:color w:val="000000"/>
          <w:sz w:val="24"/>
          <w:szCs w:val="24"/>
          <w:rtl/>
        </w:rPr>
        <w:t xml:space="preserve"> </w:t>
      </w:r>
      <w:r>
        <w:rPr>
          <w:rFonts w:ascii="David" w:eastAsia="Times New Roman" w:hAnsi="David" w:cs="David"/>
          <w:color w:val="000000"/>
          <w:sz w:val="24"/>
          <w:szCs w:val="24"/>
          <w:rtl/>
        </w:rPr>
        <w:t>שזה עתה הסתיים איסור חניה, החניה במקום מהווה הפרעה לתנועה, שהרי סימון אדום-לבן נועד בין היתר למנוע הפרעה לתנועה ואם הסימון לא נכלל באותו מקום, כיצד תתכן הפרעה לתנועה באמצעות החניה בו.</w:t>
      </w:r>
    </w:p>
    <w:p w:rsidR="00EB01C5" w:rsidRDefault="00EB01C5" w:rsidP="00FE6701">
      <w:pPr>
        <w:spacing w:after="0" w:line="360" w:lineRule="atLeast"/>
        <w:jc w:val="both"/>
        <w:rPr>
          <w:rFonts w:ascii="David" w:eastAsia="Times New Roman" w:hAnsi="David" w:cs="David"/>
          <w:color w:val="000000"/>
          <w:sz w:val="24"/>
          <w:szCs w:val="24"/>
          <w:rtl/>
        </w:rPr>
      </w:pPr>
      <w:r>
        <w:rPr>
          <w:rFonts w:ascii="David" w:eastAsia="Times New Roman" w:hAnsi="David" w:cs="David"/>
          <w:color w:val="000000"/>
          <w:sz w:val="24"/>
          <w:szCs w:val="24"/>
          <w:rtl/>
        </w:rPr>
        <w:t>בנסיבות אלה, הגם שבדיעבד ניתן להבין שהנאשם חנה באופן מפריע לתנועה, לא ניתן להרשיעו בעבירה זו שכן סברתו בדבר אי איסור החניה במקום הינה סבירה בהתאם לסיום הסימון אדום-לבן והיעדר תמרור אחר האוסר את החניה.</w:t>
      </w:r>
    </w:p>
    <w:p w:rsidR="00FE6701" w:rsidRDefault="00FE6701" w:rsidP="00FE6701">
      <w:pPr>
        <w:spacing w:after="0" w:line="360" w:lineRule="atLeast"/>
        <w:jc w:val="both"/>
        <w:rPr>
          <w:sz w:val="32"/>
          <w:szCs w:val="32"/>
          <w:rtl/>
        </w:rPr>
      </w:pPr>
    </w:p>
    <w:p w:rsidR="00FE6701" w:rsidRDefault="00FE6701" w:rsidP="00FE6701">
      <w:pPr>
        <w:spacing w:after="0" w:line="360" w:lineRule="atLeast"/>
        <w:jc w:val="both"/>
        <w:rPr>
          <w:sz w:val="32"/>
          <w:szCs w:val="32"/>
          <w:rtl/>
        </w:rPr>
      </w:pPr>
    </w:p>
    <w:p w:rsidR="00FE6701" w:rsidRDefault="00FE6701" w:rsidP="00FE6701">
      <w:pPr>
        <w:spacing w:after="0" w:line="360" w:lineRule="atLeast"/>
        <w:jc w:val="both"/>
        <w:rPr>
          <w:sz w:val="36"/>
          <w:szCs w:val="36"/>
          <w:rtl/>
        </w:rPr>
      </w:pPr>
      <w:r w:rsidRPr="00FE6701">
        <w:rPr>
          <w:rFonts w:hint="cs"/>
          <w:sz w:val="36"/>
          <w:szCs w:val="36"/>
          <w:highlight w:val="darkYellow"/>
          <w:rtl/>
        </w:rPr>
        <w:t>הפרעה לתנועה בזמן שהכביש רחב מאד</w:t>
      </w:r>
    </w:p>
    <w:p w:rsidR="00FE6701" w:rsidRDefault="00FE6701" w:rsidP="00FE6701">
      <w:pPr>
        <w:spacing w:after="0" w:line="360" w:lineRule="atLeast"/>
        <w:jc w:val="both"/>
        <w:rPr>
          <w:sz w:val="36"/>
          <w:szCs w:val="36"/>
          <w:rtl/>
        </w:rPr>
      </w:pPr>
    </w:p>
    <w:p w:rsidR="00FE6701" w:rsidRPr="00FE6701" w:rsidRDefault="00FE6701" w:rsidP="00FE6701">
      <w:pPr>
        <w:spacing w:after="0" w:line="360" w:lineRule="atLeast"/>
        <w:jc w:val="both"/>
        <w:rPr>
          <w:sz w:val="32"/>
          <w:szCs w:val="32"/>
          <w:highlight w:val="yellow"/>
          <w:rtl/>
        </w:rPr>
      </w:pPr>
      <w:r w:rsidRPr="00FE6701">
        <w:rPr>
          <w:rFonts w:hint="cs"/>
          <w:sz w:val="32"/>
          <w:szCs w:val="32"/>
          <w:highlight w:val="yellow"/>
          <w:rtl/>
        </w:rPr>
        <w:lastRenderedPageBreak/>
        <w:t>ביהמ"ש לעניינים מקומיים בירושלים  1</w:t>
      </w:r>
      <w:r w:rsidR="001C3BDE">
        <w:rPr>
          <w:rFonts w:hint="cs"/>
          <w:sz w:val="32"/>
          <w:szCs w:val="32"/>
          <w:highlight w:val="yellow"/>
          <w:rtl/>
        </w:rPr>
        <w:t xml:space="preserve"> </w:t>
      </w:r>
      <w:r w:rsidRPr="00FE6701">
        <w:rPr>
          <w:rFonts w:hint="cs"/>
          <w:sz w:val="32"/>
          <w:szCs w:val="32"/>
          <w:highlight w:val="yellow"/>
          <w:rtl/>
        </w:rPr>
        <w:t>נובמבר 2018</w:t>
      </w:r>
    </w:p>
    <w:p w:rsidR="00FE6701" w:rsidRPr="00FE6701" w:rsidRDefault="00FE6701" w:rsidP="00FE6701">
      <w:pPr>
        <w:spacing w:after="0" w:line="360" w:lineRule="atLeast"/>
        <w:jc w:val="both"/>
        <w:rPr>
          <w:sz w:val="32"/>
          <w:szCs w:val="32"/>
          <w:highlight w:val="yellow"/>
          <w:rtl/>
        </w:rPr>
      </w:pPr>
      <w:r w:rsidRPr="00FE6701">
        <w:rPr>
          <w:rFonts w:hint="cs"/>
          <w:sz w:val="32"/>
          <w:szCs w:val="32"/>
          <w:highlight w:val="yellow"/>
          <w:rtl/>
        </w:rPr>
        <w:t xml:space="preserve"> </w:t>
      </w:r>
    </w:p>
    <w:p w:rsidR="00FE6701" w:rsidRPr="00FE6701" w:rsidRDefault="00FE6701" w:rsidP="00FE6701">
      <w:pPr>
        <w:spacing w:after="0" w:line="360" w:lineRule="atLeast"/>
        <w:jc w:val="both"/>
        <w:rPr>
          <w:sz w:val="32"/>
          <w:szCs w:val="32"/>
          <w:highlight w:val="yellow"/>
          <w:rtl/>
        </w:rPr>
      </w:pPr>
      <w:r w:rsidRPr="00FE6701">
        <w:rPr>
          <w:rFonts w:hint="cs"/>
          <w:sz w:val="32"/>
          <w:szCs w:val="32"/>
          <w:highlight w:val="yellow"/>
          <w:rtl/>
        </w:rPr>
        <w:t xml:space="preserve">מדינת ישראל נ אהרן </w:t>
      </w:r>
      <w:proofErr w:type="spellStart"/>
      <w:r w:rsidRPr="00FE6701">
        <w:rPr>
          <w:rFonts w:hint="cs"/>
          <w:sz w:val="32"/>
          <w:szCs w:val="32"/>
          <w:highlight w:val="yellow"/>
          <w:rtl/>
        </w:rPr>
        <w:t>איכנטל</w:t>
      </w:r>
      <w:proofErr w:type="spellEnd"/>
      <w:r w:rsidRPr="00FE6701">
        <w:rPr>
          <w:rFonts w:hint="cs"/>
          <w:sz w:val="32"/>
          <w:szCs w:val="32"/>
          <w:highlight w:val="yellow"/>
          <w:rtl/>
        </w:rPr>
        <w:t xml:space="preserve"> </w:t>
      </w:r>
      <w:r w:rsidRPr="00FE6701">
        <w:rPr>
          <w:sz w:val="32"/>
          <w:szCs w:val="32"/>
          <w:highlight w:val="yellow"/>
          <w:rtl/>
        </w:rPr>
        <w:t>–</w:t>
      </w:r>
      <w:r w:rsidRPr="00FE6701">
        <w:rPr>
          <w:rFonts w:hint="cs"/>
          <w:sz w:val="32"/>
          <w:szCs w:val="32"/>
          <w:highlight w:val="yellow"/>
          <w:rtl/>
        </w:rPr>
        <w:t>ח"נ 6581-08-17</w:t>
      </w:r>
    </w:p>
    <w:p w:rsidR="00FE6701" w:rsidRPr="00FE6701" w:rsidRDefault="00FE6701" w:rsidP="00FE6701">
      <w:pPr>
        <w:spacing w:after="0" w:line="360" w:lineRule="atLeast"/>
        <w:jc w:val="both"/>
        <w:rPr>
          <w:sz w:val="32"/>
          <w:szCs w:val="32"/>
          <w:highlight w:val="yellow"/>
          <w:rtl/>
        </w:rPr>
      </w:pPr>
    </w:p>
    <w:p w:rsidR="00FE6701" w:rsidRDefault="00FE6701" w:rsidP="00FE6701">
      <w:pPr>
        <w:spacing w:after="0" w:line="360" w:lineRule="atLeast"/>
        <w:jc w:val="both"/>
        <w:rPr>
          <w:sz w:val="32"/>
          <w:szCs w:val="32"/>
          <w:rtl/>
        </w:rPr>
      </w:pPr>
      <w:r w:rsidRPr="00FE6701">
        <w:rPr>
          <w:rFonts w:hint="cs"/>
          <w:sz w:val="32"/>
          <w:szCs w:val="32"/>
          <w:highlight w:val="yellow"/>
          <w:rtl/>
        </w:rPr>
        <w:t xml:space="preserve">בפני כבוד השופט דניאל מרדכי </w:t>
      </w:r>
      <w:proofErr w:type="spellStart"/>
      <w:r w:rsidRPr="00FE6701">
        <w:rPr>
          <w:rFonts w:hint="cs"/>
          <w:sz w:val="32"/>
          <w:szCs w:val="32"/>
          <w:highlight w:val="yellow"/>
          <w:rtl/>
        </w:rPr>
        <w:t>דמביץ</w:t>
      </w:r>
      <w:proofErr w:type="spellEnd"/>
      <w:r>
        <w:rPr>
          <w:rFonts w:hint="cs"/>
          <w:sz w:val="32"/>
          <w:szCs w:val="32"/>
          <w:rtl/>
        </w:rPr>
        <w:t xml:space="preserve"> </w:t>
      </w:r>
    </w:p>
    <w:p w:rsidR="00FE6701" w:rsidRDefault="00FE6701" w:rsidP="00FE6701">
      <w:pPr>
        <w:spacing w:after="0" w:line="360" w:lineRule="atLeast"/>
        <w:jc w:val="both"/>
        <w:rPr>
          <w:sz w:val="32"/>
          <w:szCs w:val="32"/>
          <w:rtl/>
        </w:rPr>
      </w:pPr>
    </w:p>
    <w:p w:rsidR="00FE6701" w:rsidRDefault="00FE6701" w:rsidP="00FE6701">
      <w:pPr>
        <w:shd w:val="clear" w:color="auto" w:fill="FFFFFF"/>
        <w:spacing w:after="0" w:line="480" w:lineRule="atLeast"/>
        <w:jc w:val="both"/>
        <w:rPr>
          <w:rFonts w:ascii="Arial (W1)" w:eastAsia="Times New Roman" w:hAnsi="Arial (W1)" w:cs="Times New Roman"/>
          <w:color w:val="000000"/>
          <w:sz w:val="27"/>
          <w:szCs w:val="27"/>
          <w:rtl/>
        </w:rPr>
      </w:pPr>
      <w:r w:rsidRPr="00FE6701">
        <w:rPr>
          <w:rFonts w:ascii="David" w:eastAsia="Times New Roman" w:hAnsi="David" w:cs="David" w:hint="cs"/>
          <w:b/>
          <w:bCs/>
          <w:color w:val="000000"/>
          <w:sz w:val="26"/>
          <w:szCs w:val="26"/>
          <w:highlight w:val="darkYellow"/>
          <w:u w:val="single"/>
          <w:rtl/>
        </w:rPr>
        <w:t>טענת הנאשם</w:t>
      </w:r>
      <w:r>
        <w:rPr>
          <w:rFonts w:ascii="David" w:eastAsia="Times New Roman" w:hAnsi="David" w:cs="David" w:hint="cs"/>
          <w:b/>
          <w:bCs/>
          <w:color w:val="000000"/>
          <w:sz w:val="26"/>
          <w:szCs w:val="26"/>
          <w:u w:val="single"/>
          <w:rtl/>
        </w:rPr>
        <w:t xml:space="preserve"> </w:t>
      </w:r>
    </w:p>
    <w:p w:rsidR="001C3BDE" w:rsidRDefault="001C3BDE" w:rsidP="001C3BDE">
      <w:pPr>
        <w:shd w:val="clear" w:color="auto" w:fill="FFFFFF"/>
        <w:spacing w:after="0" w:line="480" w:lineRule="atLeast"/>
        <w:jc w:val="both"/>
        <w:rPr>
          <w:rFonts w:ascii="Arial (W1)" w:eastAsia="Times New Roman" w:hAnsi="Arial (W1)" w:cs="Times New Roman"/>
          <w:color w:val="000000"/>
          <w:sz w:val="27"/>
          <w:szCs w:val="27"/>
          <w:rtl/>
        </w:rPr>
      </w:pPr>
      <w:r>
        <w:rPr>
          <w:rFonts w:ascii="Arial (W1)" w:eastAsia="Times New Roman" w:hAnsi="Arial (W1)" w:cs="Times New Roman" w:hint="cs"/>
          <w:color w:val="000000"/>
          <w:sz w:val="27"/>
          <w:szCs w:val="27"/>
          <w:rtl/>
        </w:rPr>
        <w:t xml:space="preserve">הנאשם טען שחנייתו לא היוותה הפרעה לתנועה עקב רוחב הכביש שהוא רחב מאד .10.19 מטרים ממדרכה למדרכה ולכן היה מקום לעוד 3 רכבים מקבילים שיכלו לנסוע זה ליד זה לעבור .החנייה בוצעה ביום שישי בימות הקיץ והכביש היה ריק כך שלא נגרמה בפועל הפרעה לתנועה </w:t>
      </w:r>
    </w:p>
    <w:p w:rsidR="001C3BDE" w:rsidRDefault="001C3BDE" w:rsidP="001C3BDE">
      <w:pPr>
        <w:shd w:val="clear" w:color="auto" w:fill="FFFFFF"/>
        <w:spacing w:after="0" w:line="480" w:lineRule="atLeast"/>
        <w:jc w:val="both"/>
        <w:rPr>
          <w:rFonts w:ascii="Arial (W1)" w:eastAsia="Times New Roman" w:hAnsi="Arial (W1)" w:cs="Times New Roman"/>
          <w:color w:val="000000"/>
          <w:sz w:val="27"/>
          <w:szCs w:val="27"/>
          <w:rtl/>
        </w:rPr>
      </w:pPr>
      <w:r w:rsidRPr="001C3BDE">
        <w:rPr>
          <w:rFonts w:ascii="Arial (W1)" w:eastAsia="Times New Roman" w:hAnsi="Arial (W1)" w:cs="Times New Roman" w:hint="cs"/>
          <w:color w:val="000000"/>
          <w:sz w:val="27"/>
          <w:szCs w:val="27"/>
          <w:highlight w:val="darkYellow"/>
          <w:rtl/>
        </w:rPr>
        <w:t>דברי השופט בקיצור נמרץ</w:t>
      </w:r>
      <w:r>
        <w:rPr>
          <w:rFonts w:ascii="Arial (W1)" w:eastAsia="Times New Roman" w:hAnsi="Arial (W1)" w:cs="Times New Roman" w:hint="cs"/>
          <w:color w:val="000000"/>
          <w:sz w:val="27"/>
          <w:szCs w:val="27"/>
          <w:rtl/>
        </w:rPr>
        <w:t xml:space="preserve"> </w:t>
      </w:r>
      <w:r>
        <w:rPr>
          <w:rFonts w:ascii="Arial (W1)" w:eastAsia="Times New Roman" w:hAnsi="Arial (W1)" w:cs="Times New Roman"/>
          <w:color w:val="000000"/>
          <w:sz w:val="27"/>
          <w:szCs w:val="27"/>
          <w:rtl/>
        </w:rPr>
        <w:t>–</w:t>
      </w:r>
      <w:r w:rsidRPr="001C3BDE">
        <w:rPr>
          <w:rFonts w:ascii="Arial (W1)" w:eastAsia="Times New Roman" w:hAnsi="Arial (W1)" w:cs="Times New Roman" w:hint="cs"/>
          <w:color w:val="000000"/>
          <w:sz w:val="27"/>
          <w:szCs w:val="27"/>
          <w:highlight w:val="darkGreen"/>
          <w:rtl/>
        </w:rPr>
        <w:t>נפסק לזיכוי</w:t>
      </w:r>
      <w:r>
        <w:rPr>
          <w:rFonts w:ascii="Arial (W1)" w:eastAsia="Times New Roman" w:hAnsi="Arial (W1)" w:cs="Times New Roman" w:hint="cs"/>
          <w:color w:val="000000"/>
          <w:sz w:val="27"/>
          <w:szCs w:val="27"/>
          <w:rtl/>
        </w:rPr>
        <w:t xml:space="preserve"> </w:t>
      </w:r>
    </w:p>
    <w:p w:rsidR="00FE6701" w:rsidRPr="001B09DD" w:rsidRDefault="001B09DD" w:rsidP="001C3BDE">
      <w:pPr>
        <w:shd w:val="clear" w:color="auto" w:fill="FFFFFF"/>
        <w:spacing w:after="0" w:line="480" w:lineRule="atLeast"/>
        <w:jc w:val="both"/>
        <w:rPr>
          <w:rFonts w:eastAsia="Times New Roman" w:cstheme="minorHAnsi"/>
          <w:color w:val="000000"/>
          <w:sz w:val="27"/>
          <w:szCs w:val="27"/>
          <w:rtl/>
        </w:rPr>
      </w:pPr>
      <w:r w:rsidRPr="001B09DD">
        <w:rPr>
          <w:rFonts w:eastAsia="Times New Roman" w:cstheme="minorHAnsi"/>
          <w:color w:val="000000"/>
          <w:sz w:val="26"/>
          <w:szCs w:val="26"/>
          <w:rtl/>
        </w:rPr>
        <w:t xml:space="preserve">א* </w:t>
      </w:r>
      <w:r w:rsidR="001C3BDE" w:rsidRPr="001B09DD">
        <w:rPr>
          <w:rFonts w:eastAsia="Times New Roman" w:cstheme="minorHAnsi"/>
          <w:color w:val="000000"/>
          <w:sz w:val="26"/>
          <w:szCs w:val="26"/>
          <w:rtl/>
        </w:rPr>
        <w:t xml:space="preserve">בעניין </w:t>
      </w:r>
      <w:r w:rsidR="00FE6701" w:rsidRPr="001B09DD">
        <w:rPr>
          <w:rFonts w:eastAsia="Times New Roman" w:cstheme="minorHAnsi"/>
          <w:color w:val="000000"/>
          <w:sz w:val="26"/>
          <w:szCs w:val="26"/>
          <w:u w:val="single"/>
          <w:rtl/>
        </w:rPr>
        <w:t>התקיימות יסודות העבירה</w:t>
      </w:r>
    </w:p>
    <w:p w:rsidR="00FE6701" w:rsidRPr="001B09DD" w:rsidRDefault="00FE6701" w:rsidP="001B09DD">
      <w:pPr>
        <w:shd w:val="clear" w:color="auto" w:fill="FFFFFF"/>
        <w:spacing w:after="0" w:line="440" w:lineRule="atLeast"/>
        <w:jc w:val="both"/>
        <w:rPr>
          <w:rFonts w:eastAsia="Times New Roman" w:cstheme="minorHAnsi"/>
          <w:color w:val="000000"/>
          <w:rtl/>
        </w:rPr>
      </w:pPr>
      <w:r w:rsidRPr="001B09DD">
        <w:rPr>
          <w:rFonts w:eastAsia="Times New Roman" w:cstheme="minorHAnsi"/>
          <w:color w:val="000000"/>
          <w:sz w:val="26"/>
          <w:szCs w:val="26"/>
          <w:rtl/>
        </w:rPr>
        <w:t>העבירה המיוחסת לנאשם היא עבירה מופשטת הכרוכה בניתוח מצב עובדתי בסביבה הפיסית, על מכלול נסיבותיה.</w:t>
      </w:r>
      <w:r w:rsidR="001B09DD" w:rsidRPr="001B09DD">
        <w:rPr>
          <w:rFonts w:eastAsia="Times New Roman" w:cstheme="minorHAnsi"/>
          <w:color w:val="000000"/>
          <w:rtl/>
        </w:rPr>
        <w:t xml:space="preserve"> </w:t>
      </w:r>
      <w:r w:rsidRPr="001B09DD">
        <w:rPr>
          <w:rFonts w:eastAsia="Times New Roman" w:cstheme="minorHAnsi"/>
          <w:color w:val="000000"/>
          <w:sz w:val="26"/>
          <w:szCs w:val="26"/>
          <w:rtl/>
        </w:rPr>
        <w:t>נוסח החיקוק (</w:t>
      </w:r>
      <w:hyperlink r:id="rId4" w:tgtFrame="blank" w:history="1">
        <w:r w:rsidRPr="001B09DD">
          <w:rPr>
            <w:rFonts w:eastAsia="Times New Roman" w:cstheme="minorHAnsi"/>
            <w:color w:val="800080"/>
            <w:sz w:val="26"/>
            <w:szCs w:val="26"/>
            <w:u w:val="single"/>
            <w:rtl/>
          </w:rPr>
          <w:t>תקנה 71(1)</w:t>
        </w:r>
      </w:hyperlink>
      <w:r w:rsidRPr="001B09DD">
        <w:rPr>
          <w:rFonts w:eastAsia="Times New Roman" w:cstheme="minorHAnsi"/>
          <w:color w:val="000000"/>
          <w:sz w:val="26"/>
          <w:szCs w:val="26"/>
          <w:rtl/>
        </w:rPr>
        <w:t> לתקנות) מתייחס להפרעה או עיכוב פוטנציאליים של התנועה ולא מוטל על המאשימה להוכיח הפרעה בפועל.</w:t>
      </w:r>
    </w:p>
    <w:p w:rsidR="00FE6701" w:rsidRPr="001B09DD" w:rsidRDefault="00FE6701" w:rsidP="00FE6701">
      <w:pPr>
        <w:shd w:val="clear" w:color="auto" w:fill="FFFFFF"/>
        <w:spacing w:after="0" w:line="440" w:lineRule="atLeast"/>
        <w:ind w:left="1134" w:hanging="1134"/>
        <w:jc w:val="both"/>
        <w:rPr>
          <w:rFonts w:eastAsia="Times New Roman" w:cstheme="minorHAnsi"/>
          <w:color w:val="000000"/>
          <w:rtl/>
        </w:rPr>
      </w:pPr>
      <w:r w:rsidRPr="001B09DD">
        <w:rPr>
          <w:rFonts w:eastAsia="Times New Roman" w:cstheme="minorHAnsi"/>
          <w:color w:val="000000"/>
          <w:sz w:val="26"/>
          <w:szCs w:val="26"/>
          <w:rtl/>
        </w:rPr>
        <w:t>הואיל ורוחב רחוב שבטי ישראל במקום הוא מעל 10 מטרים, המיועדים כאמור לשני נתיבים בלבד, קשה ביותר לטעון כי החניה מהווה הפרעה או עיכוב פוטנציאליים לתנועה.</w:t>
      </w:r>
    </w:p>
    <w:p w:rsidR="00FE6701" w:rsidRPr="001B09DD" w:rsidRDefault="00FE6701" w:rsidP="00FE6701">
      <w:pPr>
        <w:shd w:val="clear" w:color="auto" w:fill="FFFFFF"/>
        <w:spacing w:after="0" w:line="440" w:lineRule="atLeast"/>
        <w:ind w:left="1134" w:hanging="1134"/>
        <w:jc w:val="both"/>
        <w:rPr>
          <w:rFonts w:eastAsia="Times New Roman" w:cstheme="minorHAnsi"/>
          <w:color w:val="000000"/>
          <w:rtl/>
        </w:rPr>
      </w:pPr>
      <w:r w:rsidRPr="001B09DD">
        <w:rPr>
          <w:rFonts w:eastAsia="Times New Roman" w:cstheme="minorHAnsi"/>
          <w:color w:val="000000"/>
          <w:sz w:val="26"/>
          <w:szCs w:val="26"/>
          <w:rtl/>
        </w:rPr>
        <w:t>לפיכך המאשימה הטילה את יהבה על התייחסות להפרעה לתנועה בעניין רכבים היוצאים מרחוב עידו הנביא אל רחוב שבטי ישראל.</w:t>
      </w:r>
    </w:p>
    <w:p w:rsidR="00FE6701" w:rsidRPr="001B09DD" w:rsidRDefault="00FE6701" w:rsidP="00FE6701">
      <w:pPr>
        <w:shd w:val="clear" w:color="auto" w:fill="FFFFFF"/>
        <w:spacing w:after="0" w:line="440" w:lineRule="atLeast"/>
        <w:ind w:left="1134" w:hanging="1134"/>
        <w:jc w:val="both"/>
        <w:rPr>
          <w:rFonts w:eastAsia="Times New Roman" w:cstheme="minorHAnsi"/>
          <w:color w:val="000000"/>
          <w:rtl/>
        </w:rPr>
      </w:pPr>
      <w:r w:rsidRPr="001B09DD">
        <w:rPr>
          <w:rFonts w:eastAsia="Times New Roman" w:cstheme="minorHAnsi"/>
          <w:color w:val="000000"/>
          <w:sz w:val="26"/>
          <w:szCs w:val="26"/>
          <w:rtl/>
        </w:rPr>
        <w:t>מהות ההפרעה לתנועה היוצאת מרחוב עידו הנביא אל רחוב שבטי ישראל היא חניה בתחום צומת - עבירה לפי </w:t>
      </w:r>
      <w:hyperlink r:id="rId5" w:tgtFrame="blank" w:history="1">
        <w:r w:rsidRPr="001B09DD">
          <w:rPr>
            <w:rFonts w:eastAsia="Times New Roman" w:cstheme="minorHAnsi"/>
            <w:color w:val="800080"/>
            <w:sz w:val="26"/>
            <w:szCs w:val="26"/>
            <w:u w:val="single"/>
            <w:rtl/>
          </w:rPr>
          <w:t>תקנה 72(א)(3)</w:t>
        </w:r>
      </w:hyperlink>
      <w:r w:rsidRPr="001B09DD">
        <w:rPr>
          <w:rFonts w:eastAsia="Times New Roman" w:cstheme="minorHAnsi"/>
          <w:color w:val="000000"/>
          <w:sz w:val="26"/>
          <w:szCs w:val="26"/>
          <w:rtl/>
        </w:rPr>
        <w:t> לתקנות. אלא שהמאשימה בחרה שלא לייחס לנאשם עבירה זו, לא מלכתחילה (בעת מתן הדו"ח) ואף לא בסיכומיה. בנסיבות של עבירה שהיא מן הקלות בעבירות מסוג חטא, סבורני שאין להחיל את </w:t>
      </w:r>
      <w:hyperlink r:id="rId6" w:tgtFrame="blank" w:history="1">
        <w:r w:rsidRPr="001B09DD">
          <w:rPr>
            <w:rFonts w:eastAsia="Times New Roman" w:cstheme="minorHAnsi"/>
            <w:color w:val="800080"/>
            <w:sz w:val="26"/>
            <w:szCs w:val="26"/>
            <w:u w:val="single"/>
            <w:rtl/>
          </w:rPr>
          <w:t>סעיף 184</w:t>
        </w:r>
      </w:hyperlink>
      <w:r w:rsidRPr="001B09DD">
        <w:rPr>
          <w:rFonts w:eastAsia="Times New Roman" w:cstheme="minorHAnsi"/>
          <w:color w:val="000000"/>
          <w:sz w:val="26"/>
          <w:szCs w:val="26"/>
          <w:rtl/>
        </w:rPr>
        <w:t> ל</w:t>
      </w:r>
      <w:hyperlink r:id="rId7" w:tgtFrame="blank" w:history="1">
        <w:r w:rsidRPr="001B09DD">
          <w:rPr>
            <w:rFonts w:eastAsia="Times New Roman" w:cstheme="minorHAnsi"/>
            <w:color w:val="800080"/>
            <w:sz w:val="26"/>
            <w:szCs w:val="26"/>
            <w:u w:val="single"/>
            <w:rtl/>
          </w:rPr>
          <w:t>חוק סדר הדין הפלילי</w:t>
        </w:r>
      </w:hyperlink>
      <w:r w:rsidRPr="001B09DD">
        <w:rPr>
          <w:rFonts w:eastAsia="Times New Roman" w:cstheme="minorHAnsi"/>
          <w:color w:val="000000"/>
          <w:sz w:val="26"/>
          <w:szCs w:val="26"/>
          <w:rtl/>
        </w:rPr>
        <w:t xml:space="preserve"> [נוסח משולב], התשמ"ב-1982 ואין להרשיע את הנאשם בעבירה שלא יוחסה לו מפורשות בכל מהלך </w:t>
      </w:r>
      <w:proofErr w:type="spellStart"/>
      <w:r w:rsidRPr="001B09DD">
        <w:rPr>
          <w:rFonts w:eastAsia="Times New Roman" w:cstheme="minorHAnsi"/>
          <w:color w:val="000000"/>
          <w:sz w:val="26"/>
          <w:szCs w:val="26"/>
          <w:rtl/>
        </w:rPr>
        <w:t>ההדיינות</w:t>
      </w:r>
      <w:proofErr w:type="spellEnd"/>
      <w:r w:rsidRPr="001B09DD">
        <w:rPr>
          <w:rFonts w:eastAsia="Times New Roman" w:cstheme="minorHAnsi"/>
          <w:color w:val="000000"/>
          <w:sz w:val="26"/>
          <w:szCs w:val="26"/>
          <w:rtl/>
        </w:rPr>
        <w:t>.</w:t>
      </w:r>
    </w:p>
    <w:p w:rsidR="00FE6701" w:rsidRPr="001B09DD" w:rsidRDefault="00FE6701" w:rsidP="00FE6701">
      <w:pPr>
        <w:shd w:val="clear" w:color="auto" w:fill="FFFFFF"/>
        <w:spacing w:after="0" w:line="440" w:lineRule="atLeast"/>
        <w:ind w:left="1134" w:hanging="1134"/>
        <w:jc w:val="both"/>
        <w:rPr>
          <w:rFonts w:eastAsia="Times New Roman" w:cstheme="minorHAnsi"/>
          <w:color w:val="000000"/>
          <w:rtl/>
        </w:rPr>
      </w:pPr>
      <w:r w:rsidRPr="001B09DD">
        <w:rPr>
          <w:rFonts w:eastAsia="Times New Roman" w:cstheme="minorHAnsi"/>
          <w:color w:val="000000"/>
          <w:sz w:val="26"/>
          <w:szCs w:val="26"/>
          <w:rtl/>
        </w:rPr>
        <w:t xml:space="preserve">רוחב הכביש (רחוב שבטי ישראל), כמו גם טענת הנאשם שלא נסתרה לגבי התרחבות המדרכה השמאלית בהמשכו (לקראת הצומת) באופן המחייב את המתכוון לפנות שמאלה מרחוב שבטי ישראל לרחוב הנביאים לקרב את רכבו למרכז הכביש, מחלישים את הטענה שחנייתו של הנאשם בשמאל רחוב שבטי ישראל </w:t>
      </w:r>
      <w:r w:rsidRPr="001B09DD">
        <w:rPr>
          <w:rFonts w:eastAsia="Times New Roman" w:cstheme="minorHAnsi"/>
          <w:color w:val="000000"/>
          <w:sz w:val="26"/>
          <w:szCs w:val="26"/>
          <w:rtl/>
        </w:rPr>
        <w:lastRenderedPageBreak/>
        <w:t>גורמת הפרעה לתנועה - גם לרכב היוצא מרחוב עידו הנביא לרחוב שבטי ישראל ואף אם בכוונתו לפנות שמאלה מרחוב שבטי ישראל לרחוב הנביאים.</w:t>
      </w:r>
    </w:p>
    <w:p w:rsidR="00FE6701" w:rsidRPr="001B09DD" w:rsidRDefault="00FE6701" w:rsidP="001B09DD">
      <w:pPr>
        <w:shd w:val="clear" w:color="auto" w:fill="FFFFFF"/>
        <w:spacing w:after="0" w:line="440" w:lineRule="atLeast"/>
        <w:ind w:left="1134" w:hanging="1134"/>
        <w:jc w:val="both"/>
        <w:rPr>
          <w:rFonts w:eastAsia="Times New Roman" w:cstheme="minorHAnsi"/>
          <w:color w:val="000000"/>
          <w:rtl/>
        </w:rPr>
      </w:pPr>
      <w:r w:rsidRPr="001B09DD">
        <w:rPr>
          <w:rFonts w:eastAsia="Times New Roman" w:cstheme="minorHAnsi"/>
          <w:color w:val="000000"/>
          <w:sz w:val="14"/>
          <w:szCs w:val="14"/>
          <w:rtl/>
        </w:rPr>
        <w:t>                 </w:t>
      </w:r>
      <w:r w:rsidRPr="001B09DD">
        <w:rPr>
          <w:rFonts w:eastAsia="Times New Roman" w:cstheme="minorHAnsi"/>
          <w:color w:val="000000"/>
          <w:sz w:val="26"/>
          <w:szCs w:val="26"/>
          <w:rtl/>
        </w:rPr>
        <w:t>ז.</w:t>
      </w:r>
      <w:r w:rsidRPr="001B09DD">
        <w:rPr>
          <w:rFonts w:eastAsia="Times New Roman" w:cstheme="minorHAnsi"/>
          <w:color w:val="000000"/>
          <w:sz w:val="14"/>
          <w:szCs w:val="14"/>
          <w:rtl/>
        </w:rPr>
        <w:t>   </w:t>
      </w:r>
      <w:r w:rsidRPr="001B09DD">
        <w:rPr>
          <w:rFonts w:eastAsia="Times New Roman" w:cstheme="minorHAnsi"/>
          <w:color w:val="000000"/>
          <w:sz w:val="26"/>
          <w:szCs w:val="26"/>
          <w:rtl/>
        </w:rPr>
        <w:t>גם </w:t>
      </w:r>
      <w:r w:rsidRPr="001B09DD">
        <w:rPr>
          <w:rFonts w:eastAsia="Times New Roman" w:cstheme="minorHAnsi"/>
          <w:color w:val="000000"/>
          <w:sz w:val="26"/>
          <w:szCs w:val="26"/>
          <w:shd w:val="clear" w:color="auto" w:fill="FFFF66"/>
          <w:rtl/>
        </w:rPr>
        <w:t>תמרור</w:t>
      </w:r>
      <w:r w:rsidRPr="001B09DD">
        <w:rPr>
          <w:rFonts w:eastAsia="Times New Roman" w:cstheme="minorHAnsi"/>
          <w:color w:val="000000"/>
          <w:sz w:val="26"/>
          <w:szCs w:val="26"/>
          <w:rtl/>
        </w:rPr>
        <w:t> </w:t>
      </w:r>
      <w:r w:rsidR="001B09DD">
        <w:rPr>
          <w:rFonts w:eastAsia="Times New Roman" w:cstheme="minorHAnsi" w:hint="cs"/>
          <w:color w:val="000000"/>
          <w:sz w:val="26"/>
          <w:szCs w:val="26"/>
          <w:shd w:val="clear" w:color="auto" w:fill="FFFF66"/>
          <w:rtl/>
        </w:rPr>
        <w:t xml:space="preserve">אדום לבן </w:t>
      </w:r>
      <w:r w:rsidRPr="001B09DD">
        <w:rPr>
          <w:rFonts w:eastAsia="Times New Roman" w:cstheme="minorHAnsi"/>
          <w:color w:val="000000"/>
          <w:sz w:val="26"/>
          <w:szCs w:val="26"/>
          <w:rtl/>
        </w:rPr>
        <w:t>המסומן בקרבת מקום על שפת אותה מדרכה עצמה מחליש את תוקף האישום. במקרים כגון דא, מכלל לאו אתה למד הן. אם רשות התמרור סברה שיש לאסור מפורשות, בתמרור, את החניה במקום סמוך ביותר, הרי שאם לא עשתה כן בנקודת חנייתו של הנאשם, יש ללמוד כי באותה נקודה אין איסור על החניה</w:t>
      </w:r>
    </w:p>
    <w:p w:rsidR="00FE6701" w:rsidRPr="00172244" w:rsidRDefault="00FE6701" w:rsidP="00FE6701">
      <w:pPr>
        <w:shd w:val="clear" w:color="auto" w:fill="FFFFFF"/>
        <w:spacing w:after="0" w:line="480" w:lineRule="atLeast"/>
        <w:jc w:val="both"/>
        <w:rPr>
          <w:rFonts w:ascii="Arial (W1)" w:eastAsia="Times New Roman" w:hAnsi="Arial (W1)" w:cs="Times New Roman"/>
          <w:color w:val="000000"/>
          <w:sz w:val="27"/>
          <w:szCs w:val="27"/>
          <w:rtl/>
        </w:rPr>
      </w:pPr>
      <w:r w:rsidRPr="00172244">
        <w:rPr>
          <w:rFonts w:ascii="David" w:eastAsia="Times New Roman" w:hAnsi="David" w:cs="David"/>
          <w:b/>
          <w:bCs/>
          <w:color w:val="000000"/>
          <w:sz w:val="26"/>
          <w:szCs w:val="26"/>
          <w:rtl/>
        </w:rPr>
        <w:t> </w:t>
      </w:r>
    </w:p>
    <w:p w:rsidR="001C3BDE" w:rsidRDefault="001C3BDE" w:rsidP="001C3BDE">
      <w:pPr>
        <w:rPr>
          <w:sz w:val="48"/>
          <w:szCs w:val="48"/>
          <w:rtl/>
        </w:rPr>
      </w:pPr>
      <w:r w:rsidRPr="00211298">
        <w:rPr>
          <w:rFonts w:hint="cs"/>
          <w:sz w:val="48"/>
          <w:szCs w:val="48"/>
          <w:highlight w:val="yellow"/>
          <w:rtl/>
        </w:rPr>
        <w:t xml:space="preserve">דוח הפרעה לתנועה </w:t>
      </w:r>
      <w:proofErr w:type="spellStart"/>
      <w:r w:rsidRPr="00211298">
        <w:rPr>
          <w:rFonts w:hint="cs"/>
          <w:sz w:val="48"/>
          <w:szCs w:val="48"/>
          <w:highlight w:val="yellow"/>
          <w:rtl/>
        </w:rPr>
        <w:t>הנבעה</w:t>
      </w:r>
      <w:proofErr w:type="spellEnd"/>
      <w:r w:rsidRPr="00211298">
        <w:rPr>
          <w:rFonts w:hint="cs"/>
          <w:sz w:val="48"/>
          <w:szCs w:val="48"/>
          <w:highlight w:val="yellow"/>
          <w:rtl/>
        </w:rPr>
        <w:t xml:space="preserve"> בעיקר בגין רכבים אחרים</w:t>
      </w:r>
    </w:p>
    <w:p w:rsidR="001C3BDE" w:rsidRDefault="001C3BDE" w:rsidP="001C3BDE">
      <w:pPr>
        <w:rPr>
          <w:sz w:val="48"/>
          <w:szCs w:val="48"/>
          <w:rtl/>
        </w:rPr>
      </w:pPr>
    </w:p>
    <w:p w:rsidR="001C3BDE" w:rsidRPr="001C3BDE" w:rsidRDefault="001C3BDE" w:rsidP="001C3BDE">
      <w:pPr>
        <w:rPr>
          <w:sz w:val="32"/>
          <w:szCs w:val="32"/>
          <w:rtl/>
        </w:rPr>
      </w:pPr>
    </w:p>
    <w:p w:rsidR="001C3BDE" w:rsidRPr="001C3BDE" w:rsidRDefault="001C3BDE" w:rsidP="001C3BDE">
      <w:pPr>
        <w:rPr>
          <w:sz w:val="32"/>
          <w:szCs w:val="32"/>
          <w:highlight w:val="darkGreen"/>
          <w:rtl/>
        </w:rPr>
      </w:pPr>
      <w:r w:rsidRPr="001C3BDE">
        <w:rPr>
          <w:rFonts w:hint="cs"/>
          <w:sz w:val="32"/>
          <w:szCs w:val="32"/>
          <w:highlight w:val="darkGreen"/>
          <w:rtl/>
        </w:rPr>
        <w:t xml:space="preserve">בית משפט השלום לתעבורה בתל אביב </w:t>
      </w:r>
    </w:p>
    <w:p w:rsidR="001C3BDE" w:rsidRPr="001C3BDE" w:rsidRDefault="001C3BDE" w:rsidP="001C3BDE">
      <w:pPr>
        <w:rPr>
          <w:sz w:val="32"/>
          <w:szCs w:val="32"/>
          <w:highlight w:val="darkGreen"/>
          <w:rtl/>
        </w:rPr>
      </w:pPr>
      <w:r w:rsidRPr="001C3BDE">
        <w:rPr>
          <w:rFonts w:hint="cs"/>
          <w:sz w:val="32"/>
          <w:szCs w:val="32"/>
          <w:highlight w:val="darkGreen"/>
          <w:rtl/>
        </w:rPr>
        <w:t>תת"ע 5798-08-17 מדינת ישראל נ" טל קינג</w:t>
      </w:r>
    </w:p>
    <w:p w:rsidR="001C3BDE" w:rsidRDefault="001C3BDE" w:rsidP="001C3BDE">
      <w:pPr>
        <w:rPr>
          <w:sz w:val="32"/>
          <w:szCs w:val="32"/>
          <w:rtl/>
        </w:rPr>
      </w:pPr>
      <w:r w:rsidRPr="001C3BDE">
        <w:rPr>
          <w:rFonts w:hint="cs"/>
          <w:sz w:val="32"/>
          <w:szCs w:val="32"/>
          <w:highlight w:val="darkGreen"/>
          <w:rtl/>
        </w:rPr>
        <w:t>לפני כבוד השופט טל סעדון 29 בינואר 2018</w:t>
      </w:r>
      <w:r>
        <w:rPr>
          <w:rFonts w:hint="cs"/>
          <w:sz w:val="32"/>
          <w:szCs w:val="32"/>
          <w:rtl/>
        </w:rPr>
        <w:t xml:space="preserve"> </w:t>
      </w:r>
    </w:p>
    <w:p w:rsidR="001C3BDE" w:rsidRPr="001C3BDE" w:rsidRDefault="001C3BDE" w:rsidP="001C3BDE">
      <w:pPr>
        <w:rPr>
          <w:sz w:val="32"/>
          <w:szCs w:val="32"/>
        </w:rPr>
      </w:pPr>
    </w:p>
    <w:p w:rsidR="001C3BDE" w:rsidRPr="001C3BDE" w:rsidRDefault="001C3BDE" w:rsidP="001C3BDE">
      <w:pPr>
        <w:shd w:val="clear" w:color="auto" w:fill="FFFFFF"/>
        <w:spacing w:after="0" w:line="360" w:lineRule="atLeast"/>
        <w:ind w:left="720" w:hanging="720"/>
        <w:jc w:val="both"/>
        <w:rPr>
          <w:rFonts w:ascii="Arial (W1)" w:eastAsia="Times New Roman" w:hAnsi="Arial (W1)" w:cs="Times New Roman"/>
          <w:color w:val="000000"/>
          <w:sz w:val="29"/>
          <w:szCs w:val="28"/>
          <w:rtl/>
        </w:rPr>
      </w:pPr>
    </w:p>
    <w:p w:rsidR="001C3BDE" w:rsidRPr="001C3BDE" w:rsidRDefault="001C3BDE" w:rsidP="001C3BDE">
      <w:pPr>
        <w:shd w:val="clear" w:color="auto" w:fill="FFFFFF"/>
        <w:spacing w:after="0" w:line="360" w:lineRule="atLeast"/>
        <w:jc w:val="both"/>
        <w:rPr>
          <w:rFonts w:ascii="Arial (W1)" w:eastAsia="Times New Roman" w:hAnsi="Arial (W1)" w:cs="Times New Roman"/>
          <w:color w:val="000000"/>
          <w:sz w:val="40"/>
          <w:szCs w:val="40"/>
          <w:rtl/>
        </w:rPr>
      </w:pPr>
      <w:r w:rsidRPr="001C3BDE">
        <w:rPr>
          <w:rFonts w:ascii="David" w:eastAsia="Times New Roman" w:hAnsi="David" w:cs="David" w:hint="cs"/>
          <w:b/>
          <w:bCs/>
          <w:color w:val="000000"/>
          <w:sz w:val="40"/>
          <w:szCs w:val="40"/>
          <w:highlight w:val="darkGreen"/>
          <w:u w:val="single"/>
          <w:rtl/>
        </w:rPr>
        <w:t>דברי השופט</w:t>
      </w:r>
      <w:r w:rsidRPr="001C3BDE">
        <w:rPr>
          <w:rFonts w:ascii="David" w:eastAsia="Times New Roman" w:hAnsi="David" w:cs="David" w:hint="cs"/>
          <w:b/>
          <w:bCs/>
          <w:color w:val="000000"/>
          <w:sz w:val="40"/>
          <w:szCs w:val="40"/>
          <w:u w:val="single"/>
          <w:rtl/>
        </w:rPr>
        <w:t xml:space="preserve"> </w:t>
      </w:r>
    </w:p>
    <w:p w:rsidR="001C3BDE" w:rsidRDefault="001C3BDE" w:rsidP="001C3BDE">
      <w:pPr>
        <w:shd w:val="clear" w:color="auto" w:fill="FFFFFF"/>
        <w:spacing w:after="0" w:line="360" w:lineRule="atLeast"/>
        <w:jc w:val="both"/>
        <w:rPr>
          <w:rFonts w:ascii="Arial (W1)" w:eastAsia="Times New Roman" w:hAnsi="Arial (W1)" w:cs="Times New Roman"/>
          <w:color w:val="000000"/>
          <w:sz w:val="29"/>
          <w:szCs w:val="28"/>
          <w:rtl/>
        </w:rPr>
      </w:pPr>
      <w:r w:rsidRPr="001C3BDE">
        <w:rPr>
          <w:rFonts w:ascii="David" w:eastAsia="Times New Roman" w:hAnsi="David" w:cs="David"/>
          <w:color w:val="000000"/>
          <w:sz w:val="28"/>
          <w:szCs w:val="28"/>
          <w:rtl/>
        </w:rPr>
        <w:t>      אילו היה מוכח כי הנאשם החנה את רכבו במקום שיצר  </w:t>
      </w:r>
      <w:r w:rsidRPr="001C3BDE">
        <w:rPr>
          <w:rFonts w:ascii="David" w:eastAsia="Times New Roman" w:hAnsi="David" w:cs="David"/>
          <w:b/>
          <w:bCs/>
          <w:color w:val="000000"/>
          <w:sz w:val="28"/>
          <w:szCs w:val="28"/>
          <w:rtl/>
        </w:rPr>
        <w:t>כשלעצמו</w:t>
      </w:r>
      <w:r w:rsidRPr="001C3BDE">
        <w:rPr>
          <w:rFonts w:ascii="David" w:eastAsia="Times New Roman" w:hAnsi="David" w:cs="David"/>
          <w:color w:val="000000"/>
          <w:sz w:val="28"/>
          <w:szCs w:val="28"/>
          <w:rtl/>
        </w:rPr>
        <w:t> הפרעה לזרימת התנועה היה מקום להרשיעו ללא היסוס בעבירה המיוחסת ל</w:t>
      </w:r>
      <w:r>
        <w:rPr>
          <w:rFonts w:ascii="David" w:eastAsia="Times New Roman" w:hAnsi="David" w:cs="David"/>
          <w:color w:val="000000"/>
          <w:sz w:val="28"/>
          <w:szCs w:val="28"/>
          <w:rtl/>
        </w:rPr>
        <w:t xml:space="preserve">ו.  בפועל לא זה מה שהוכח. הוכח </w:t>
      </w:r>
      <w:r w:rsidRPr="001C3BDE">
        <w:rPr>
          <w:rFonts w:ascii="David" w:eastAsia="Times New Roman" w:hAnsi="David" w:cs="David"/>
          <w:color w:val="000000"/>
          <w:sz w:val="28"/>
          <w:szCs w:val="28"/>
          <w:rtl/>
        </w:rPr>
        <w:t>כי בנתיב השמאלי של הדרך חנו שורת כלי רכב. העדה לא זכרה אם כלי רכב אלה חנו לצד אבני שפה </w:t>
      </w:r>
      <w:r w:rsidRPr="001C3BDE">
        <w:rPr>
          <w:rFonts w:ascii="David" w:eastAsia="Times New Roman" w:hAnsi="David" w:cs="David"/>
          <w:color w:val="000000"/>
          <w:sz w:val="28"/>
          <w:szCs w:val="28"/>
          <w:highlight w:val="green"/>
          <w:shd w:val="clear" w:color="auto" w:fill="FFFF66"/>
          <w:rtl/>
        </w:rPr>
        <w:t>אדום</w:t>
      </w:r>
      <w:r w:rsidRPr="001C3BDE">
        <w:rPr>
          <w:rFonts w:ascii="David" w:eastAsia="Times New Roman" w:hAnsi="David" w:cs="David"/>
          <w:color w:val="000000"/>
          <w:sz w:val="28"/>
          <w:szCs w:val="28"/>
          <w:highlight w:val="green"/>
          <w:rtl/>
        </w:rPr>
        <w:t> </w:t>
      </w:r>
      <w:r w:rsidRPr="001C3BDE">
        <w:rPr>
          <w:rFonts w:ascii="David" w:eastAsia="Times New Roman" w:hAnsi="David" w:cs="David"/>
          <w:color w:val="000000"/>
          <w:sz w:val="28"/>
          <w:szCs w:val="28"/>
          <w:highlight w:val="green"/>
          <w:shd w:val="clear" w:color="auto" w:fill="FFFF66"/>
          <w:rtl/>
        </w:rPr>
        <w:t>לבן</w:t>
      </w:r>
      <w:r w:rsidRPr="001C3BDE">
        <w:rPr>
          <w:rFonts w:ascii="David" w:eastAsia="Times New Roman" w:hAnsi="David" w:cs="David"/>
          <w:color w:val="000000"/>
          <w:sz w:val="28"/>
          <w:szCs w:val="28"/>
          <w:highlight w:val="green"/>
          <w:rtl/>
        </w:rPr>
        <w:t>,</w:t>
      </w:r>
      <w:r w:rsidRPr="001C3BDE">
        <w:rPr>
          <w:rFonts w:ascii="David" w:eastAsia="Times New Roman" w:hAnsi="David" w:cs="David"/>
          <w:color w:val="000000"/>
          <w:sz w:val="28"/>
          <w:szCs w:val="28"/>
          <w:rtl/>
        </w:rPr>
        <w:t xml:space="preserve"> אם כי מתמונות שהציג הנאשם עולה כי כך הוא. במלים אחרות, הוכח כי כלי הרכב  שחנו בנתיב הנגדי לנתיב בו חנה הנאשם עש</w:t>
      </w:r>
      <w:r>
        <w:rPr>
          <w:rFonts w:ascii="David" w:eastAsia="Times New Roman" w:hAnsi="David" w:cs="David"/>
          <w:color w:val="000000"/>
          <w:sz w:val="28"/>
          <w:szCs w:val="28"/>
          <w:rtl/>
        </w:rPr>
        <w:t xml:space="preserve">ו כן שלא כדין שכן אבני שפה אלה </w:t>
      </w:r>
      <w:r w:rsidRPr="001C3BDE">
        <w:rPr>
          <w:rFonts w:ascii="David" w:eastAsia="Times New Roman" w:hAnsi="David" w:cs="David"/>
          <w:color w:val="000000"/>
          <w:sz w:val="28"/>
          <w:szCs w:val="28"/>
          <w:rtl/>
        </w:rPr>
        <w:t>או</w:t>
      </w:r>
      <w:r>
        <w:rPr>
          <w:rFonts w:ascii="David" w:eastAsia="Times New Roman" w:hAnsi="David" w:cs="David"/>
          <w:color w:val="000000"/>
          <w:sz w:val="28"/>
          <w:szCs w:val="28"/>
          <w:rtl/>
        </w:rPr>
        <w:t xml:space="preserve">סרות, ככלל,  עצירה או חנייה. </w:t>
      </w:r>
      <w:r>
        <w:rPr>
          <w:rFonts w:ascii="David" w:eastAsia="Times New Roman" w:hAnsi="David" w:cs="David" w:hint="cs"/>
          <w:color w:val="000000"/>
          <w:sz w:val="28"/>
          <w:szCs w:val="28"/>
          <w:rtl/>
        </w:rPr>
        <w:t xml:space="preserve">כמו כן עולה מהתמונה המצורפת </w:t>
      </w:r>
      <w:r w:rsidRPr="001C3BDE">
        <w:rPr>
          <w:rFonts w:ascii="David" w:eastAsia="Times New Roman" w:hAnsi="David" w:cs="David"/>
          <w:color w:val="000000"/>
          <w:sz w:val="28"/>
          <w:szCs w:val="28"/>
          <w:rtl/>
        </w:rPr>
        <w:t xml:space="preserve">כי מה שהפריע לזרימה חופשית של </w:t>
      </w:r>
      <w:r>
        <w:rPr>
          <w:rFonts w:ascii="David" w:eastAsia="Times New Roman" w:hAnsi="David" w:cs="David"/>
          <w:color w:val="000000"/>
          <w:sz w:val="28"/>
          <w:szCs w:val="28"/>
          <w:rtl/>
        </w:rPr>
        <w:t xml:space="preserve">התנועה לא הייתה העובדה </w:t>
      </w:r>
      <w:r w:rsidRPr="001C3BDE">
        <w:rPr>
          <w:rFonts w:ascii="David" w:eastAsia="Times New Roman" w:hAnsi="David" w:cs="David"/>
          <w:color w:val="000000"/>
          <w:sz w:val="28"/>
          <w:szCs w:val="28"/>
          <w:rtl/>
        </w:rPr>
        <w:t>שהנאשם חנה היכן שחנה אלא גם העובדה שבנתיב האחר חנו גם כלי רכב, כאמור  שלא כדין, מה שהצר את רוחב הנתיב הפנוי והקשה על תנועה חופשית של כלי רכב.</w:t>
      </w:r>
      <w:r>
        <w:rPr>
          <w:rFonts w:ascii="Arial (W1)" w:eastAsia="Times New Roman" w:hAnsi="Arial (W1)" w:cs="Times New Roman" w:hint="cs"/>
          <w:color w:val="000000"/>
          <w:sz w:val="29"/>
          <w:szCs w:val="28"/>
          <w:rtl/>
        </w:rPr>
        <w:t>...</w:t>
      </w:r>
    </w:p>
    <w:p w:rsidR="001C3BDE" w:rsidRDefault="001C3BDE" w:rsidP="001C3BDE">
      <w:pPr>
        <w:shd w:val="clear" w:color="auto" w:fill="FFFFFF"/>
        <w:spacing w:after="0" w:line="360" w:lineRule="atLeast"/>
        <w:jc w:val="both"/>
        <w:rPr>
          <w:rFonts w:ascii="David" w:eastAsia="Times New Roman" w:hAnsi="David" w:cs="David"/>
          <w:color w:val="000000"/>
          <w:sz w:val="28"/>
          <w:szCs w:val="28"/>
          <w:rtl/>
        </w:rPr>
      </w:pPr>
      <w:r>
        <w:rPr>
          <w:rFonts w:ascii="David" w:eastAsia="Times New Roman" w:hAnsi="David" w:cs="David"/>
          <w:color w:val="000000"/>
          <w:sz w:val="28"/>
          <w:szCs w:val="28"/>
          <w:rtl/>
        </w:rPr>
        <w:t>      </w:t>
      </w:r>
      <w:r w:rsidRPr="001C3BDE">
        <w:rPr>
          <w:rFonts w:ascii="David" w:eastAsia="Times New Roman" w:hAnsi="David" w:cs="David"/>
          <w:color w:val="000000"/>
          <w:sz w:val="28"/>
          <w:szCs w:val="28"/>
          <w:rtl/>
        </w:rPr>
        <w:t xml:space="preserve"> </w:t>
      </w:r>
      <w:r w:rsidRPr="001C3BDE">
        <w:rPr>
          <w:rFonts w:ascii="David" w:eastAsia="Times New Roman" w:hAnsi="David" w:cs="David" w:hint="cs"/>
          <w:color w:val="000000"/>
          <w:sz w:val="28"/>
          <w:szCs w:val="28"/>
          <w:highlight w:val="green"/>
          <w:rtl/>
        </w:rPr>
        <w:t>כמו כן</w:t>
      </w:r>
      <w:r>
        <w:rPr>
          <w:rFonts w:ascii="David" w:eastAsia="Times New Roman" w:hAnsi="David" w:cs="David" w:hint="cs"/>
          <w:color w:val="000000"/>
          <w:sz w:val="28"/>
          <w:szCs w:val="28"/>
          <w:rtl/>
        </w:rPr>
        <w:t xml:space="preserve"> </w:t>
      </w:r>
    </w:p>
    <w:p w:rsidR="001C3BDE" w:rsidRDefault="001C3BDE" w:rsidP="001C3BDE">
      <w:pPr>
        <w:shd w:val="clear" w:color="auto" w:fill="FFFFFF"/>
        <w:spacing w:after="0" w:line="360" w:lineRule="atLeast"/>
        <w:jc w:val="both"/>
        <w:rPr>
          <w:rFonts w:ascii="Arial (W1)" w:eastAsia="Times New Roman" w:hAnsi="Arial (W1)" w:cs="Times New Roman"/>
          <w:color w:val="000000"/>
          <w:sz w:val="29"/>
          <w:szCs w:val="28"/>
          <w:rtl/>
        </w:rPr>
      </w:pPr>
      <w:r w:rsidRPr="001C3BDE">
        <w:rPr>
          <w:rFonts w:ascii="David" w:eastAsia="Times New Roman" w:hAnsi="David" w:cs="David"/>
          <w:color w:val="000000"/>
          <w:sz w:val="28"/>
          <w:szCs w:val="28"/>
          <w:rtl/>
        </w:rPr>
        <w:t xml:space="preserve">עדת התביעה בהגינותה לא שללה את האפשרות כי מה שהפריע למעשה לזרימת התנועה לא הייתה העובדה שהנאשם בחר לחנות היכן שחנה אלא שילוב הגורמים של </w:t>
      </w:r>
      <w:r w:rsidRPr="001C3BDE">
        <w:rPr>
          <w:rFonts w:ascii="David" w:eastAsia="Times New Roman" w:hAnsi="David" w:cs="David"/>
          <w:color w:val="000000"/>
          <w:sz w:val="28"/>
          <w:szCs w:val="28"/>
          <w:rtl/>
        </w:rPr>
        <w:lastRenderedPageBreak/>
        <w:t>מקום חניית הנאשם עם חניית כלי הרכב בצדה האחר של הדרך, שלא כדין ובניגוד </w:t>
      </w:r>
      <w:r w:rsidRPr="001C3BDE">
        <w:rPr>
          <w:rFonts w:ascii="David" w:eastAsia="Times New Roman" w:hAnsi="David" w:cs="David"/>
          <w:color w:val="000000"/>
          <w:sz w:val="28"/>
          <w:szCs w:val="28"/>
          <w:shd w:val="clear" w:color="auto" w:fill="FFFF66"/>
          <w:rtl/>
        </w:rPr>
        <w:t>לתמרור</w:t>
      </w:r>
      <w:r w:rsidRPr="001C3BDE">
        <w:rPr>
          <w:rFonts w:ascii="David" w:eastAsia="Times New Roman" w:hAnsi="David" w:cs="David"/>
          <w:color w:val="000000"/>
          <w:sz w:val="28"/>
          <w:szCs w:val="28"/>
          <w:rtl/>
        </w:rPr>
        <w:t> </w:t>
      </w:r>
      <w:r w:rsidRPr="001C3BDE">
        <w:rPr>
          <w:rFonts w:ascii="David" w:eastAsia="Times New Roman" w:hAnsi="David" w:cs="David"/>
          <w:color w:val="000000"/>
          <w:sz w:val="28"/>
          <w:szCs w:val="28"/>
          <w:shd w:val="clear" w:color="auto" w:fill="FFFF66"/>
          <w:rtl/>
        </w:rPr>
        <w:t>818</w:t>
      </w:r>
      <w:r w:rsidRPr="001C3BDE">
        <w:rPr>
          <w:rFonts w:ascii="David" w:eastAsia="Times New Roman" w:hAnsi="David" w:cs="David"/>
          <w:color w:val="000000"/>
          <w:sz w:val="28"/>
          <w:szCs w:val="28"/>
          <w:rtl/>
        </w:rPr>
        <w:t>. כיוון שכך,  מתקשה אני לקבל הנחה לפיה ראוי היה להאשים רק את הנאשם בעבירה בה הואשם בשעה שהוכח כי שורת כלי הרכב שחנו, לכאורה שלא כדין, בנתיב הנגדי לנתיב בו חנה הנאשם, תרמו באופן מהותי להצרת רוחב הדרך ולהפרעה לזרימת התנועה. זאת, יודגש, בשעה שלא הוכח כלל כי הנאשם חנה במקום אסור או מקום בו החנייה מוגבלת. בנסיבות אלה הבחירה בנאשם כאחראי בלעדי לגרימת העבירה יוצרת אי נוחות ופגיעה בתחושת הצדק. היא לוקה בשרירות מסוימת ובהיעדר רציונל ברור. יתר על כן, מכיוון שלא הוכח כי מעשה או מחדל של הנאשם הוא שגרם, באופן עצמאי ובלתי תלוי, להפרעה לזרם התנועה קיים</w:t>
      </w:r>
    </w:p>
    <w:p w:rsidR="001C3BDE" w:rsidRDefault="001C3BDE" w:rsidP="001C3BDE">
      <w:pPr>
        <w:shd w:val="clear" w:color="auto" w:fill="FFFFFF"/>
        <w:spacing w:after="0" w:line="360" w:lineRule="atLeast"/>
        <w:ind w:left="720" w:hanging="720"/>
        <w:jc w:val="both"/>
        <w:rPr>
          <w:rFonts w:ascii="Arial (W1)" w:eastAsia="Times New Roman" w:hAnsi="Arial (W1)" w:cs="Times New Roman"/>
          <w:color w:val="000000"/>
          <w:sz w:val="29"/>
          <w:szCs w:val="28"/>
          <w:rtl/>
        </w:rPr>
      </w:pPr>
    </w:p>
    <w:p w:rsidR="001C3BDE" w:rsidRPr="001C3BDE" w:rsidRDefault="001C3BDE" w:rsidP="001C3BDE">
      <w:pPr>
        <w:shd w:val="clear" w:color="auto" w:fill="FFFFFF"/>
        <w:spacing w:after="0" w:line="360" w:lineRule="atLeast"/>
        <w:ind w:left="720" w:hanging="720"/>
        <w:jc w:val="both"/>
        <w:rPr>
          <w:rFonts w:ascii="Arial (W1)" w:eastAsia="Times New Roman" w:hAnsi="Arial (W1)" w:cs="Times New Roman"/>
          <w:color w:val="000000"/>
          <w:sz w:val="29"/>
          <w:szCs w:val="28"/>
          <w:rtl/>
        </w:rPr>
      </w:pPr>
      <w:r w:rsidRPr="001C3BDE">
        <w:rPr>
          <w:rFonts w:ascii="Arial (W1)" w:eastAsia="Times New Roman" w:hAnsi="Arial (W1)" w:cs="Times New Roman" w:hint="cs"/>
          <w:color w:val="000000"/>
          <w:sz w:val="29"/>
          <w:szCs w:val="28"/>
          <w:highlight w:val="darkGreen"/>
          <w:rtl/>
        </w:rPr>
        <w:t>אי לכך נפסק לזיכוי מחמת הספק</w:t>
      </w:r>
    </w:p>
    <w:p w:rsidR="00FE6701" w:rsidRDefault="00FE6701" w:rsidP="00FE6701">
      <w:pPr>
        <w:spacing w:after="0" w:line="360" w:lineRule="atLeast"/>
        <w:jc w:val="both"/>
        <w:rPr>
          <w:sz w:val="36"/>
          <w:szCs w:val="36"/>
          <w:rtl/>
        </w:rPr>
      </w:pPr>
    </w:p>
    <w:p w:rsidR="000B63E3" w:rsidRDefault="000B63E3" w:rsidP="00FE6701">
      <w:pPr>
        <w:spacing w:after="0" w:line="360" w:lineRule="atLeast"/>
        <w:jc w:val="both"/>
        <w:rPr>
          <w:sz w:val="36"/>
          <w:szCs w:val="36"/>
          <w:rtl/>
        </w:rPr>
      </w:pPr>
    </w:p>
    <w:p w:rsidR="000B63E3" w:rsidRDefault="000B63E3" w:rsidP="000B63E3">
      <w:pPr>
        <w:spacing w:after="0" w:line="360" w:lineRule="atLeast"/>
        <w:jc w:val="both"/>
        <w:rPr>
          <w:sz w:val="36"/>
          <w:szCs w:val="36"/>
          <w:rtl/>
        </w:rPr>
      </w:pPr>
      <w:r w:rsidRPr="000B63E3">
        <w:rPr>
          <w:rFonts w:hint="cs"/>
          <w:sz w:val="36"/>
          <w:szCs w:val="36"/>
          <w:highlight w:val="darkGreen"/>
          <w:rtl/>
        </w:rPr>
        <w:t>חסימת נתיב בתוך יישוב</w:t>
      </w:r>
    </w:p>
    <w:p w:rsidR="000B63E3" w:rsidRDefault="000B63E3" w:rsidP="000B63E3">
      <w:pPr>
        <w:spacing w:after="0" w:line="360" w:lineRule="atLeast"/>
        <w:jc w:val="both"/>
        <w:rPr>
          <w:sz w:val="36"/>
          <w:szCs w:val="36"/>
          <w:rtl/>
        </w:rPr>
      </w:pPr>
    </w:p>
    <w:p w:rsidR="000B63E3" w:rsidRPr="000B63E3" w:rsidRDefault="000B63E3" w:rsidP="000B63E3">
      <w:pPr>
        <w:spacing w:after="0" w:line="360" w:lineRule="atLeast"/>
        <w:jc w:val="both"/>
        <w:rPr>
          <w:sz w:val="28"/>
          <w:szCs w:val="28"/>
          <w:highlight w:val="lightGray"/>
          <w:rtl/>
        </w:rPr>
      </w:pPr>
      <w:r w:rsidRPr="000B63E3">
        <w:rPr>
          <w:rFonts w:hint="cs"/>
          <w:sz w:val="28"/>
          <w:szCs w:val="28"/>
          <w:highlight w:val="lightGray"/>
          <w:rtl/>
        </w:rPr>
        <w:t xml:space="preserve">מבוסס על פי פס"ד תת"ע 3842-03-15 </w:t>
      </w:r>
    </w:p>
    <w:p w:rsidR="000B63E3" w:rsidRPr="000B63E3" w:rsidRDefault="000B63E3" w:rsidP="000B63E3">
      <w:pPr>
        <w:spacing w:after="0" w:line="360" w:lineRule="atLeast"/>
        <w:jc w:val="both"/>
        <w:rPr>
          <w:sz w:val="28"/>
          <w:szCs w:val="28"/>
          <w:highlight w:val="lightGray"/>
          <w:rtl/>
        </w:rPr>
      </w:pPr>
      <w:r w:rsidRPr="000B63E3">
        <w:rPr>
          <w:rFonts w:hint="cs"/>
          <w:sz w:val="28"/>
          <w:szCs w:val="28"/>
          <w:highlight w:val="lightGray"/>
          <w:rtl/>
        </w:rPr>
        <w:t xml:space="preserve">מדינת ישראל נגד טל חודורוב </w:t>
      </w:r>
    </w:p>
    <w:p w:rsidR="000B63E3" w:rsidRPr="000B63E3" w:rsidRDefault="000B63E3" w:rsidP="000B63E3">
      <w:pPr>
        <w:spacing w:after="0" w:line="360" w:lineRule="atLeast"/>
        <w:jc w:val="both"/>
        <w:rPr>
          <w:rFonts w:hint="cs"/>
          <w:sz w:val="28"/>
          <w:szCs w:val="28"/>
          <w:highlight w:val="lightGray"/>
          <w:rtl/>
        </w:rPr>
      </w:pPr>
      <w:r w:rsidRPr="000B63E3">
        <w:rPr>
          <w:rFonts w:hint="cs"/>
          <w:sz w:val="28"/>
          <w:szCs w:val="28"/>
          <w:highlight w:val="lightGray"/>
          <w:rtl/>
        </w:rPr>
        <w:t>ביהמ"ש השלום לתעבורה בעכו</w:t>
      </w:r>
    </w:p>
    <w:p w:rsidR="000B63E3" w:rsidRDefault="000B63E3" w:rsidP="000B63E3">
      <w:pPr>
        <w:spacing w:after="0" w:line="360" w:lineRule="atLeast"/>
        <w:jc w:val="both"/>
        <w:rPr>
          <w:sz w:val="28"/>
          <w:szCs w:val="28"/>
          <w:rtl/>
        </w:rPr>
      </w:pPr>
      <w:r w:rsidRPr="000B63E3">
        <w:rPr>
          <w:rFonts w:hint="cs"/>
          <w:sz w:val="28"/>
          <w:szCs w:val="28"/>
          <w:highlight w:val="lightGray"/>
          <w:rtl/>
        </w:rPr>
        <w:t>בפני כבוד השופטת אסתר טפטה גרדי</w:t>
      </w:r>
      <w:r w:rsidRPr="000B63E3">
        <w:rPr>
          <w:rFonts w:hint="cs"/>
          <w:sz w:val="28"/>
          <w:szCs w:val="28"/>
          <w:rtl/>
        </w:rPr>
        <w:t xml:space="preserve"> </w:t>
      </w:r>
    </w:p>
    <w:p w:rsidR="000B63E3" w:rsidRDefault="000B63E3" w:rsidP="000B63E3">
      <w:pPr>
        <w:spacing w:after="0" w:line="360" w:lineRule="atLeast"/>
        <w:jc w:val="both"/>
        <w:rPr>
          <w:sz w:val="28"/>
          <w:szCs w:val="28"/>
          <w:rtl/>
        </w:rPr>
      </w:pPr>
    </w:p>
    <w:p w:rsidR="000B63E3" w:rsidRDefault="000B63E3" w:rsidP="000B63E3">
      <w:pPr>
        <w:spacing w:after="0" w:line="360" w:lineRule="atLeast"/>
        <w:jc w:val="both"/>
        <w:rPr>
          <w:sz w:val="28"/>
          <w:szCs w:val="28"/>
          <w:rtl/>
        </w:rPr>
      </w:pPr>
      <w:r w:rsidRPr="000B63E3">
        <w:rPr>
          <w:rFonts w:hint="cs"/>
          <w:sz w:val="28"/>
          <w:szCs w:val="28"/>
          <w:highlight w:val="yellow"/>
          <w:rtl/>
        </w:rPr>
        <w:t>הנאשם הואשם בכך שהחנה את רכבו באופן שיש בו משום הפרעה לתנועה</w:t>
      </w:r>
      <w:r>
        <w:rPr>
          <w:rFonts w:hint="cs"/>
          <w:sz w:val="28"/>
          <w:szCs w:val="28"/>
          <w:rtl/>
        </w:rPr>
        <w:t xml:space="preserve"> </w:t>
      </w:r>
    </w:p>
    <w:p w:rsidR="000B63E3" w:rsidRDefault="000B63E3" w:rsidP="000B63E3">
      <w:pPr>
        <w:spacing w:after="0" w:line="360" w:lineRule="atLeast"/>
        <w:jc w:val="both"/>
        <w:rPr>
          <w:sz w:val="28"/>
          <w:szCs w:val="28"/>
          <w:rtl/>
        </w:rPr>
      </w:pPr>
    </w:p>
    <w:p w:rsidR="000B63E3" w:rsidRDefault="000B63E3" w:rsidP="000B63E3">
      <w:pPr>
        <w:spacing w:after="0" w:line="360" w:lineRule="atLeast"/>
        <w:jc w:val="both"/>
        <w:rPr>
          <w:sz w:val="28"/>
          <w:szCs w:val="28"/>
          <w:rtl/>
        </w:rPr>
      </w:pPr>
      <w:r w:rsidRPr="000B63E3">
        <w:rPr>
          <w:rFonts w:hint="cs"/>
          <w:sz w:val="28"/>
          <w:szCs w:val="28"/>
          <w:highlight w:val="yellow"/>
          <w:rtl/>
        </w:rPr>
        <w:t>נפסק לזיכוי</w:t>
      </w:r>
    </w:p>
    <w:p w:rsidR="000B63E3" w:rsidRDefault="000B63E3" w:rsidP="000B63E3">
      <w:pPr>
        <w:spacing w:after="0" w:line="360" w:lineRule="atLeast"/>
        <w:jc w:val="both"/>
        <w:rPr>
          <w:sz w:val="28"/>
          <w:szCs w:val="28"/>
          <w:rtl/>
        </w:rPr>
      </w:pPr>
      <w:r>
        <w:rPr>
          <w:rFonts w:hint="cs"/>
          <w:sz w:val="28"/>
          <w:szCs w:val="28"/>
          <w:rtl/>
        </w:rPr>
        <w:t xml:space="preserve"> עקב כך שתמרור האיסור עצירה שהיה במקום המסומן בצביעת אבני שפה אדום לבן על המדרכה אינו חוקי עקב כך שלא עבר אישור על ידי המפקח על התעבורה ורשות תמרור המרכזית חיפה ואינו מופיע בתכנית </w:t>
      </w:r>
      <w:proofErr w:type="spellStart"/>
      <w:r>
        <w:rPr>
          <w:rFonts w:hint="cs"/>
          <w:sz w:val="28"/>
          <w:szCs w:val="28"/>
          <w:rtl/>
        </w:rPr>
        <w:t>התימרור</w:t>
      </w:r>
      <w:proofErr w:type="spellEnd"/>
      <w:r>
        <w:rPr>
          <w:rFonts w:hint="cs"/>
          <w:sz w:val="28"/>
          <w:szCs w:val="28"/>
          <w:rtl/>
        </w:rPr>
        <w:t xml:space="preserve"> ביישוב </w:t>
      </w:r>
    </w:p>
    <w:p w:rsidR="000B63E3" w:rsidRDefault="000B63E3" w:rsidP="000B63E3">
      <w:pPr>
        <w:spacing w:after="0" w:line="360" w:lineRule="atLeast"/>
        <w:jc w:val="both"/>
        <w:rPr>
          <w:rFonts w:hint="cs"/>
          <w:sz w:val="28"/>
          <w:szCs w:val="28"/>
          <w:rtl/>
        </w:rPr>
      </w:pPr>
    </w:p>
    <w:p w:rsidR="000B63E3" w:rsidRDefault="000B63E3" w:rsidP="000B63E3">
      <w:pPr>
        <w:spacing w:line="360" w:lineRule="atLeast"/>
        <w:jc w:val="both"/>
        <w:rPr>
          <w:rFonts w:ascii="David" w:eastAsia="Times New Roman" w:hAnsi="David" w:cs="David" w:hint="cs"/>
          <w:color w:val="000000"/>
          <w:sz w:val="24"/>
          <w:szCs w:val="24"/>
          <w:rtl/>
        </w:rPr>
      </w:pPr>
      <w:r w:rsidRPr="000B63E3">
        <w:rPr>
          <w:rFonts w:ascii="David" w:eastAsia="Times New Roman" w:hAnsi="David" w:cs="David" w:hint="cs"/>
          <w:color w:val="000000"/>
          <w:sz w:val="24"/>
          <w:szCs w:val="24"/>
          <w:highlight w:val="red"/>
          <w:rtl/>
        </w:rPr>
        <w:t>בעניין ההפרעה לתנועה טען הנאשם</w:t>
      </w:r>
      <w:r>
        <w:rPr>
          <w:rFonts w:ascii="David" w:eastAsia="Times New Roman" w:hAnsi="David" w:cs="David" w:hint="cs"/>
          <w:color w:val="000000"/>
          <w:sz w:val="24"/>
          <w:szCs w:val="24"/>
          <w:rtl/>
        </w:rPr>
        <w:t xml:space="preserve"> </w:t>
      </w:r>
    </w:p>
    <w:p w:rsidR="000B63E3" w:rsidRPr="000B63E3" w:rsidRDefault="000B63E3" w:rsidP="000B63E3">
      <w:pPr>
        <w:spacing w:line="360" w:lineRule="atLeast"/>
        <w:jc w:val="both"/>
        <w:rPr>
          <w:rFonts w:asciiTheme="minorBidi" w:eastAsia="Times New Roman" w:hAnsiTheme="minorBidi"/>
          <w:color w:val="000000"/>
          <w:sz w:val="28"/>
          <w:szCs w:val="28"/>
          <w:rtl/>
        </w:rPr>
      </w:pPr>
      <w:r w:rsidRPr="000B63E3">
        <w:rPr>
          <w:rFonts w:asciiTheme="minorBidi" w:eastAsia="Times New Roman" w:hAnsiTheme="minorBidi"/>
          <w:color w:val="000000"/>
          <w:sz w:val="28"/>
          <w:szCs w:val="28"/>
          <w:rtl/>
        </w:rPr>
        <w:t>"בישוב כפיר ברגע שיש כביש מעבר שמאפשר עמידה, קיים גם בערים, שיש מעבר מספיק יתכן וניתן בהתאם עדיין בתחום החוק לחסום נתיב אחד. זה לא דבר בלתי אפשרי. בישובים כפריים אני רואה את זה כל יום בהרבה מקומות. קשה להאמין שכל התושבים במקום מסוים עוברים על הח</w:t>
      </w:r>
      <w:r w:rsidRPr="000B63E3">
        <w:rPr>
          <w:rFonts w:asciiTheme="minorBidi" w:eastAsia="Times New Roman" w:hAnsiTheme="minorBidi"/>
          <w:color w:val="000000"/>
          <w:sz w:val="28"/>
          <w:szCs w:val="28"/>
          <w:rtl/>
        </w:rPr>
        <w:t xml:space="preserve">וק וזה לא מטריד אף </w:t>
      </w:r>
      <w:bookmarkStart w:id="0" w:name="_GoBack"/>
      <w:r w:rsidRPr="000B63E3">
        <w:rPr>
          <w:rFonts w:asciiTheme="minorBidi" w:eastAsia="Times New Roman" w:hAnsiTheme="minorBidi"/>
          <w:color w:val="000000"/>
          <w:sz w:val="28"/>
          <w:szCs w:val="28"/>
          <w:rtl/>
        </w:rPr>
        <w:t xml:space="preserve">אחד" עוד טען שלא חסם נתיב נסיעה עקב כך שהדרך אינה מחולקת לשני </w:t>
      </w:r>
      <w:bookmarkEnd w:id="0"/>
      <w:r w:rsidRPr="000B63E3">
        <w:rPr>
          <w:rFonts w:asciiTheme="minorBidi" w:eastAsia="Times New Roman" w:hAnsiTheme="minorBidi"/>
          <w:color w:val="000000"/>
          <w:sz w:val="28"/>
          <w:szCs w:val="28"/>
          <w:rtl/>
        </w:rPr>
        <w:t xml:space="preserve">מסלולים ורוחב הנתיב הוא 5.5 מטר </w:t>
      </w:r>
    </w:p>
    <w:p w:rsidR="000B63E3" w:rsidRPr="000B63E3" w:rsidRDefault="000B63E3" w:rsidP="000B63E3">
      <w:pPr>
        <w:spacing w:line="360" w:lineRule="atLeast"/>
        <w:jc w:val="both"/>
        <w:rPr>
          <w:rFonts w:asciiTheme="minorBidi" w:eastAsia="Times New Roman" w:hAnsiTheme="minorBidi"/>
          <w:color w:val="000000"/>
          <w:sz w:val="28"/>
          <w:szCs w:val="28"/>
          <w:rtl/>
        </w:rPr>
      </w:pPr>
      <w:r w:rsidRPr="000B63E3">
        <w:rPr>
          <w:rFonts w:asciiTheme="minorBidi" w:eastAsia="Times New Roman" w:hAnsiTheme="minorBidi"/>
          <w:color w:val="000000"/>
          <w:sz w:val="28"/>
          <w:szCs w:val="28"/>
          <w:rtl/>
        </w:rPr>
        <w:t xml:space="preserve">כמו כן העיד מזכיר היישוב כי ביישובים רבים נהוג להחנות את הרכב באופן כזה שיחסום חלק מהכביש והדבר אינו נחשב להפרעה לתנועה ועוד מספר המשפחות </w:t>
      </w:r>
      <w:r w:rsidRPr="000B63E3">
        <w:rPr>
          <w:rFonts w:asciiTheme="minorBidi" w:eastAsia="Times New Roman" w:hAnsiTheme="minorBidi"/>
          <w:color w:val="000000"/>
          <w:sz w:val="28"/>
          <w:szCs w:val="28"/>
          <w:rtl/>
        </w:rPr>
        <w:lastRenderedPageBreak/>
        <w:t xml:space="preserve">שהתגוררו במקום בעת מתן הדוח היה מועט ותנועת הרכבים במקום הייתה דלילה ובנסיבות אלה </w:t>
      </w:r>
      <w:proofErr w:type="spellStart"/>
      <w:r w:rsidRPr="000B63E3">
        <w:rPr>
          <w:rFonts w:asciiTheme="minorBidi" w:eastAsia="Times New Roman" w:hAnsiTheme="minorBidi"/>
          <w:color w:val="000000"/>
          <w:sz w:val="28"/>
          <w:szCs w:val="28"/>
          <w:rtl/>
        </w:rPr>
        <w:t>הןוכח</w:t>
      </w:r>
      <w:proofErr w:type="spellEnd"/>
      <w:r w:rsidRPr="000B63E3">
        <w:rPr>
          <w:rFonts w:asciiTheme="minorBidi" w:eastAsia="Times New Roman" w:hAnsiTheme="minorBidi"/>
          <w:color w:val="000000"/>
          <w:sz w:val="28"/>
          <w:szCs w:val="28"/>
          <w:rtl/>
        </w:rPr>
        <w:t xml:space="preserve"> כי הנאשם לא גרם להפרעה לתנועה </w:t>
      </w:r>
    </w:p>
    <w:p w:rsidR="000B63E3" w:rsidRPr="000B63E3" w:rsidRDefault="000B63E3" w:rsidP="000B63E3">
      <w:pPr>
        <w:spacing w:after="0" w:line="360" w:lineRule="atLeast"/>
        <w:jc w:val="both"/>
        <w:rPr>
          <w:rFonts w:asciiTheme="minorBidi" w:hAnsiTheme="minorBidi"/>
          <w:sz w:val="28"/>
          <w:szCs w:val="28"/>
        </w:rPr>
      </w:pPr>
    </w:p>
    <w:sectPr w:rsidR="000B63E3" w:rsidRPr="000B63E3"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1C5"/>
    <w:rsid w:val="000B63E3"/>
    <w:rsid w:val="001B09DD"/>
    <w:rsid w:val="001C3BDE"/>
    <w:rsid w:val="00BE5CF6"/>
    <w:rsid w:val="00CD4688"/>
    <w:rsid w:val="00EB01C5"/>
    <w:rsid w:val="00FE67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3B2A"/>
  <w15:chartTrackingRefBased/>
  <w15:docId w15:val="{54C2B94E-C4EC-4D2D-ABDE-429BA191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94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49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4903/184" TargetMode="External"/><Relationship Id="rId5" Type="http://schemas.openxmlformats.org/officeDocument/2006/relationships/hyperlink" Target="http://www.nevo.co.il/law/74274/72.a.3" TargetMode="External"/><Relationship Id="rId4" Type="http://schemas.openxmlformats.org/officeDocument/2006/relationships/hyperlink" Target="http://www.nevo.co.il/law/74274/71.1" TargetMode="Externa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1094</Words>
  <Characters>5471</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שנאור</cp:lastModifiedBy>
  <cp:revision>3</cp:revision>
  <dcterms:created xsi:type="dcterms:W3CDTF">2021-01-27T15:35:00Z</dcterms:created>
  <dcterms:modified xsi:type="dcterms:W3CDTF">2021-02-10T08:45:00Z</dcterms:modified>
</cp:coreProperties>
</file>