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78FB" w14:textId="02BDF352" w:rsidR="00C30D58" w:rsidRPr="00B6667B" w:rsidRDefault="00C709F8">
      <w:pPr>
        <w:rPr>
          <w:b/>
          <w:bCs/>
          <w:sz w:val="36"/>
          <w:szCs w:val="36"/>
          <w:rtl/>
        </w:rPr>
      </w:pPr>
      <w:r>
        <w:rPr>
          <w:rFonts w:hint="cs"/>
          <w:b/>
          <w:bCs/>
          <w:sz w:val="36"/>
          <w:szCs w:val="36"/>
          <w:rtl/>
        </w:rPr>
        <w:t>לחצן-</w:t>
      </w:r>
      <w:r w:rsidR="00B6667B" w:rsidRPr="00B6667B">
        <w:rPr>
          <w:rFonts w:hint="cs"/>
          <w:b/>
          <w:bCs/>
          <w:sz w:val="36"/>
          <w:szCs w:val="36"/>
          <w:rtl/>
        </w:rPr>
        <w:t>אי עצירה בתמרור עצור</w:t>
      </w:r>
      <w:r w:rsidR="00B6667B">
        <w:rPr>
          <w:rFonts w:hint="cs"/>
          <w:b/>
          <w:bCs/>
          <w:sz w:val="36"/>
          <w:szCs w:val="36"/>
          <w:rtl/>
        </w:rPr>
        <w:t>-הכחשה</w:t>
      </w:r>
    </w:p>
    <w:p w14:paraId="632B635A" w14:textId="7C1BEAEA" w:rsidR="00B6667B" w:rsidRDefault="00B6667B">
      <w:pPr>
        <w:rPr>
          <w:rtl/>
        </w:rPr>
      </w:pPr>
    </w:p>
    <w:p w14:paraId="1B63E8B7" w14:textId="77777777" w:rsidR="00B6667B" w:rsidRPr="00C709F8" w:rsidRDefault="00B6667B" w:rsidP="00C709F8">
      <w:pPr>
        <w:pStyle w:val="2"/>
        <w:rPr>
          <w:sz w:val="28"/>
          <w:szCs w:val="28"/>
          <w:shd w:val="clear" w:color="auto" w:fill="FFFFFF"/>
          <w:rtl/>
        </w:rPr>
      </w:pPr>
      <w:proofErr w:type="spellStart"/>
      <w:r w:rsidRPr="00C709F8">
        <w:rPr>
          <w:sz w:val="28"/>
          <w:szCs w:val="28"/>
          <w:shd w:val="clear" w:color="auto" w:fill="FFFFFF"/>
          <w:rtl/>
        </w:rPr>
        <w:t>תתע</w:t>
      </w:r>
      <w:proofErr w:type="spellEnd"/>
      <w:r w:rsidRPr="00C709F8">
        <w:rPr>
          <w:sz w:val="28"/>
          <w:szCs w:val="28"/>
          <w:shd w:val="clear" w:color="auto" w:fill="FFFFFF"/>
          <w:rtl/>
        </w:rPr>
        <w:t xml:space="preserve"> (עכו) 7657-08-18 </w:t>
      </w:r>
    </w:p>
    <w:p w14:paraId="5610080B" w14:textId="62E37178" w:rsidR="00B6667B" w:rsidRPr="00C709F8" w:rsidRDefault="00B6667B" w:rsidP="00C709F8">
      <w:pPr>
        <w:pStyle w:val="2"/>
        <w:rPr>
          <w:sz w:val="28"/>
          <w:szCs w:val="28"/>
          <w:rtl/>
        </w:rPr>
      </w:pPr>
      <w:r w:rsidRPr="00C709F8">
        <w:rPr>
          <w:sz w:val="28"/>
          <w:szCs w:val="28"/>
          <w:shd w:val="clear" w:color="auto" w:fill="FFFFFF"/>
          <w:rtl/>
        </w:rPr>
        <w:t xml:space="preserve"> מדינת ישראל נ' שרון לוי</w:t>
      </w:r>
    </w:p>
    <w:p w14:paraId="4A850340" w14:textId="0B994298" w:rsidR="00B6667B" w:rsidRPr="00C709F8" w:rsidRDefault="00B6667B" w:rsidP="00C709F8">
      <w:pPr>
        <w:pStyle w:val="2"/>
        <w:rPr>
          <w:sz w:val="28"/>
          <w:szCs w:val="28"/>
          <w:rtl/>
        </w:rPr>
      </w:pPr>
      <w:r w:rsidRPr="00C709F8">
        <w:rPr>
          <w:sz w:val="28"/>
          <w:szCs w:val="28"/>
          <w:shd w:val="clear" w:color="auto" w:fill="FFFFFF"/>
          <w:rtl/>
        </w:rPr>
        <w:t>בפני כב' השופט יעקב בכ</w:t>
      </w:r>
      <w:r w:rsidRPr="00C709F8">
        <w:rPr>
          <w:sz w:val="28"/>
          <w:szCs w:val="28"/>
          <w:rtl/>
        </w:rPr>
        <w:t>ר</w:t>
      </w:r>
    </w:p>
    <w:p w14:paraId="652FF6CC" w14:textId="77777777" w:rsidR="00B6667B" w:rsidRDefault="00B6667B">
      <w:pPr>
        <w:rPr>
          <w:rtl/>
        </w:rPr>
      </w:pPr>
    </w:p>
    <w:p w14:paraId="5934B905" w14:textId="67CE46EE" w:rsidR="00B6667B" w:rsidRPr="00B6667B" w:rsidRDefault="00B6667B" w:rsidP="00B6667B">
      <w:pPr>
        <w:rPr>
          <w:i/>
          <w:iCs/>
          <w:sz w:val="28"/>
          <w:szCs w:val="28"/>
          <w:u w:val="single"/>
          <w:rtl/>
        </w:rPr>
      </w:pPr>
      <w:r w:rsidRPr="00B6667B">
        <w:rPr>
          <w:rFonts w:hint="cs"/>
          <w:i/>
          <w:iCs/>
          <w:sz w:val="28"/>
          <w:szCs w:val="28"/>
          <w:u w:val="single"/>
          <w:rtl/>
        </w:rPr>
        <w:t xml:space="preserve">נפסק לזיכוי מהסיבות כדלהלן </w:t>
      </w:r>
    </w:p>
    <w:p w14:paraId="0E7D408F" w14:textId="77777777" w:rsidR="00B6667B" w:rsidRDefault="00B6667B" w:rsidP="00B6667B">
      <w:pPr>
        <w:rPr>
          <w:rFonts w:asciiTheme="minorBidi" w:hAnsiTheme="minorBidi"/>
          <w:sz w:val="28"/>
          <w:szCs w:val="28"/>
          <w:rtl/>
        </w:rPr>
      </w:pPr>
      <w:r w:rsidRPr="00B6667B">
        <w:rPr>
          <w:rFonts w:asciiTheme="minorBidi" w:hAnsiTheme="minorBidi"/>
          <w:sz w:val="28"/>
          <w:szCs w:val="28"/>
          <w:rtl/>
        </w:rPr>
        <w:t xml:space="preserve">השוטר טען שהיה במרחק 170 מטר מרכב הנאשם בעוד הנאשם טען שהשוטר עמד 300 מטר מרכבו שבמרחק זה </w:t>
      </w:r>
      <w:r>
        <w:rPr>
          <w:rFonts w:asciiTheme="minorBidi" w:hAnsiTheme="minorBidi" w:hint="cs"/>
          <w:sz w:val="28"/>
          <w:szCs w:val="28"/>
          <w:rtl/>
        </w:rPr>
        <w:t>גם</w:t>
      </w:r>
      <w:r w:rsidRPr="00B6667B">
        <w:rPr>
          <w:rFonts w:asciiTheme="minorBidi" w:hAnsiTheme="minorBidi"/>
          <w:sz w:val="28"/>
          <w:szCs w:val="28"/>
          <w:rtl/>
        </w:rPr>
        <w:t xml:space="preserve"> השוטר הודה כי לא ניתן להבחין בביצוע  הע</w:t>
      </w:r>
      <w:r>
        <w:rPr>
          <w:rFonts w:asciiTheme="minorBidi" w:hAnsiTheme="minorBidi" w:hint="cs"/>
          <w:sz w:val="28"/>
          <w:szCs w:val="28"/>
          <w:rtl/>
        </w:rPr>
        <w:t xml:space="preserve">בירה </w:t>
      </w:r>
    </w:p>
    <w:p w14:paraId="1A3A83DD" w14:textId="220E4774" w:rsidR="00B6667B" w:rsidRPr="00B6667B" w:rsidRDefault="00B6667B" w:rsidP="00B6667B">
      <w:pPr>
        <w:pStyle w:val="a3"/>
        <w:numPr>
          <w:ilvl w:val="0"/>
          <w:numId w:val="1"/>
        </w:numPr>
        <w:rPr>
          <w:rFonts w:asciiTheme="minorBidi" w:hAnsiTheme="minorBidi"/>
          <w:sz w:val="28"/>
          <w:szCs w:val="28"/>
          <w:rtl/>
        </w:rPr>
      </w:pPr>
      <w:r w:rsidRPr="00B6667B">
        <w:rPr>
          <w:rFonts w:asciiTheme="minorBidi" w:hAnsiTheme="minorBidi"/>
          <w:sz w:val="28"/>
          <w:szCs w:val="28"/>
          <w:rtl/>
        </w:rPr>
        <w:t>כך או כך בית המשפט פסק שגם 170 מטר הינם מרחק רב של השוטר מהרכב  על מנת להבחין בבירור בביצוע העבירה</w:t>
      </w:r>
    </w:p>
    <w:p w14:paraId="61D4912F" w14:textId="4BEBD5E2" w:rsidR="00B6667B" w:rsidRPr="00B6667B" w:rsidRDefault="00B6667B" w:rsidP="00B6667B">
      <w:pPr>
        <w:pStyle w:val="a3"/>
        <w:numPr>
          <w:ilvl w:val="0"/>
          <w:numId w:val="1"/>
        </w:numPr>
        <w:shd w:val="clear" w:color="auto" w:fill="FFFFFF"/>
        <w:spacing w:after="0" w:line="360" w:lineRule="atLeast"/>
        <w:jc w:val="both"/>
        <w:rPr>
          <w:rFonts w:asciiTheme="minorBidi" w:eastAsia="Times New Roman" w:hAnsiTheme="minorBidi"/>
          <w:color w:val="000000"/>
          <w:sz w:val="28"/>
          <w:szCs w:val="28"/>
        </w:rPr>
      </w:pPr>
      <w:r w:rsidRPr="00B6667B">
        <w:rPr>
          <w:rFonts w:asciiTheme="minorBidi" w:eastAsia="Times New Roman" w:hAnsiTheme="minorBidi"/>
          <w:color w:val="000000"/>
          <w:sz w:val="28"/>
          <w:szCs w:val="28"/>
          <w:rtl/>
        </w:rPr>
        <w:t>שנית, הנאשם טען הן בתגובתו בדו"ח והן בעדותו באופן נחרץ כי עצר בקו העצירה באופן מוחלט וגלש קדימה.</w:t>
      </w:r>
    </w:p>
    <w:p w14:paraId="50EEC65D" w14:textId="54D0DCE4" w:rsidR="00B6667B" w:rsidRPr="00B6667B" w:rsidRDefault="00B6667B" w:rsidP="00B6667B">
      <w:pPr>
        <w:pStyle w:val="a3"/>
        <w:numPr>
          <w:ilvl w:val="0"/>
          <w:numId w:val="1"/>
        </w:numPr>
        <w:shd w:val="clear" w:color="auto" w:fill="FFFFFF"/>
        <w:spacing w:after="0" w:line="360" w:lineRule="atLeast"/>
        <w:jc w:val="both"/>
        <w:rPr>
          <w:rFonts w:asciiTheme="minorBidi" w:eastAsia="Times New Roman" w:hAnsiTheme="minorBidi"/>
          <w:color w:val="000000"/>
          <w:sz w:val="28"/>
          <w:szCs w:val="28"/>
          <w:rtl/>
        </w:rPr>
      </w:pPr>
      <w:r w:rsidRPr="00B6667B">
        <w:rPr>
          <w:rFonts w:asciiTheme="minorBidi" w:hAnsiTheme="minorBidi"/>
          <w:color w:val="000000"/>
          <w:sz w:val="28"/>
          <w:szCs w:val="28"/>
          <w:shd w:val="clear" w:color="auto" w:fill="FFFFFF"/>
          <w:rtl/>
        </w:rPr>
        <w:t xml:space="preserve">השוטר לא ציין בדו"ח את המרחק של התמרור מקו העצירה אשר נמצא לאחריו, כאמור בתמונה אותה צירף הנאשם עובדה המקשה עוד יותר על קבלת גרסת </w:t>
      </w:r>
      <w:r>
        <w:rPr>
          <w:rFonts w:asciiTheme="minorBidi" w:hAnsiTheme="minorBidi" w:hint="cs"/>
          <w:color w:val="000000"/>
          <w:sz w:val="28"/>
          <w:szCs w:val="28"/>
          <w:shd w:val="clear" w:color="auto" w:fill="FFFFFF"/>
          <w:rtl/>
        </w:rPr>
        <w:t>השוטר</w:t>
      </w:r>
    </w:p>
    <w:p w14:paraId="521A9461" w14:textId="411FEB55" w:rsidR="00B6667B" w:rsidRDefault="00B6667B" w:rsidP="00B6667B">
      <w:pPr>
        <w:rPr>
          <w:rFonts w:asciiTheme="minorBidi" w:hAnsiTheme="minorBidi"/>
          <w:sz w:val="28"/>
          <w:szCs w:val="28"/>
          <w:rtl/>
        </w:rPr>
      </w:pPr>
    </w:p>
    <w:p w14:paraId="00940455" w14:textId="4976EC4C" w:rsidR="00514B8D" w:rsidRDefault="00514B8D" w:rsidP="00B6667B">
      <w:pPr>
        <w:rPr>
          <w:rFonts w:asciiTheme="minorBidi" w:hAnsiTheme="minorBidi"/>
          <w:sz w:val="28"/>
          <w:szCs w:val="28"/>
          <w:rtl/>
        </w:rPr>
      </w:pPr>
    </w:p>
    <w:p w14:paraId="7253FB05" w14:textId="4218CD82" w:rsidR="00514B8D" w:rsidRPr="00B50938" w:rsidRDefault="00C709F8" w:rsidP="00B6667B">
      <w:pPr>
        <w:rPr>
          <w:rFonts w:asciiTheme="minorBidi" w:hAnsiTheme="minorBidi"/>
          <w:b/>
          <w:bCs/>
          <w:sz w:val="36"/>
          <w:szCs w:val="36"/>
          <w:rtl/>
        </w:rPr>
      </w:pPr>
      <w:r>
        <w:rPr>
          <w:rFonts w:asciiTheme="minorBidi" w:hAnsiTheme="minorBidi" w:hint="cs"/>
          <w:b/>
          <w:bCs/>
          <w:sz w:val="36"/>
          <w:szCs w:val="36"/>
          <w:rtl/>
        </w:rPr>
        <w:t>לחצן-</w:t>
      </w:r>
      <w:r w:rsidR="00514B8D" w:rsidRPr="00B50938">
        <w:rPr>
          <w:rFonts w:asciiTheme="minorBidi" w:hAnsiTheme="minorBidi" w:hint="cs"/>
          <w:b/>
          <w:bCs/>
          <w:sz w:val="36"/>
          <w:szCs w:val="36"/>
          <w:rtl/>
        </w:rPr>
        <w:t xml:space="preserve">תמרור לא חוקי </w:t>
      </w:r>
    </w:p>
    <w:p w14:paraId="11DD6462" w14:textId="77777777" w:rsidR="00C709F8" w:rsidRPr="00C709F8" w:rsidRDefault="00514B8D" w:rsidP="00C709F8">
      <w:pPr>
        <w:pStyle w:val="2"/>
        <w:rPr>
          <w:sz w:val="28"/>
          <w:szCs w:val="28"/>
          <w:shd w:val="clear" w:color="auto" w:fill="FFFFFF"/>
          <w:rtl/>
        </w:rPr>
      </w:pPr>
      <w:r w:rsidRPr="00C709F8">
        <w:rPr>
          <w:sz w:val="28"/>
          <w:szCs w:val="28"/>
          <w:shd w:val="clear" w:color="auto" w:fill="FFFFFF"/>
          <w:rtl/>
        </w:rPr>
        <w:t>תת"ע 12084-03-19</w:t>
      </w:r>
    </w:p>
    <w:p w14:paraId="76152814" w14:textId="2E8DD2D1" w:rsidR="00514B8D" w:rsidRPr="00C709F8" w:rsidRDefault="00514B8D" w:rsidP="00C709F8">
      <w:pPr>
        <w:pStyle w:val="2"/>
        <w:rPr>
          <w:sz w:val="28"/>
          <w:szCs w:val="28"/>
          <w:shd w:val="clear" w:color="auto" w:fill="FFFFFF"/>
          <w:rtl/>
        </w:rPr>
      </w:pPr>
      <w:r w:rsidRPr="00C709F8">
        <w:rPr>
          <w:sz w:val="28"/>
          <w:szCs w:val="28"/>
          <w:shd w:val="clear" w:color="auto" w:fill="FFFFFF"/>
          <w:rtl/>
        </w:rPr>
        <w:t xml:space="preserve"> מדינת ישראל נ' רוט</w:t>
      </w:r>
    </w:p>
    <w:p w14:paraId="4FC98953" w14:textId="7296B924" w:rsidR="00E06EE5" w:rsidRPr="00C709F8" w:rsidRDefault="00E06EE5" w:rsidP="00C709F8">
      <w:pPr>
        <w:pStyle w:val="2"/>
        <w:rPr>
          <w:sz w:val="28"/>
          <w:szCs w:val="28"/>
          <w:rtl/>
        </w:rPr>
      </w:pPr>
      <w:r w:rsidRPr="00C709F8">
        <w:rPr>
          <w:sz w:val="28"/>
          <w:szCs w:val="28"/>
          <w:shd w:val="clear" w:color="auto" w:fill="FFFFFF"/>
        </w:rPr>
        <w:t> </w:t>
      </w:r>
      <w:r w:rsidRPr="00C709F8">
        <w:rPr>
          <w:sz w:val="28"/>
          <w:szCs w:val="28"/>
          <w:shd w:val="clear" w:color="auto" w:fill="FFFFFF"/>
          <w:rtl/>
        </w:rPr>
        <w:t>כב' השופט יעקב בכר</w:t>
      </w:r>
      <w:r w:rsidR="00B50938" w:rsidRPr="00C709F8">
        <w:rPr>
          <w:sz w:val="28"/>
          <w:szCs w:val="28"/>
          <w:rtl/>
        </w:rPr>
        <w:t xml:space="preserve"> נפסק לזיכוי </w:t>
      </w:r>
    </w:p>
    <w:p w14:paraId="2110DABC" w14:textId="1EA415F9" w:rsidR="00E06EE5" w:rsidRDefault="00E06EE5" w:rsidP="00B6667B">
      <w:pPr>
        <w:rPr>
          <w:rFonts w:asciiTheme="minorBidi" w:hAnsiTheme="minorBidi"/>
          <w:b/>
          <w:bCs/>
          <w:sz w:val="28"/>
          <w:szCs w:val="28"/>
          <w:rtl/>
        </w:rPr>
      </w:pPr>
    </w:p>
    <w:p w14:paraId="17EBA35D" w14:textId="236363FE" w:rsidR="00E06EE5" w:rsidRPr="00B50938" w:rsidRDefault="00E06EE5" w:rsidP="00B6667B">
      <w:pPr>
        <w:rPr>
          <w:rFonts w:asciiTheme="minorBidi" w:hAnsiTheme="minorBidi"/>
          <w:b/>
          <w:bCs/>
          <w:sz w:val="28"/>
          <w:szCs w:val="28"/>
          <w:rtl/>
        </w:rPr>
      </w:pPr>
      <w:r w:rsidRPr="00B50938">
        <w:rPr>
          <w:rFonts w:asciiTheme="minorBidi" w:hAnsiTheme="minorBidi" w:hint="cs"/>
          <w:b/>
          <w:bCs/>
          <w:sz w:val="28"/>
          <w:szCs w:val="28"/>
          <w:rtl/>
        </w:rPr>
        <w:t xml:space="preserve">טענת הנאשם </w:t>
      </w:r>
    </w:p>
    <w:p w14:paraId="36FFDBF1" w14:textId="50AEEDCA" w:rsidR="00E06EE5" w:rsidRPr="00C709F8" w:rsidRDefault="007821A5" w:rsidP="00B6667B">
      <w:pPr>
        <w:rPr>
          <w:rFonts w:asciiTheme="minorBidi" w:hAnsiTheme="minorBidi"/>
          <w:b/>
          <w:bCs/>
          <w:sz w:val="28"/>
          <w:szCs w:val="28"/>
          <w:rtl/>
        </w:rPr>
      </w:pPr>
      <w:r w:rsidRPr="00C709F8">
        <w:rPr>
          <w:rFonts w:asciiTheme="minorBidi" w:hAnsiTheme="minorBidi"/>
          <w:color w:val="000000"/>
          <w:sz w:val="28"/>
          <w:szCs w:val="28"/>
          <w:shd w:val="clear" w:color="auto" w:fill="FFFFFF"/>
        </w:rPr>
        <w:t> </w:t>
      </w:r>
      <w:r w:rsidR="00B50938" w:rsidRPr="00C709F8">
        <w:rPr>
          <w:rFonts w:asciiTheme="minorBidi" w:hAnsiTheme="minorBidi"/>
          <w:color w:val="000000"/>
          <w:sz w:val="28"/>
          <w:szCs w:val="28"/>
          <w:shd w:val="clear" w:color="auto" w:fill="FFFFFF"/>
          <w:rtl/>
        </w:rPr>
        <w:t>הינה ש</w:t>
      </w:r>
      <w:r w:rsidRPr="00C709F8">
        <w:rPr>
          <w:rFonts w:asciiTheme="minorBidi" w:hAnsiTheme="minorBidi"/>
          <w:color w:val="000000"/>
          <w:sz w:val="28"/>
          <w:szCs w:val="28"/>
          <w:shd w:val="clear" w:color="auto" w:fill="FFFFFF"/>
          <w:rtl/>
        </w:rPr>
        <w:t xml:space="preserve">עצר להולך רגל במעבר חצייה לפני הצומת והתקדם לקו העצירה, עצר והמשיך </w:t>
      </w:r>
      <w:proofErr w:type="spellStart"/>
      <w:r w:rsidRPr="00C709F8">
        <w:rPr>
          <w:rFonts w:asciiTheme="minorBidi" w:hAnsiTheme="minorBidi"/>
          <w:color w:val="000000"/>
          <w:sz w:val="28"/>
          <w:szCs w:val="28"/>
          <w:shd w:val="clear" w:color="auto" w:fill="FFFFFF"/>
          <w:rtl/>
        </w:rPr>
        <w:t>בנסיעה.וכך</w:t>
      </w:r>
      <w:proofErr w:type="spellEnd"/>
      <w:r w:rsidRPr="00C709F8">
        <w:rPr>
          <w:rFonts w:asciiTheme="minorBidi" w:hAnsiTheme="minorBidi"/>
          <w:color w:val="000000"/>
          <w:sz w:val="28"/>
          <w:szCs w:val="28"/>
          <w:shd w:val="clear" w:color="auto" w:fill="FFFFFF"/>
          <w:rtl/>
        </w:rPr>
        <w:t xml:space="preserve"> גם אמר בזמן קבלת הדו"ח שאינו זוכר שלא עצר בתמרור</w:t>
      </w:r>
      <w:r w:rsidRPr="00C709F8">
        <w:rPr>
          <w:rFonts w:asciiTheme="minorBidi" w:hAnsiTheme="minorBidi"/>
          <w:color w:val="000000"/>
          <w:sz w:val="28"/>
          <w:szCs w:val="28"/>
          <w:shd w:val="clear" w:color="auto" w:fill="FFFFFF"/>
        </w:rPr>
        <w:t>.</w:t>
      </w:r>
    </w:p>
    <w:p w14:paraId="6CFE692D" w14:textId="77777777" w:rsidR="00865483" w:rsidRPr="00B50938" w:rsidRDefault="00865483" w:rsidP="00865483">
      <w:pPr>
        <w:rPr>
          <w:rFonts w:asciiTheme="minorBidi" w:hAnsiTheme="minorBidi"/>
          <w:b/>
          <w:bCs/>
          <w:sz w:val="28"/>
          <w:szCs w:val="28"/>
          <w:rtl/>
        </w:rPr>
      </w:pPr>
      <w:r w:rsidRPr="00B50938">
        <w:rPr>
          <w:rFonts w:asciiTheme="minorBidi" w:hAnsiTheme="minorBidi" w:hint="cs"/>
          <w:b/>
          <w:bCs/>
          <w:sz w:val="28"/>
          <w:szCs w:val="28"/>
          <w:rtl/>
        </w:rPr>
        <w:t xml:space="preserve">הסיבה לזיכוי </w:t>
      </w:r>
    </w:p>
    <w:p w14:paraId="31214C7A" w14:textId="2695A34B" w:rsidR="00375BF0" w:rsidRPr="00C709F8" w:rsidRDefault="00375BF0" w:rsidP="00B50938">
      <w:pPr>
        <w:rPr>
          <w:rFonts w:asciiTheme="minorBidi" w:hAnsiTheme="minorBidi"/>
          <w:b/>
          <w:bCs/>
          <w:sz w:val="28"/>
          <w:szCs w:val="28"/>
          <w:rtl/>
        </w:rPr>
      </w:pPr>
      <w:r w:rsidRPr="00C709F8">
        <w:rPr>
          <w:rFonts w:asciiTheme="minorBidi" w:eastAsia="Times New Roman" w:hAnsiTheme="minorBidi"/>
          <w:color w:val="000000"/>
          <w:sz w:val="28"/>
          <w:szCs w:val="28"/>
          <w:rtl/>
        </w:rPr>
        <w:t xml:space="preserve"> הסיבה העיקרית בגינה יש לזכות את הנאשם היא מאחר והצליח הוא להוכיח את אי תקינות תמרור העצור שהוצב בכיוון נסיעתו ולו לכאורה לא ציית הנאשם בשעת האירוע</w:t>
      </w:r>
      <w:r w:rsidR="00B50938" w:rsidRPr="00C709F8">
        <w:rPr>
          <w:rFonts w:asciiTheme="minorBidi" w:eastAsia="Times New Roman" w:hAnsiTheme="minorBidi"/>
          <w:color w:val="000000"/>
          <w:sz w:val="28"/>
          <w:szCs w:val="28"/>
          <w:rtl/>
        </w:rPr>
        <w:t>....</w:t>
      </w:r>
      <w:r w:rsidRPr="00C709F8">
        <w:rPr>
          <w:rFonts w:asciiTheme="minorBidi" w:eastAsia="Times New Roman" w:hAnsiTheme="minorBidi"/>
          <w:color w:val="000000"/>
          <w:sz w:val="28"/>
          <w:szCs w:val="28"/>
          <w:rtl/>
        </w:rPr>
        <w:t>ידוע כי בהתאם לפסיקה, הנטל להוכיח אי תקינות תמרור מוטל על מי שכנגדו הוגש כתב האישום. המדינה נהנית מ"חזקת תקינות" של התמרור</w:t>
      </w:r>
      <w:r w:rsidR="00B50938" w:rsidRPr="00C709F8">
        <w:rPr>
          <w:rFonts w:asciiTheme="minorBidi" w:eastAsia="Times New Roman" w:hAnsiTheme="minorBidi"/>
          <w:color w:val="000000"/>
          <w:sz w:val="28"/>
          <w:szCs w:val="28"/>
          <w:rtl/>
        </w:rPr>
        <w:t xml:space="preserve"> </w:t>
      </w:r>
      <w:r w:rsidRPr="00C709F8">
        <w:rPr>
          <w:rFonts w:asciiTheme="minorBidi" w:eastAsia="Times New Roman" w:hAnsiTheme="minorBidi"/>
          <w:color w:val="000000"/>
          <w:sz w:val="28"/>
          <w:szCs w:val="28"/>
          <w:rtl/>
        </w:rPr>
        <w:t xml:space="preserve">הרלוונטי, עד שהנאשם יסתור חזקת תקינות </w:t>
      </w:r>
    </w:p>
    <w:p w14:paraId="657FC460" w14:textId="77777777" w:rsidR="00375BF0" w:rsidRPr="00C709F8" w:rsidRDefault="00375BF0" w:rsidP="00375BF0">
      <w:pPr>
        <w:shd w:val="clear" w:color="auto" w:fill="FFFFFF"/>
        <w:spacing w:after="0" w:line="360" w:lineRule="atLeast"/>
        <w:ind w:left="720"/>
        <w:rPr>
          <w:rFonts w:asciiTheme="minorBidi" w:eastAsia="Times New Roman" w:hAnsiTheme="minorBidi"/>
          <w:color w:val="000000"/>
          <w:sz w:val="28"/>
          <w:szCs w:val="28"/>
          <w:rtl/>
        </w:rPr>
      </w:pPr>
      <w:r w:rsidRPr="00C709F8">
        <w:rPr>
          <w:rFonts w:asciiTheme="minorBidi" w:eastAsia="Times New Roman" w:hAnsiTheme="minorBidi"/>
          <w:b/>
          <w:bCs/>
          <w:color w:val="000000"/>
          <w:sz w:val="28"/>
          <w:szCs w:val="28"/>
          <w:rtl/>
        </w:rPr>
        <w:lastRenderedPageBreak/>
        <w:t>ומן הכלל אל הפרט</w:t>
      </w:r>
      <w:r w:rsidRPr="00C709F8">
        <w:rPr>
          <w:rFonts w:asciiTheme="minorBidi" w:eastAsia="Times New Roman" w:hAnsiTheme="minorBidi"/>
          <w:color w:val="000000"/>
          <w:sz w:val="28"/>
          <w:szCs w:val="28"/>
          <w:rtl/>
        </w:rPr>
        <w:t>, עמד הנאשם בנטל ההוכחה הנ"ל וזאת באמצעות הצגת שני מסמכים המעידים לטעמי על אי תקינות התמרור בשעת האירוע:</w:t>
      </w:r>
    </w:p>
    <w:p w14:paraId="719D91D4" w14:textId="77777777" w:rsidR="00375BF0" w:rsidRPr="00C709F8" w:rsidRDefault="00375BF0" w:rsidP="00375BF0">
      <w:pPr>
        <w:shd w:val="clear" w:color="auto" w:fill="FFFFFF"/>
        <w:spacing w:after="0" w:line="360" w:lineRule="atLeast"/>
        <w:ind w:left="720"/>
        <w:rPr>
          <w:rFonts w:asciiTheme="minorBidi" w:eastAsia="Times New Roman" w:hAnsiTheme="minorBidi"/>
          <w:color w:val="000000"/>
          <w:sz w:val="28"/>
          <w:szCs w:val="28"/>
          <w:rtl/>
        </w:rPr>
      </w:pPr>
      <w:r w:rsidRPr="00C709F8">
        <w:rPr>
          <w:rFonts w:asciiTheme="minorBidi" w:eastAsia="Times New Roman" w:hAnsiTheme="minorBidi"/>
          <w:color w:val="000000"/>
          <w:sz w:val="28"/>
          <w:szCs w:val="28"/>
          <w:rtl/>
        </w:rPr>
        <w:t> </w:t>
      </w:r>
    </w:p>
    <w:p w14:paraId="57C4FB3B" w14:textId="591EF3AA" w:rsidR="00375BF0" w:rsidRPr="00C709F8" w:rsidRDefault="00375BF0" w:rsidP="00227BEE">
      <w:pPr>
        <w:shd w:val="clear" w:color="auto" w:fill="FFFFFF"/>
        <w:spacing w:after="0" w:line="360" w:lineRule="atLeast"/>
        <w:ind w:left="720"/>
        <w:rPr>
          <w:rFonts w:asciiTheme="minorBidi" w:eastAsia="Times New Roman" w:hAnsiTheme="minorBidi"/>
          <w:color w:val="000000"/>
          <w:sz w:val="28"/>
          <w:szCs w:val="28"/>
          <w:rtl/>
        </w:rPr>
      </w:pPr>
      <w:r w:rsidRPr="00C709F8">
        <w:rPr>
          <w:rFonts w:asciiTheme="minorBidi" w:eastAsia="Times New Roman" w:hAnsiTheme="minorBidi"/>
          <w:b/>
          <w:bCs/>
          <w:color w:val="000000"/>
          <w:sz w:val="28"/>
          <w:szCs w:val="28"/>
          <w:rtl/>
        </w:rPr>
        <w:t>האחד</w:t>
      </w:r>
      <w:r w:rsidRPr="00C709F8">
        <w:rPr>
          <w:rFonts w:asciiTheme="minorBidi" w:eastAsia="Times New Roman" w:hAnsiTheme="minorBidi"/>
          <w:color w:val="000000"/>
          <w:sz w:val="28"/>
          <w:szCs w:val="28"/>
          <w:rtl/>
        </w:rPr>
        <w:t>, פרוטוקול ישיבת וועדת תחבורה של עיריית נהריה מיום 13/1/19 כשבועיים לפני יום העבירה (</w:t>
      </w:r>
      <w:r w:rsidRPr="00C709F8">
        <w:rPr>
          <w:rFonts w:asciiTheme="minorBidi" w:eastAsia="Times New Roman" w:hAnsiTheme="minorBidi"/>
          <w:b/>
          <w:bCs/>
          <w:color w:val="000000"/>
          <w:sz w:val="28"/>
          <w:szCs w:val="28"/>
          <w:rtl/>
        </w:rPr>
        <w:t>נ/2</w:t>
      </w:r>
      <w:r w:rsidRPr="00C709F8">
        <w:rPr>
          <w:rFonts w:asciiTheme="minorBidi" w:eastAsia="Times New Roman" w:hAnsiTheme="minorBidi"/>
          <w:color w:val="000000"/>
          <w:sz w:val="28"/>
          <w:szCs w:val="28"/>
          <w:rtl/>
        </w:rPr>
        <w:t>), לפיו הוחלט על ביטול והסרת תמרור העצור במקום העבירה, פינת אחד העם, והצבת תמרור האט/זכות קדימה במקומו.</w:t>
      </w:r>
    </w:p>
    <w:p w14:paraId="3AE6E0CC" w14:textId="77777777" w:rsidR="00375BF0" w:rsidRPr="00C709F8" w:rsidRDefault="00375BF0" w:rsidP="00375BF0">
      <w:pPr>
        <w:shd w:val="clear" w:color="auto" w:fill="FFFFFF"/>
        <w:spacing w:after="0" w:line="360" w:lineRule="atLeast"/>
        <w:ind w:left="720"/>
        <w:rPr>
          <w:rFonts w:asciiTheme="minorBidi" w:eastAsia="Times New Roman" w:hAnsiTheme="minorBidi"/>
          <w:color w:val="000000"/>
          <w:sz w:val="28"/>
          <w:szCs w:val="28"/>
          <w:rtl/>
        </w:rPr>
      </w:pPr>
      <w:r w:rsidRPr="00C709F8">
        <w:rPr>
          <w:rFonts w:asciiTheme="minorBidi" w:eastAsia="Times New Roman" w:hAnsiTheme="minorBidi"/>
          <w:b/>
          <w:bCs/>
          <w:color w:val="000000"/>
          <w:sz w:val="28"/>
          <w:szCs w:val="28"/>
          <w:rtl/>
        </w:rPr>
        <w:t>השני</w:t>
      </w:r>
      <w:r w:rsidRPr="00C709F8">
        <w:rPr>
          <w:rFonts w:asciiTheme="minorBidi" w:eastAsia="Times New Roman" w:hAnsiTheme="minorBidi"/>
          <w:color w:val="000000"/>
          <w:sz w:val="28"/>
          <w:szCs w:val="28"/>
          <w:rtl/>
        </w:rPr>
        <w:t>, תכתובת של ב"כ הנאשם עם היועץ המשפטי לעיריית נהריה במסגרתה טוען היועץ המשפטי כי לפי בדיקתו, במקום האירוע מוצב מיום 17/11/13 תמרור האט ותן זכות קדימה ולא ידוע לו על הצבת תמרור עצור (אשר מצוי בפועל במקום).</w:t>
      </w:r>
    </w:p>
    <w:p w14:paraId="464ACE32" w14:textId="77777777" w:rsidR="00375BF0" w:rsidRPr="00C709F8" w:rsidRDefault="00375BF0" w:rsidP="00375BF0">
      <w:pPr>
        <w:shd w:val="clear" w:color="auto" w:fill="FFFFFF"/>
        <w:spacing w:after="0" w:line="360" w:lineRule="atLeast"/>
        <w:ind w:left="720"/>
        <w:rPr>
          <w:rFonts w:asciiTheme="minorBidi" w:eastAsia="Times New Roman" w:hAnsiTheme="minorBidi"/>
          <w:color w:val="000000"/>
          <w:sz w:val="28"/>
          <w:szCs w:val="28"/>
          <w:rtl/>
        </w:rPr>
      </w:pPr>
      <w:r w:rsidRPr="00C709F8">
        <w:rPr>
          <w:rFonts w:asciiTheme="minorBidi" w:eastAsia="Times New Roman" w:hAnsiTheme="minorBidi"/>
          <w:color w:val="000000"/>
          <w:sz w:val="28"/>
          <w:szCs w:val="28"/>
          <w:rtl/>
        </w:rPr>
        <w:t> </w:t>
      </w:r>
    </w:p>
    <w:p w14:paraId="3ED53712" w14:textId="0B9CD87E" w:rsidR="00375BF0" w:rsidRPr="00C709F8" w:rsidRDefault="00375BF0" w:rsidP="00375BF0">
      <w:pPr>
        <w:shd w:val="clear" w:color="auto" w:fill="FFFFFF"/>
        <w:spacing w:after="0" w:line="360" w:lineRule="atLeast"/>
        <w:ind w:left="720"/>
        <w:rPr>
          <w:rFonts w:asciiTheme="minorBidi" w:eastAsia="Times New Roman" w:hAnsiTheme="minorBidi"/>
          <w:color w:val="000000"/>
          <w:sz w:val="28"/>
          <w:szCs w:val="28"/>
          <w:rtl/>
        </w:rPr>
      </w:pPr>
      <w:r w:rsidRPr="00C709F8">
        <w:rPr>
          <w:rFonts w:asciiTheme="minorBidi" w:eastAsia="Times New Roman" w:hAnsiTheme="minorBidi"/>
          <w:b/>
          <w:bCs/>
          <w:color w:val="000000"/>
          <w:sz w:val="28"/>
          <w:szCs w:val="28"/>
          <w:rtl/>
        </w:rPr>
        <w:t>דהיינו</w:t>
      </w:r>
      <w:r w:rsidRPr="00C709F8">
        <w:rPr>
          <w:rFonts w:asciiTheme="minorBidi" w:eastAsia="Times New Roman" w:hAnsiTheme="minorBidi"/>
          <w:color w:val="000000"/>
          <w:sz w:val="28"/>
          <w:szCs w:val="28"/>
          <w:rtl/>
        </w:rPr>
        <w:t>, עולה כי ביום האירוע, תמרור העצור כלל לא היה צריך להיות מוצב במקום וספק גדול אם היה אמור להיות מוצב  במקום מלכתחילה. על כן, מסמכים אלו מעידים ומלמדים על אי תקינות תמרור העצור במקם האירוע ובכך עמד הנאשם בנטל זה בהצלחה יתרה.</w:t>
      </w:r>
    </w:p>
    <w:p w14:paraId="1B2A0CF4" w14:textId="71147B9D" w:rsidR="00C351F2" w:rsidRPr="00C709F8" w:rsidRDefault="00C351F2" w:rsidP="00375BF0">
      <w:pPr>
        <w:shd w:val="clear" w:color="auto" w:fill="FFFFFF"/>
        <w:spacing w:after="0" w:line="360" w:lineRule="atLeast"/>
        <w:ind w:left="720"/>
        <w:rPr>
          <w:rFonts w:asciiTheme="minorBidi" w:eastAsia="Times New Roman" w:hAnsiTheme="minorBidi"/>
          <w:color w:val="000000"/>
          <w:sz w:val="28"/>
          <w:szCs w:val="28"/>
          <w:rtl/>
        </w:rPr>
      </w:pPr>
    </w:p>
    <w:p w14:paraId="39D73723" w14:textId="77777777" w:rsidR="00A32B3E" w:rsidRDefault="00A32B3E" w:rsidP="00375BF0">
      <w:pPr>
        <w:shd w:val="clear" w:color="auto" w:fill="FFFFFF"/>
        <w:spacing w:after="0" w:line="360" w:lineRule="atLeast"/>
        <w:ind w:left="720"/>
        <w:rPr>
          <w:rFonts w:ascii="Arial" w:eastAsia="Times New Roman" w:hAnsi="Arial" w:cs="Arial"/>
          <w:color w:val="000000"/>
          <w:sz w:val="28"/>
          <w:szCs w:val="28"/>
          <w:rtl/>
        </w:rPr>
      </w:pPr>
    </w:p>
    <w:p w14:paraId="667A8278" w14:textId="1AEA8FFD" w:rsidR="00C351F2" w:rsidRPr="00C351F2" w:rsidRDefault="00C709F8" w:rsidP="00A32B3E">
      <w:pPr>
        <w:shd w:val="clear" w:color="auto" w:fill="FFFFFF"/>
        <w:spacing w:after="0" w:line="360" w:lineRule="atLeast"/>
        <w:rPr>
          <w:rFonts w:ascii="Arial" w:eastAsia="Times New Roman" w:hAnsi="Arial" w:cs="Arial"/>
          <w:b/>
          <w:bCs/>
          <w:color w:val="000000"/>
          <w:sz w:val="36"/>
          <w:szCs w:val="36"/>
          <w:rtl/>
        </w:rPr>
      </w:pPr>
      <w:r>
        <w:rPr>
          <w:rFonts w:ascii="Arial" w:eastAsia="Times New Roman" w:hAnsi="Arial" w:cs="Arial" w:hint="cs"/>
          <w:b/>
          <w:bCs/>
          <w:color w:val="000000"/>
          <w:sz w:val="36"/>
          <w:szCs w:val="36"/>
          <w:rtl/>
        </w:rPr>
        <w:t>לחצן-</w:t>
      </w:r>
      <w:r w:rsidR="00C351F2" w:rsidRPr="00C351F2">
        <w:rPr>
          <w:rFonts w:ascii="Arial" w:eastAsia="Times New Roman" w:hAnsi="Arial" w:cs="Arial" w:hint="cs"/>
          <w:b/>
          <w:bCs/>
          <w:color w:val="000000"/>
          <w:sz w:val="36"/>
          <w:szCs w:val="36"/>
          <w:rtl/>
        </w:rPr>
        <w:t>אי מתן זכות קדימה בצומת</w:t>
      </w:r>
    </w:p>
    <w:p w14:paraId="14AE7E64" w14:textId="77777777" w:rsidR="00375BF0" w:rsidRPr="00C351F2" w:rsidRDefault="00375BF0" w:rsidP="00375BF0">
      <w:pPr>
        <w:shd w:val="clear" w:color="auto" w:fill="FFFFFF"/>
        <w:spacing w:after="0" w:line="360" w:lineRule="atLeast"/>
        <w:jc w:val="both"/>
        <w:rPr>
          <w:rFonts w:ascii="Arial" w:eastAsia="Times New Roman" w:hAnsi="Arial" w:cs="Arial"/>
          <w:i/>
          <w:iCs/>
          <w:color w:val="000000"/>
          <w:sz w:val="32"/>
          <w:szCs w:val="32"/>
          <w:u w:val="single"/>
          <w:rtl/>
        </w:rPr>
      </w:pPr>
      <w:r w:rsidRPr="00C351F2">
        <w:rPr>
          <w:rFonts w:ascii="David" w:eastAsia="Times New Roman" w:hAnsi="David" w:cs="David"/>
          <w:i/>
          <w:iCs/>
          <w:color w:val="000000"/>
          <w:sz w:val="32"/>
          <w:szCs w:val="32"/>
          <w:u w:val="single"/>
          <w:rtl/>
        </w:rPr>
        <w:t> </w:t>
      </w:r>
    </w:p>
    <w:tbl>
      <w:tblPr>
        <w:bidiVisual/>
        <w:tblW w:w="8224" w:type="dxa"/>
        <w:tblInd w:w="596" w:type="dxa"/>
        <w:shd w:val="clear" w:color="auto" w:fill="FFFFFF"/>
        <w:tblCellMar>
          <w:left w:w="0" w:type="dxa"/>
          <w:right w:w="0" w:type="dxa"/>
        </w:tblCellMar>
        <w:tblLook w:val="04A0" w:firstRow="1" w:lastRow="0" w:firstColumn="1" w:lastColumn="0" w:noHBand="0" w:noVBand="1"/>
      </w:tblPr>
      <w:tblGrid>
        <w:gridCol w:w="8224"/>
      </w:tblGrid>
      <w:tr w:rsidR="00C351F2" w:rsidRPr="00C351F2" w14:paraId="7AE30747" w14:textId="77777777" w:rsidTr="003955A6">
        <w:trPr>
          <w:trHeight w:val="337"/>
        </w:trPr>
        <w:tc>
          <w:tcPr>
            <w:tcW w:w="8224" w:type="dxa"/>
            <w:shd w:val="clear" w:color="auto" w:fill="FFFFFF"/>
            <w:tcMar>
              <w:top w:w="0" w:type="dxa"/>
              <w:left w:w="108" w:type="dxa"/>
              <w:bottom w:w="0" w:type="dxa"/>
              <w:right w:w="108" w:type="dxa"/>
            </w:tcMar>
            <w:hideMark/>
          </w:tcPr>
          <w:p w14:paraId="435B904D" w14:textId="46B4442E" w:rsidR="00C351F2" w:rsidRDefault="00C351F2" w:rsidP="00C351F2">
            <w:pPr>
              <w:spacing w:after="0" w:line="240" w:lineRule="auto"/>
              <w:rPr>
                <w:rFonts w:ascii="Arial (W1)" w:eastAsia="Times New Roman" w:hAnsi="Arial (W1)" w:cs="Times New Roman"/>
                <w:i/>
                <w:iCs/>
                <w:color w:val="000000"/>
                <w:sz w:val="32"/>
                <w:szCs w:val="32"/>
                <w:u w:val="single"/>
                <w:rtl/>
              </w:rPr>
            </w:pPr>
            <w:r w:rsidRPr="00C351F2">
              <w:rPr>
                <w:rFonts w:ascii="FrankRuehl" w:eastAsia="Times New Roman" w:hAnsi="FrankRuehl" w:cs="FrankRuehl"/>
                <w:i/>
                <w:iCs/>
                <w:color w:val="000000"/>
                <w:sz w:val="32"/>
                <w:szCs w:val="32"/>
                <w:u w:val="single"/>
                <w:rtl/>
              </w:rPr>
              <w:t>תת"ע 1717-03-21 מדינת ישראל נ' לוי</w:t>
            </w:r>
          </w:p>
          <w:p w14:paraId="0CA8856F" w14:textId="77777777" w:rsidR="00C351F2" w:rsidRPr="00C351F2" w:rsidRDefault="00C351F2" w:rsidP="00C351F2">
            <w:pPr>
              <w:spacing w:after="0" w:line="240" w:lineRule="auto"/>
              <w:rPr>
                <w:rFonts w:ascii="Arial (W1)" w:eastAsia="Times New Roman" w:hAnsi="Arial (W1)" w:cs="Times New Roman"/>
                <w:i/>
                <w:iCs/>
                <w:color w:val="000000"/>
                <w:sz w:val="32"/>
                <w:szCs w:val="32"/>
                <w:u w:val="single"/>
              </w:rPr>
            </w:pPr>
          </w:p>
          <w:p w14:paraId="2ABB9F82" w14:textId="6CF17604" w:rsidR="00C351F2" w:rsidRPr="00C351F2" w:rsidRDefault="00C351F2" w:rsidP="00C351F2">
            <w:pPr>
              <w:spacing w:after="0" w:line="240" w:lineRule="auto"/>
              <w:rPr>
                <w:rFonts w:ascii="Arial (W1)" w:eastAsia="Times New Roman" w:hAnsi="Arial (W1)" w:cs="Times New Roman"/>
                <w:i/>
                <w:iCs/>
                <w:color w:val="000000"/>
                <w:sz w:val="32"/>
                <w:szCs w:val="32"/>
                <w:u w:val="single"/>
                <w:rtl/>
              </w:rPr>
            </w:pPr>
          </w:p>
        </w:tc>
      </w:tr>
      <w:tr w:rsidR="00C351F2" w:rsidRPr="00C351F2" w14:paraId="46F957DD" w14:textId="77777777" w:rsidTr="003955A6">
        <w:trPr>
          <w:trHeight w:val="295"/>
        </w:trPr>
        <w:tc>
          <w:tcPr>
            <w:tcW w:w="8224" w:type="dxa"/>
            <w:shd w:val="clear" w:color="auto" w:fill="FFFFFF"/>
            <w:tcMar>
              <w:top w:w="0" w:type="dxa"/>
              <w:left w:w="108" w:type="dxa"/>
              <w:bottom w:w="0" w:type="dxa"/>
              <w:right w:w="108" w:type="dxa"/>
            </w:tcMar>
            <w:hideMark/>
          </w:tcPr>
          <w:p w14:paraId="682BD307" w14:textId="33A28E37" w:rsidR="00C351F2" w:rsidRDefault="00C351F2" w:rsidP="00C351F2">
            <w:pPr>
              <w:spacing w:after="0" w:line="240" w:lineRule="auto"/>
              <w:jc w:val="both"/>
              <w:rPr>
                <w:rFonts w:ascii="David" w:eastAsia="Times New Roman" w:hAnsi="David" w:cs="David"/>
                <w:i/>
                <w:iCs/>
                <w:color w:val="000000"/>
                <w:sz w:val="32"/>
                <w:szCs w:val="32"/>
                <w:u w:val="single"/>
                <w:rtl/>
              </w:rPr>
            </w:pPr>
            <w:r w:rsidRPr="00C351F2">
              <w:rPr>
                <w:rFonts w:ascii="David" w:eastAsia="Times New Roman" w:hAnsi="David" w:cs="David"/>
                <w:i/>
                <w:iCs/>
                <w:color w:val="000000"/>
                <w:sz w:val="32"/>
                <w:szCs w:val="32"/>
                <w:u w:val="single"/>
                <w:rtl/>
              </w:rPr>
              <w:t>כב' השופט יעקב בכר, שופט בכיר</w:t>
            </w:r>
          </w:p>
          <w:p w14:paraId="7E369B62" w14:textId="77777777" w:rsidR="00C709F8" w:rsidRPr="003955A6" w:rsidRDefault="00C709F8" w:rsidP="00C351F2">
            <w:pPr>
              <w:spacing w:after="0" w:line="240" w:lineRule="auto"/>
              <w:jc w:val="both"/>
              <w:rPr>
                <w:rFonts w:ascii="David" w:eastAsia="Times New Roman" w:hAnsi="David" w:cs="David"/>
                <w:i/>
                <w:iCs/>
                <w:color w:val="000000"/>
                <w:sz w:val="32"/>
                <w:szCs w:val="32"/>
                <w:u w:val="single"/>
                <w:rtl/>
              </w:rPr>
            </w:pPr>
          </w:p>
          <w:p w14:paraId="76AC0253" w14:textId="3FE21F1E" w:rsidR="00A32B3E" w:rsidRDefault="00A32B3E" w:rsidP="00C351F2">
            <w:pPr>
              <w:spacing w:after="0" w:line="240" w:lineRule="auto"/>
              <w:jc w:val="both"/>
              <w:rPr>
                <w:rFonts w:ascii="David" w:eastAsia="Times New Roman" w:hAnsi="David" w:cs="David"/>
                <w:b/>
                <w:bCs/>
                <w:i/>
                <w:iCs/>
                <w:color w:val="000000"/>
                <w:sz w:val="32"/>
                <w:szCs w:val="32"/>
                <w:u w:val="single"/>
                <w:rtl/>
              </w:rPr>
            </w:pPr>
          </w:p>
          <w:p w14:paraId="60D08A34" w14:textId="6C4A6AB2" w:rsidR="00A32B3E" w:rsidRPr="003955A6" w:rsidRDefault="00A32B3E" w:rsidP="003955A6">
            <w:pPr>
              <w:spacing w:after="0" w:line="240" w:lineRule="auto"/>
              <w:jc w:val="center"/>
              <w:rPr>
                <w:rFonts w:ascii="David" w:eastAsia="Times New Roman" w:hAnsi="David" w:cs="David"/>
                <w:i/>
                <w:iCs/>
                <w:color w:val="000000"/>
                <w:sz w:val="32"/>
                <w:szCs w:val="32"/>
                <w:u w:val="single"/>
                <w:rtl/>
              </w:rPr>
            </w:pPr>
            <w:r w:rsidRPr="003955A6">
              <w:rPr>
                <w:rFonts w:ascii="David" w:eastAsia="Times New Roman" w:hAnsi="David" w:cs="David" w:hint="cs"/>
                <w:i/>
                <w:iCs/>
                <w:color w:val="000000"/>
                <w:sz w:val="32"/>
                <w:szCs w:val="32"/>
                <w:u w:val="single"/>
                <w:rtl/>
              </w:rPr>
              <w:t>הסיבה העיקרית לביטול היא אי ציון המרחק</w:t>
            </w:r>
            <w:r w:rsidR="003955A6" w:rsidRPr="003955A6">
              <w:rPr>
                <w:rFonts w:ascii="David" w:eastAsia="Times New Roman" w:hAnsi="David" w:cs="David" w:hint="cs"/>
                <w:i/>
                <w:iCs/>
                <w:color w:val="000000"/>
                <w:sz w:val="32"/>
                <w:szCs w:val="32"/>
                <w:u w:val="single"/>
                <w:rtl/>
              </w:rPr>
              <w:t xml:space="preserve"> והמהירות</w:t>
            </w:r>
            <w:r w:rsidRPr="003955A6">
              <w:rPr>
                <w:rFonts w:ascii="David" w:eastAsia="Times New Roman" w:hAnsi="David" w:cs="David" w:hint="cs"/>
                <w:i/>
                <w:iCs/>
                <w:color w:val="000000"/>
                <w:sz w:val="32"/>
                <w:szCs w:val="32"/>
                <w:u w:val="single"/>
                <w:rtl/>
              </w:rPr>
              <w:t xml:space="preserve"> של הרכב המעורב אשר לא ניתנה לו זכות קדימה</w:t>
            </w:r>
          </w:p>
          <w:p w14:paraId="12648FCD" w14:textId="77777777" w:rsidR="00C351F2" w:rsidRPr="003955A6" w:rsidRDefault="00C351F2" w:rsidP="00C351F2">
            <w:pPr>
              <w:spacing w:after="0" w:line="240" w:lineRule="auto"/>
              <w:jc w:val="both"/>
              <w:rPr>
                <w:rFonts w:ascii="Arial (W1)" w:eastAsia="Times New Roman" w:hAnsi="Arial (W1)" w:cs="Times New Roman"/>
                <w:b/>
                <w:bCs/>
                <w:i/>
                <w:iCs/>
                <w:sz w:val="32"/>
                <w:szCs w:val="32"/>
                <w:u w:val="single"/>
                <w:rtl/>
              </w:rPr>
            </w:pPr>
          </w:p>
          <w:p w14:paraId="51C71713" w14:textId="58BF96E6" w:rsidR="007F797C" w:rsidRPr="007F797C" w:rsidRDefault="007F797C" w:rsidP="007F797C">
            <w:pPr>
              <w:shd w:val="clear" w:color="auto" w:fill="FFFFFF"/>
              <w:spacing w:after="0" w:line="360" w:lineRule="atLeast"/>
              <w:ind w:left="720"/>
              <w:jc w:val="both"/>
              <w:rPr>
                <w:rFonts w:ascii="Arial (W1)" w:eastAsia="Times New Roman" w:hAnsi="Arial (W1)" w:cs="Times New Roman"/>
                <w:sz w:val="27"/>
                <w:szCs w:val="27"/>
              </w:rPr>
            </w:pPr>
            <w:r w:rsidRPr="007F797C">
              <w:rPr>
                <w:rFonts w:ascii="David" w:eastAsia="Times New Roman" w:hAnsi="David" w:cs="David"/>
                <w:sz w:val="27"/>
                <w:szCs w:val="27"/>
                <w:rtl/>
              </w:rPr>
              <w:t>כנגד הנאשם הוגש כתב אישום לפיו נהג ולא ציית לתמרור ולא נתן זכות קדימה לרכב אחר הנכנס לצומת מכביש אחר,  וזאת בניגוד לתקנה 64(ג) ו-22(א) ל</w:t>
            </w:r>
            <w:hyperlink r:id="rId5" w:tgtFrame="blank" w:history="1">
              <w:r w:rsidRPr="007F797C">
                <w:rPr>
                  <w:rFonts w:ascii="David" w:eastAsia="Times New Roman" w:hAnsi="David" w:cs="David"/>
                  <w:sz w:val="27"/>
                  <w:szCs w:val="27"/>
                  <w:u w:val="single"/>
                  <w:rtl/>
                </w:rPr>
                <w:t>תקנות התעבורה</w:t>
              </w:r>
            </w:hyperlink>
            <w:r w:rsidRPr="007F797C">
              <w:rPr>
                <w:rFonts w:ascii="David" w:eastAsia="Times New Roman" w:hAnsi="David" w:cs="David"/>
                <w:sz w:val="27"/>
                <w:szCs w:val="27"/>
                <w:rtl/>
              </w:rPr>
              <w:t xml:space="preserve">, </w:t>
            </w:r>
            <w:proofErr w:type="spellStart"/>
            <w:r w:rsidRPr="007F797C">
              <w:rPr>
                <w:rFonts w:ascii="David" w:eastAsia="Times New Roman" w:hAnsi="David" w:cs="David"/>
                <w:sz w:val="27"/>
                <w:szCs w:val="27"/>
                <w:rtl/>
              </w:rPr>
              <w:t>התשכ"א</w:t>
            </w:r>
            <w:proofErr w:type="spellEnd"/>
            <w:r w:rsidRPr="007F797C">
              <w:rPr>
                <w:rFonts w:ascii="David" w:eastAsia="Times New Roman" w:hAnsi="David" w:cs="David"/>
                <w:sz w:val="27"/>
                <w:szCs w:val="27"/>
                <w:rtl/>
              </w:rPr>
              <w:t xml:space="preserve"> – 1961</w:t>
            </w:r>
          </w:p>
          <w:p w14:paraId="1D6A1126" w14:textId="46ACB33C" w:rsidR="007F797C" w:rsidRPr="007F797C" w:rsidRDefault="007F797C" w:rsidP="00DD69A1">
            <w:pPr>
              <w:shd w:val="clear" w:color="auto" w:fill="FFFFFF"/>
              <w:spacing w:after="0" w:line="360" w:lineRule="atLeast"/>
              <w:jc w:val="both"/>
              <w:rPr>
                <w:rFonts w:ascii="Arial (W1)" w:eastAsia="Times New Roman" w:hAnsi="Arial (W1)" w:cs="Times New Roman"/>
                <w:color w:val="000000"/>
                <w:sz w:val="27"/>
                <w:szCs w:val="27"/>
                <w:rtl/>
              </w:rPr>
            </w:pPr>
            <w:r w:rsidRPr="007F797C">
              <w:rPr>
                <w:rFonts w:ascii="David" w:eastAsia="Times New Roman" w:hAnsi="David" w:cs="David"/>
                <w:color w:val="000000"/>
                <w:sz w:val="27"/>
                <w:szCs w:val="27"/>
                <w:rtl/>
              </w:rPr>
              <w:t> </w:t>
            </w:r>
            <w:bookmarkStart w:id="0" w:name="ABSTRACT_END"/>
            <w:bookmarkEnd w:id="0"/>
          </w:p>
          <w:p w14:paraId="0920986E" w14:textId="45B94504" w:rsidR="007F797C" w:rsidRPr="00EE5551" w:rsidRDefault="00DD69A1" w:rsidP="00EE5551">
            <w:pPr>
              <w:pStyle w:val="a3"/>
              <w:numPr>
                <w:ilvl w:val="0"/>
                <w:numId w:val="2"/>
              </w:numPr>
              <w:shd w:val="clear" w:color="auto" w:fill="FFFFFF"/>
              <w:spacing w:after="0" w:line="360" w:lineRule="atLeast"/>
              <w:jc w:val="both"/>
              <w:rPr>
                <w:rFonts w:ascii="Arial (W1)" w:eastAsia="Times New Roman" w:hAnsi="Arial (W1)" w:cs="Times New Roman"/>
                <w:color w:val="000000"/>
                <w:sz w:val="27"/>
                <w:szCs w:val="27"/>
                <w:rtl/>
              </w:rPr>
            </w:pPr>
            <w:r w:rsidRPr="00EE5551">
              <w:rPr>
                <w:rFonts w:ascii="David" w:eastAsia="Times New Roman" w:hAnsi="David" w:cs="David" w:hint="cs"/>
                <w:i/>
                <w:iCs/>
                <w:color w:val="000000"/>
                <w:sz w:val="27"/>
                <w:szCs w:val="27"/>
                <w:rtl/>
              </w:rPr>
              <w:t>טענת השוטר</w:t>
            </w:r>
            <w:r w:rsidRPr="00EE5551">
              <w:rPr>
                <w:rFonts w:ascii="David" w:eastAsia="Times New Roman" w:hAnsi="David" w:cs="David" w:hint="cs"/>
                <w:color w:val="000000"/>
                <w:sz w:val="27"/>
                <w:szCs w:val="27"/>
                <w:rtl/>
              </w:rPr>
              <w:t xml:space="preserve"> היא ש</w:t>
            </w:r>
            <w:r w:rsidR="007F797C" w:rsidRPr="00EE5551">
              <w:rPr>
                <w:rFonts w:ascii="David" w:eastAsia="Times New Roman" w:hAnsi="David" w:cs="David"/>
                <w:color w:val="000000"/>
                <w:sz w:val="27"/>
                <w:szCs w:val="27"/>
                <w:rtl/>
              </w:rPr>
              <w:t>הבחין בנאשם ממרחק של 15 מטרים נכנס לצומת מבלי שנתן זכות קדימה שלרכב אחר שנאלץ לשבור את ההגה ימינה כאשר יש מרחק של 2-3 מטרים בין הרכבים.  </w:t>
            </w:r>
          </w:p>
          <w:p w14:paraId="42845B39" w14:textId="77777777" w:rsidR="007F797C" w:rsidRPr="007F797C" w:rsidRDefault="007F797C" w:rsidP="007F797C">
            <w:pPr>
              <w:shd w:val="clear" w:color="auto" w:fill="FFFFFF"/>
              <w:spacing w:after="0" w:line="360" w:lineRule="atLeast"/>
              <w:ind w:left="720"/>
              <w:jc w:val="both"/>
              <w:rPr>
                <w:rFonts w:ascii="Arial (W1)" w:eastAsia="Times New Roman" w:hAnsi="Arial (W1)" w:cs="Times New Roman"/>
                <w:color w:val="000000"/>
                <w:sz w:val="27"/>
                <w:szCs w:val="27"/>
                <w:rtl/>
              </w:rPr>
            </w:pPr>
            <w:r w:rsidRPr="007F797C">
              <w:rPr>
                <w:rFonts w:ascii="David" w:eastAsia="Times New Roman" w:hAnsi="David" w:cs="David"/>
                <w:color w:val="000000"/>
                <w:sz w:val="27"/>
                <w:szCs w:val="27"/>
                <w:rtl/>
              </w:rPr>
              <w:t> </w:t>
            </w:r>
          </w:p>
          <w:p w14:paraId="074D2864" w14:textId="5808C4DF" w:rsidR="007F797C" w:rsidRDefault="007F797C" w:rsidP="00EE5551">
            <w:pPr>
              <w:pStyle w:val="a3"/>
              <w:numPr>
                <w:ilvl w:val="0"/>
                <w:numId w:val="2"/>
              </w:numPr>
              <w:shd w:val="clear" w:color="auto" w:fill="FFFFFF"/>
              <w:spacing w:after="0" w:line="360" w:lineRule="atLeast"/>
              <w:jc w:val="both"/>
              <w:rPr>
                <w:rFonts w:ascii="Arial (W1)" w:eastAsia="Times New Roman" w:hAnsi="Arial (W1)" w:cs="Times New Roman"/>
                <w:color w:val="000000"/>
                <w:sz w:val="27"/>
                <w:szCs w:val="27"/>
              </w:rPr>
            </w:pPr>
            <w:r w:rsidRPr="00EE5551">
              <w:rPr>
                <w:rFonts w:ascii="David" w:eastAsia="Times New Roman" w:hAnsi="David" w:cs="David"/>
                <w:i/>
                <w:iCs/>
                <w:color w:val="000000"/>
                <w:sz w:val="27"/>
                <w:szCs w:val="27"/>
                <w:rtl/>
              </w:rPr>
              <w:t>הנאשם טען</w:t>
            </w:r>
            <w:r w:rsidRPr="00EE5551">
              <w:rPr>
                <w:rFonts w:ascii="David" w:eastAsia="Times New Roman" w:hAnsi="David" w:cs="David"/>
                <w:color w:val="000000"/>
                <w:sz w:val="27"/>
                <w:szCs w:val="27"/>
                <w:rtl/>
              </w:rPr>
              <w:t xml:space="preserve"> כי המרחק ממנו עמד השוטר ביחס לרכב הנאשם עמד על 75 מטרים ולא על 15 מטרים כטענת השוטר, מה שעשוי היה להקשות </w:t>
            </w:r>
            <w:r w:rsidRPr="00EE5551">
              <w:rPr>
                <w:rFonts w:ascii="David" w:eastAsia="Times New Roman" w:hAnsi="David" w:cs="David"/>
                <w:color w:val="000000"/>
                <w:sz w:val="27"/>
                <w:szCs w:val="27"/>
                <w:rtl/>
              </w:rPr>
              <w:lastRenderedPageBreak/>
              <w:t>על השוטר להבחין בביצוע העבירה. </w:t>
            </w:r>
            <w:r w:rsidRPr="00EE5551">
              <w:rPr>
                <w:rFonts w:ascii="David" w:eastAsia="Times New Roman" w:hAnsi="David" w:cs="David"/>
                <w:b/>
                <w:bCs/>
                <w:color w:val="000000"/>
                <w:sz w:val="27"/>
                <w:szCs w:val="27"/>
                <w:rtl/>
              </w:rPr>
              <w:t>שנית</w:t>
            </w:r>
            <w:r w:rsidRPr="00EE5551">
              <w:rPr>
                <w:rFonts w:ascii="David" w:eastAsia="Times New Roman" w:hAnsi="David" w:cs="David"/>
                <w:color w:val="000000"/>
                <w:sz w:val="27"/>
                <w:szCs w:val="27"/>
                <w:rtl/>
              </w:rPr>
              <w:t xml:space="preserve">, הנאשם לא חלק על העובדה כי נכנס לצומת, אלא טען כי הרכב המעורב נסע באיטיות, מה </w:t>
            </w:r>
            <w:proofErr w:type="spellStart"/>
            <w:r w:rsidRPr="00EE5551">
              <w:rPr>
                <w:rFonts w:ascii="David" w:eastAsia="Times New Roman" w:hAnsi="David" w:cs="David"/>
                <w:color w:val="000000"/>
                <w:sz w:val="27"/>
                <w:szCs w:val="27"/>
                <w:rtl/>
              </w:rPr>
              <w:t>שאיפשר</w:t>
            </w:r>
            <w:proofErr w:type="spellEnd"/>
            <w:r w:rsidRPr="00EE5551">
              <w:rPr>
                <w:rFonts w:ascii="David" w:eastAsia="Times New Roman" w:hAnsi="David" w:cs="David"/>
                <w:color w:val="000000"/>
                <w:sz w:val="27"/>
                <w:szCs w:val="27"/>
                <w:rtl/>
              </w:rPr>
              <w:t xml:space="preserve"> לו להיכנס לתוך הצומת. לא ניתן לשלול גרסה זו לאור העובדה כי השוטר לא ציין בדו"ח מה </w:t>
            </w:r>
            <w:proofErr w:type="spellStart"/>
            <w:r w:rsidRPr="00EE5551">
              <w:rPr>
                <w:rFonts w:ascii="David" w:eastAsia="Times New Roman" w:hAnsi="David" w:cs="David"/>
                <w:color w:val="000000"/>
                <w:sz w:val="27"/>
                <w:szCs w:val="27"/>
                <w:rtl/>
              </w:rPr>
              <w:t>היתה</w:t>
            </w:r>
            <w:proofErr w:type="spellEnd"/>
            <w:r w:rsidRPr="00EE5551">
              <w:rPr>
                <w:rFonts w:ascii="David" w:eastAsia="Times New Roman" w:hAnsi="David" w:cs="David"/>
                <w:color w:val="000000"/>
                <w:sz w:val="27"/>
                <w:szCs w:val="27"/>
                <w:rtl/>
              </w:rPr>
              <w:t xml:space="preserve"> מהירות הרכב המעורב ובאיזה מרחק היה מרכב הנאשם שעה שהנאשם החל להיכנס לצומת. משכך, בשל הנתונים החסרים, לא ניתן לקבוע נחרצות את אשמת הנאשם ביחס לשבירת ההגה ימינה מצד הרכב המעורב כפי שטען השוטר בדו"ח וזאת אף לאור העובדה כי טען הנאשם בעדותו כי הרכב המעורב היה במרחק של 30 מטר ממנו כאשר נכנס לצומת המדוברת.  </w:t>
            </w:r>
          </w:p>
          <w:p w14:paraId="2C4E1902" w14:textId="77777777" w:rsidR="00507178" w:rsidRPr="00507178" w:rsidRDefault="00507178" w:rsidP="00507178">
            <w:pPr>
              <w:pStyle w:val="a3"/>
              <w:rPr>
                <w:rFonts w:ascii="Arial (W1)" w:eastAsia="Times New Roman" w:hAnsi="Arial (W1)" w:cs="Times New Roman"/>
                <w:color w:val="000000"/>
                <w:sz w:val="27"/>
                <w:szCs w:val="27"/>
                <w:rtl/>
              </w:rPr>
            </w:pPr>
          </w:p>
          <w:p w14:paraId="63757674" w14:textId="36F74F8C" w:rsidR="00507178" w:rsidRPr="00C709F8" w:rsidRDefault="00507178" w:rsidP="00507178">
            <w:pPr>
              <w:pStyle w:val="a3"/>
              <w:shd w:val="clear" w:color="auto" w:fill="FFFFFF"/>
              <w:spacing w:after="0" w:line="360" w:lineRule="atLeast"/>
              <w:ind w:left="1440"/>
              <w:jc w:val="both"/>
              <w:rPr>
                <w:rFonts w:ascii="Arial (W1)" w:eastAsia="Times New Roman" w:hAnsi="Arial (W1)" w:cs="Times New Roman"/>
                <w:b/>
                <w:bCs/>
                <w:i/>
                <w:iCs/>
                <w:color w:val="000000"/>
                <w:sz w:val="32"/>
                <w:szCs w:val="32"/>
                <w:rtl/>
              </w:rPr>
            </w:pPr>
            <w:r w:rsidRPr="00C709F8">
              <w:rPr>
                <w:rFonts w:ascii="Arial (W1)" w:eastAsia="Times New Roman" w:hAnsi="Arial (W1)" w:cs="Times New Roman" w:hint="cs"/>
                <w:b/>
                <w:bCs/>
                <w:i/>
                <w:iCs/>
                <w:color w:val="000000"/>
                <w:sz w:val="32"/>
                <w:szCs w:val="32"/>
                <w:rtl/>
              </w:rPr>
              <w:t xml:space="preserve">על כן נפסק לזיכוי </w:t>
            </w:r>
          </w:p>
          <w:p w14:paraId="36133F4C" w14:textId="77777777" w:rsidR="007F797C" w:rsidRPr="007F797C" w:rsidRDefault="007F797C" w:rsidP="007F797C">
            <w:pPr>
              <w:shd w:val="clear" w:color="auto" w:fill="FFFFFF"/>
              <w:spacing w:after="0" w:line="360" w:lineRule="atLeast"/>
              <w:jc w:val="both"/>
              <w:rPr>
                <w:rFonts w:ascii="Arial (W1)" w:eastAsia="Times New Roman" w:hAnsi="Arial (W1)" w:cs="Times New Roman"/>
                <w:color w:val="000000"/>
                <w:sz w:val="27"/>
                <w:szCs w:val="27"/>
                <w:rtl/>
              </w:rPr>
            </w:pPr>
            <w:r w:rsidRPr="007F797C">
              <w:rPr>
                <w:rFonts w:ascii="David" w:eastAsia="Times New Roman" w:hAnsi="David" w:cs="David"/>
                <w:color w:val="000000"/>
                <w:sz w:val="27"/>
                <w:szCs w:val="27"/>
                <w:rtl/>
              </w:rPr>
              <w:t> </w:t>
            </w:r>
          </w:p>
          <w:p w14:paraId="729B32D0" w14:textId="744B9373" w:rsidR="00C351F2" w:rsidRPr="00C351F2" w:rsidRDefault="00C351F2" w:rsidP="00C351F2">
            <w:pPr>
              <w:spacing w:after="0" w:line="240" w:lineRule="auto"/>
              <w:jc w:val="both"/>
              <w:rPr>
                <w:rFonts w:ascii="Arial (W1)" w:eastAsia="Times New Roman" w:hAnsi="Arial (W1)" w:cs="Times New Roman"/>
                <w:i/>
                <w:iCs/>
                <w:color w:val="000000"/>
                <w:sz w:val="32"/>
                <w:szCs w:val="32"/>
                <w:u w:val="single"/>
                <w:rtl/>
              </w:rPr>
            </w:pPr>
          </w:p>
        </w:tc>
      </w:tr>
    </w:tbl>
    <w:p w14:paraId="1A2A4F6F" w14:textId="77777777" w:rsidR="00ED4BD0" w:rsidRPr="00C351F2" w:rsidRDefault="00ED4BD0" w:rsidP="00B6667B">
      <w:pPr>
        <w:rPr>
          <w:rFonts w:asciiTheme="minorBidi" w:hAnsiTheme="minorBidi"/>
          <w:b/>
          <w:bCs/>
          <w:sz w:val="28"/>
          <w:szCs w:val="28"/>
        </w:rPr>
      </w:pPr>
    </w:p>
    <w:sectPr w:rsidR="00ED4BD0" w:rsidRPr="00C351F2" w:rsidSect="00343F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C3361"/>
    <w:multiLevelType w:val="hybridMultilevel"/>
    <w:tmpl w:val="69C88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2F0E8F"/>
    <w:multiLevelType w:val="hybridMultilevel"/>
    <w:tmpl w:val="62F0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240671">
    <w:abstractNumId w:val="1"/>
  </w:num>
  <w:num w:numId="2" w16cid:durableId="634919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7B"/>
    <w:rsid w:val="00227BEE"/>
    <w:rsid w:val="00343F25"/>
    <w:rsid w:val="00375BF0"/>
    <w:rsid w:val="003955A6"/>
    <w:rsid w:val="00507178"/>
    <w:rsid w:val="00514B8D"/>
    <w:rsid w:val="007821A5"/>
    <w:rsid w:val="007F797C"/>
    <w:rsid w:val="00865483"/>
    <w:rsid w:val="00A32B3E"/>
    <w:rsid w:val="00B50938"/>
    <w:rsid w:val="00B6667B"/>
    <w:rsid w:val="00C30D58"/>
    <w:rsid w:val="00C351F2"/>
    <w:rsid w:val="00C709F8"/>
    <w:rsid w:val="00DD69A1"/>
    <w:rsid w:val="00E06EE5"/>
    <w:rsid w:val="00ED4BD0"/>
    <w:rsid w:val="00EE55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26A8"/>
  <w15:chartTrackingRefBased/>
  <w15:docId w15:val="{6B0CAE1A-7638-4354-98C1-EE94402E3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iPriority w:val="9"/>
    <w:unhideWhenUsed/>
    <w:qFormat/>
    <w:rsid w:val="00C70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667B"/>
    <w:pPr>
      <w:ind w:left="720"/>
      <w:contextualSpacing/>
    </w:pPr>
  </w:style>
  <w:style w:type="character" w:customStyle="1" w:styleId="20">
    <w:name w:val="כותרת 2 תו"/>
    <w:basedOn w:val="a0"/>
    <w:link w:val="2"/>
    <w:uiPriority w:val="9"/>
    <w:rsid w:val="00C709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05514">
      <w:bodyDiv w:val="1"/>
      <w:marLeft w:val="0"/>
      <w:marRight w:val="0"/>
      <w:marTop w:val="0"/>
      <w:marBottom w:val="0"/>
      <w:divBdr>
        <w:top w:val="none" w:sz="0" w:space="0" w:color="auto"/>
        <w:left w:val="none" w:sz="0" w:space="0" w:color="auto"/>
        <w:bottom w:val="none" w:sz="0" w:space="0" w:color="auto"/>
        <w:right w:val="none" w:sz="0" w:space="0" w:color="auto"/>
      </w:divBdr>
    </w:div>
    <w:div w:id="1603486586">
      <w:bodyDiv w:val="1"/>
      <w:marLeft w:val="0"/>
      <w:marRight w:val="0"/>
      <w:marTop w:val="0"/>
      <w:marBottom w:val="0"/>
      <w:divBdr>
        <w:top w:val="none" w:sz="0" w:space="0" w:color="auto"/>
        <w:left w:val="none" w:sz="0" w:space="0" w:color="auto"/>
        <w:bottom w:val="none" w:sz="0" w:space="0" w:color="auto"/>
        <w:right w:val="none" w:sz="0" w:space="0" w:color="auto"/>
      </w:divBdr>
    </w:div>
    <w:div w:id="1848516640">
      <w:bodyDiv w:val="1"/>
      <w:marLeft w:val="0"/>
      <w:marRight w:val="0"/>
      <w:marTop w:val="0"/>
      <w:marBottom w:val="0"/>
      <w:divBdr>
        <w:top w:val="none" w:sz="0" w:space="0" w:color="auto"/>
        <w:left w:val="none" w:sz="0" w:space="0" w:color="auto"/>
        <w:bottom w:val="none" w:sz="0" w:space="0" w:color="auto"/>
        <w:right w:val="none" w:sz="0" w:space="0" w:color="auto"/>
      </w:divBdr>
    </w:div>
    <w:div w:id="187387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zproxy.ono.ac.il:2141/law/74274"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527</Words>
  <Characters>2637</Characters>
  <Application>Microsoft Office Word</Application>
  <DocSecurity>0</DocSecurity>
  <Lines>21</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משה שניאור</dc:creator>
  <cp:keywords/>
  <dc:description/>
  <cp:lastModifiedBy>משה שניאור</cp:lastModifiedBy>
  <cp:revision>18</cp:revision>
  <dcterms:created xsi:type="dcterms:W3CDTF">2022-02-28T16:32:00Z</dcterms:created>
  <dcterms:modified xsi:type="dcterms:W3CDTF">2023-03-02T20:14:00Z</dcterms:modified>
</cp:coreProperties>
</file>