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35C8" w14:textId="2A545DCA" w:rsidR="00077FC0" w:rsidRDefault="00077FC0">
      <w:pPr>
        <w:rPr>
          <w:b/>
          <w:bCs/>
          <w:sz w:val="48"/>
          <w:szCs w:val="48"/>
          <w:rtl/>
        </w:rPr>
      </w:pPr>
      <w:r>
        <w:rPr>
          <w:rFonts w:hint="cs"/>
          <w:b/>
          <w:bCs/>
          <w:sz w:val="48"/>
          <w:szCs w:val="48"/>
          <w:rtl/>
        </w:rPr>
        <w:t>לחצן-כניסה לחניית רכבים</w:t>
      </w:r>
    </w:p>
    <w:p w14:paraId="6929B065" w14:textId="77777777" w:rsidR="00390816" w:rsidRPr="00D47E36" w:rsidRDefault="00390816">
      <w:pPr>
        <w:rPr>
          <w:sz w:val="36"/>
          <w:szCs w:val="36"/>
          <w:rtl/>
        </w:rPr>
      </w:pPr>
    </w:p>
    <w:p w14:paraId="7F60F119" w14:textId="77777777" w:rsidR="00390816" w:rsidRPr="00D47E36" w:rsidRDefault="00390816">
      <w:pPr>
        <w:rPr>
          <w:b/>
          <w:bCs/>
          <w:sz w:val="28"/>
          <w:szCs w:val="28"/>
          <w:u w:val="single"/>
          <w:rtl/>
        </w:rPr>
      </w:pPr>
      <w:r w:rsidRPr="00D47E36">
        <w:rPr>
          <w:rFonts w:hint="cs"/>
          <w:b/>
          <w:bCs/>
          <w:sz w:val="28"/>
          <w:szCs w:val="28"/>
          <w:u w:val="single"/>
          <w:rtl/>
        </w:rPr>
        <w:t>במקרה שהשער אינו פעיל /או מדובר בשטח פרטי של מוסד ולא חניון ציבורי</w:t>
      </w:r>
    </w:p>
    <w:p w14:paraId="450E4730" w14:textId="77777777" w:rsidR="00390816" w:rsidRPr="00D47E36" w:rsidRDefault="00390816">
      <w:pPr>
        <w:rPr>
          <w:sz w:val="28"/>
          <w:szCs w:val="28"/>
          <w:rtl/>
        </w:rPr>
      </w:pPr>
    </w:p>
    <w:p w14:paraId="4FCDE70F" w14:textId="77777777" w:rsidR="00390816" w:rsidRPr="00077FC0" w:rsidRDefault="00390816">
      <w:pPr>
        <w:rPr>
          <w:i/>
          <w:iCs/>
          <w:sz w:val="24"/>
          <w:szCs w:val="24"/>
          <w:u w:val="single"/>
          <w:rtl/>
        </w:rPr>
      </w:pPr>
      <w:r w:rsidRPr="00077FC0">
        <w:rPr>
          <w:rFonts w:hint="cs"/>
          <w:i/>
          <w:iCs/>
          <w:sz w:val="24"/>
          <w:szCs w:val="24"/>
          <w:u w:val="single"/>
          <w:rtl/>
        </w:rPr>
        <w:t>מבוסס ע"פ פס"ד 71966-07-16</w:t>
      </w:r>
    </w:p>
    <w:p w14:paraId="2926167F" w14:textId="77777777" w:rsidR="00390816" w:rsidRPr="00077FC0" w:rsidRDefault="00390816">
      <w:pPr>
        <w:rPr>
          <w:i/>
          <w:iCs/>
          <w:sz w:val="24"/>
          <w:szCs w:val="24"/>
          <w:u w:val="single"/>
          <w:rtl/>
        </w:rPr>
      </w:pPr>
      <w:r w:rsidRPr="00077FC0">
        <w:rPr>
          <w:rFonts w:hint="cs"/>
          <w:i/>
          <w:iCs/>
          <w:sz w:val="24"/>
          <w:szCs w:val="24"/>
          <w:u w:val="single"/>
          <w:rtl/>
        </w:rPr>
        <w:t xml:space="preserve">מדינת ישראל נגד שלום </w:t>
      </w:r>
      <w:proofErr w:type="spellStart"/>
      <w:r w:rsidRPr="00077FC0">
        <w:rPr>
          <w:rFonts w:hint="cs"/>
          <w:i/>
          <w:iCs/>
          <w:sz w:val="24"/>
          <w:szCs w:val="24"/>
          <w:u w:val="single"/>
          <w:rtl/>
        </w:rPr>
        <w:t>וויזגן</w:t>
      </w:r>
      <w:proofErr w:type="spellEnd"/>
    </w:p>
    <w:p w14:paraId="3539DD21" w14:textId="77777777" w:rsidR="00390816" w:rsidRPr="00077FC0" w:rsidRDefault="00390816">
      <w:pPr>
        <w:rPr>
          <w:i/>
          <w:iCs/>
          <w:sz w:val="24"/>
          <w:szCs w:val="24"/>
          <w:u w:val="single"/>
          <w:rtl/>
        </w:rPr>
      </w:pPr>
      <w:r w:rsidRPr="00077FC0">
        <w:rPr>
          <w:rFonts w:hint="cs"/>
          <w:i/>
          <w:iCs/>
          <w:sz w:val="24"/>
          <w:szCs w:val="24"/>
          <w:u w:val="single"/>
          <w:rtl/>
        </w:rPr>
        <w:t xml:space="preserve">ביהמ"ש </w:t>
      </w:r>
      <w:proofErr w:type="spellStart"/>
      <w:r w:rsidRPr="00077FC0">
        <w:rPr>
          <w:rFonts w:hint="cs"/>
          <w:i/>
          <w:iCs/>
          <w:sz w:val="24"/>
          <w:szCs w:val="24"/>
          <w:u w:val="single"/>
          <w:rtl/>
        </w:rPr>
        <w:t>לעינינים</w:t>
      </w:r>
      <w:proofErr w:type="spellEnd"/>
      <w:r w:rsidRPr="00077FC0">
        <w:rPr>
          <w:rFonts w:hint="cs"/>
          <w:i/>
          <w:iCs/>
          <w:sz w:val="24"/>
          <w:szCs w:val="24"/>
          <w:u w:val="single"/>
          <w:rtl/>
        </w:rPr>
        <w:t xml:space="preserve"> מקומיים בירושלים </w:t>
      </w:r>
    </w:p>
    <w:p w14:paraId="07E51069" w14:textId="77777777" w:rsidR="00390816" w:rsidRPr="00077FC0" w:rsidRDefault="00390816">
      <w:pPr>
        <w:rPr>
          <w:sz w:val="24"/>
          <w:szCs w:val="24"/>
          <w:u w:val="single"/>
          <w:rtl/>
        </w:rPr>
      </w:pPr>
      <w:r w:rsidRPr="00077FC0">
        <w:rPr>
          <w:rFonts w:hint="cs"/>
          <w:i/>
          <w:iCs/>
          <w:sz w:val="24"/>
          <w:szCs w:val="24"/>
          <w:u w:val="single"/>
          <w:rtl/>
        </w:rPr>
        <w:t>בפני כבוד השופטת סיגל אלבו</w:t>
      </w:r>
      <w:r w:rsidRPr="00077FC0">
        <w:rPr>
          <w:rFonts w:hint="cs"/>
          <w:sz w:val="24"/>
          <w:szCs w:val="24"/>
          <w:u w:val="single"/>
          <w:rtl/>
        </w:rPr>
        <w:t xml:space="preserve"> </w:t>
      </w:r>
    </w:p>
    <w:p w14:paraId="79B34251" w14:textId="77777777" w:rsidR="00390816" w:rsidRPr="00D47E36" w:rsidRDefault="00390816">
      <w:pPr>
        <w:rPr>
          <w:sz w:val="28"/>
          <w:szCs w:val="28"/>
          <w:rtl/>
        </w:rPr>
      </w:pPr>
    </w:p>
    <w:p w14:paraId="45D59534" w14:textId="77777777" w:rsidR="00077FC0" w:rsidRDefault="00390816" w:rsidP="00390816">
      <w:pPr>
        <w:rPr>
          <w:sz w:val="28"/>
          <w:szCs w:val="28"/>
          <w:rtl/>
        </w:rPr>
      </w:pPr>
      <w:r w:rsidRPr="00D47E36">
        <w:rPr>
          <w:rFonts w:hint="cs"/>
          <w:sz w:val="28"/>
          <w:szCs w:val="28"/>
          <w:rtl/>
        </w:rPr>
        <w:t xml:space="preserve">לנאשם יוחסה עבירה </w:t>
      </w:r>
      <w:r w:rsidR="00077FC0">
        <w:rPr>
          <w:rFonts w:hint="cs"/>
          <w:sz w:val="28"/>
          <w:szCs w:val="28"/>
          <w:rtl/>
        </w:rPr>
        <w:t>,</w:t>
      </w:r>
      <w:r w:rsidRPr="00D47E36">
        <w:rPr>
          <w:rFonts w:hint="cs"/>
          <w:sz w:val="28"/>
          <w:szCs w:val="28"/>
          <w:rtl/>
        </w:rPr>
        <w:t>של חניה במקום איסור עצירה</w:t>
      </w:r>
      <w:r w:rsidR="00077FC0">
        <w:rPr>
          <w:rFonts w:hint="cs"/>
          <w:sz w:val="28"/>
          <w:szCs w:val="28"/>
          <w:rtl/>
        </w:rPr>
        <w:t>,</w:t>
      </w:r>
      <w:r w:rsidRPr="00D47E36">
        <w:rPr>
          <w:rFonts w:hint="cs"/>
          <w:sz w:val="28"/>
          <w:szCs w:val="28"/>
          <w:rtl/>
        </w:rPr>
        <w:t xml:space="preserve"> המסומן באדום לבן</w:t>
      </w:r>
      <w:r w:rsidR="00077FC0">
        <w:rPr>
          <w:rFonts w:hint="cs"/>
          <w:sz w:val="28"/>
          <w:szCs w:val="28"/>
          <w:rtl/>
        </w:rPr>
        <w:t>.</w:t>
      </w:r>
    </w:p>
    <w:p w14:paraId="6D0403C7" w14:textId="30714B95" w:rsidR="00390816" w:rsidRPr="00D47E36" w:rsidRDefault="00390816" w:rsidP="00390816">
      <w:pPr>
        <w:rPr>
          <w:sz w:val="28"/>
          <w:szCs w:val="28"/>
          <w:rtl/>
        </w:rPr>
      </w:pPr>
      <w:r w:rsidRPr="00D47E36">
        <w:rPr>
          <w:rFonts w:hint="cs"/>
          <w:sz w:val="28"/>
          <w:szCs w:val="28"/>
          <w:rtl/>
        </w:rPr>
        <w:t>האישום הנ"ל בוטל</w:t>
      </w:r>
      <w:r w:rsidR="00077FC0">
        <w:rPr>
          <w:rFonts w:hint="cs"/>
          <w:sz w:val="28"/>
          <w:szCs w:val="28"/>
          <w:rtl/>
        </w:rPr>
        <w:t>,</w:t>
      </w:r>
      <w:r w:rsidRPr="00D47E36">
        <w:rPr>
          <w:rFonts w:hint="cs"/>
          <w:sz w:val="28"/>
          <w:szCs w:val="28"/>
          <w:rtl/>
        </w:rPr>
        <w:t xml:space="preserve"> עקב כך שהוכח שבמקום עצירתו לא היה סימון </w:t>
      </w:r>
      <w:r w:rsidR="00077FC0">
        <w:rPr>
          <w:rFonts w:hint="cs"/>
          <w:sz w:val="28"/>
          <w:szCs w:val="28"/>
          <w:rtl/>
        </w:rPr>
        <w:t>.</w:t>
      </w:r>
    </w:p>
    <w:p w14:paraId="4EDDFB97" w14:textId="77777777" w:rsidR="00077FC0" w:rsidRDefault="00390816" w:rsidP="00390816">
      <w:pPr>
        <w:rPr>
          <w:sz w:val="28"/>
          <w:szCs w:val="28"/>
          <w:rtl/>
        </w:rPr>
      </w:pPr>
      <w:r w:rsidRPr="00D47E36">
        <w:rPr>
          <w:rFonts w:hint="cs"/>
          <w:sz w:val="28"/>
          <w:szCs w:val="28"/>
          <w:rtl/>
        </w:rPr>
        <w:t>המאשימה ניסתה להאשימו בחסימת שער כניסה המיועד לכניסת כלי רכב אך נפסק לזיכוי עקב כך שהמאשימה לא הוכיחה מעבר לכל ספק סביר כי המקום בו חנה הוא מקום כניסה לשטח המיועד לכלי רכב</w:t>
      </w:r>
    </w:p>
    <w:p w14:paraId="4E11C7ED" w14:textId="3980E665" w:rsidR="00390816" w:rsidRPr="00D47E36" w:rsidRDefault="00390816" w:rsidP="00390816">
      <w:pPr>
        <w:rPr>
          <w:sz w:val="28"/>
          <w:szCs w:val="28"/>
          <w:rtl/>
        </w:rPr>
      </w:pPr>
      <w:r w:rsidRPr="00D47E36">
        <w:rPr>
          <w:rFonts w:hint="cs"/>
          <w:sz w:val="28"/>
          <w:szCs w:val="28"/>
          <w:rtl/>
        </w:rPr>
        <w:t xml:space="preserve"> </w:t>
      </w:r>
      <w:r w:rsidRPr="00077FC0">
        <w:rPr>
          <w:rFonts w:hint="cs"/>
          <w:b/>
          <w:bCs/>
          <w:i/>
          <w:iCs/>
          <w:sz w:val="28"/>
          <w:szCs w:val="28"/>
          <w:u w:val="single"/>
          <w:rtl/>
        </w:rPr>
        <w:t>כמו כן הנאשם הגיש מסמך</w:t>
      </w:r>
      <w:r w:rsidRPr="00D47E36">
        <w:rPr>
          <w:rFonts w:hint="cs"/>
          <w:sz w:val="28"/>
          <w:szCs w:val="28"/>
          <w:rtl/>
        </w:rPr>
        <w:t xml:space="preserve"> מטעם קצין ביטחון אגד</w:t>
      </w:r>
      <w:r w:rsidR="00077FC0">
        <w:rPr>
          <w:rFonts w:hint="cs"/>
          <w:sz w:val="28"/>
          <w:szCs w:val="28"/>
          <w:rtl/>
        </w:rPr>
        <w:t>,</w:t>
      </w:r>
      <w:r w:rsidRPr="00D47E36">
        <w:rPr>
          <w:rFonts w:hint="cs"/>
          <w:sz w:val="28"/>
          <w:szCs w:val="28"/>
          <w:rtl/>
        </w:rPr>
        <w:t xml:space="preserve"> ממנו עולה </w:t>
      </w:r>
      <w:r w:rsidR="00077FC0">
        <w:rPr>
          <w:rFonts w:hint="cs"/>
          <w:sz w:val="28"/>
          <w:szCs w:val="28"/>
          <w:rtl/>
        </w:rPr>
        <w:t>,</w:t>
      </w:r>
      <w:r w:rsidRPr="00D47E36">
        <w:rPr>
          <w:rFonts w:hint="cs"/>
          <w:sz w:val="28"/>
          <w:szCs w:val="28"/>
          <w:rtl/>
        </w:rPr>
        <w:t>כי מדובר בשער יציאת חירום לאוטובוסים</w:t>
      </w:r>
      <w:r w:rsidR="00077FC0">
        <w:rPr>
          <w:rFonts w:hint="cs"/>
          <w:sz w:val="28"/>
          <w:szCs w:val="28"/>
          <w:rtl/>
        </w:rPr>
        <w:t>,</w:t>
      </w:r>
      <w:r w:rsidRPr="00D47E36">
        <w:rPr>
          <w:rFonts w:hint="cs"/>
          <w:sz w:val="28"/>
          <w:szCs w:val="28"/>
          <w:rtl/>
        </w:rPr>
        <w:t xml:space="preserve"> אשר נפתח רק בשעות חירום</w:t>
      </w:r>
      <w:r w:rsidR="00077FC0">
        <w:rPr>
          <w:rFonts w:hint="cs"/>
          <w:sz w:val="28"/>
          <w:szCs w:val="28"/>
          <w:rtl/>
        </w:rPr>
        <w:t>.</w:t>
      </w:r>
      <w:r w:rsidRPr="00D47E36">
        <w:rPr>
          <w:rFonts w:hint="cs"/>
          <w:sz w:val="28"/>
          <w:szCs w:val="28"/>
          <w:rtl/>
        </w:rPr>
        <w:t xml:space="preserve"> ועל כן הוכח שאין מדובר בשער כניסה</w:t>
      </w:r>
      <w:r w:rsidR="00077FC0">
        <w:rPr>
          <w:rFonts w:hint="cs"/>
          <w:sz w:val="28"/>
          <w:szCs w:val="28"/>
          <w:rtl/>
        </w:rPr>
        <w:t>,</w:t>
      </w:r>
      <w:r w:rsidRPr="00D47E36">
        <w:rPr>
          <w:rFonts w:hint="cs"/>
          <w:sz w:val="28"/>
          <w:szCs w:val="28"/>
          <w:rtl/>
        </w:rPr>
        <w:t xml:space="preserve"> כי אם בשער סגור שאינו משמש בשגרה לכניסת ויציאת כלי רכב</w:t>
      </w:r>
      <w:r w:rsidR="00077FC0">
        <w:rPr>
          <w:rFonts w:hint="cs"/>
          <w:sz w:val="28"/>
          <w:szCs w:val="28"/>
          <w:rtl/>
        </w:rPr>
        <w:t>,</w:t>
      </w:r>
      <w:r w:rsidRPr="00D47E36">
        <w:rPr>
          <w:rFonts w:hint="cs"/>
          <w:sz w:val="28"/>
          <w:szCs w:val="28"/>
          <w:rtl/>
        </w:rPr>
        <w:t xml:space="preserve"> ועל כן לא חל לגביו האיסור הקבוע בתקנה 72 {א} {4}</w:t>
      </w:r>
    </w:p>
    <w:p w14:paraId="1B2FB8D3" w14:textId="77777777" w:rsidR="00390816" w:rsidRPr="00077FC0" w:rsidRDefault="00390816" w:rsidP="00390816">
      <w:pPr>
        <w:rPr>
          <w:b/>
          <w:bCs/>
          <w:sz w:val="28"/>
          <w:szCs w:val="28"/>
          <w:u w:val="single"/>
          <w:rtl/>
        </w:rPr>
      </w:pPr>
      <w:r w:rsidRPr="00077FC0">
        <w:rPr>
          <w:rFonts w:hint="cs"/>
          <w:b/>
          <w:bCs/>
          <w:sz w:val="28"/>
          <w:szCs w:val="28"/>
          <w:u w:val="single"/>
          <w:rtl/>
        </w:rPr>
        <w:t xml:space="preserve">ולפיכך נפסק לזיכוי </w:t>
      </w:r>
    </w:p>
    <w:p w14:paraId="10D23572" w14:textId="77777777" w:rsidR="00390816" w:rsidRPr="00D47E36" w:rsidRDefault="00390816" w:rsidP="00390816">
      <w:pPr>
        <w:rPr>
          <w:sz w:val="28"/>
          <w:szCs w:val="28"/>
          <w:rtl/>
        </w:rPr>
      </w:pPr>
    </w:p>
    <w:p w14:paraId="6B591221" w14:textId="77777777" w:rsidR="00390816" w:rsidRPr="00D47E36" w:rsidRDefault="00390816" w:rsidP="00390816">
      <w:pPr>
        <w:spacing w:after="0" w:line="360" w:lineRule="atLeast"/>
        <w:ind w:left="720" w:hanging="360"/>
        <w:jc w:val="both"/>
        <w:rPr>
          <w:rFonts w:ascii="Times New Roman" w:eastAsia="Times New Roman" w:hAnsi="Times New Roman" w:cs="Times New Roman"/>
          <w:color w:val="000000"/>
          <w:sz w:val="24"/>
          <w:szCs w:val="24"/>
          <w:rtl/>
        </w:rPr>
      </w:pPr>
    </w:p>
    <w:p w14:paraId="53197346" w14:textId="6067954D" w:rsidR="00390816" w:rsidRDefault="00077FC0" w:rsidP="00390816">
      <w:pPr>
        <w:rPr>
          <w:b/>
          <w:bCs/>
          <w:sz w:val="40"/>
          <w:szCs w:val="40"/>
          <w:rtl/>
        </w:rPr>
      </w:pPr>
      <w:r>
        <w:rPr>
          <w:rFonts w:hint="cs"/>
          <w:b/>
          <w:bCs/>
          <w:sz w:val="40"/>
          <w:szCs w:val="40"/>
          <w:rtl/>
        </w:rPr>
        <w:t>לחצן-</w:t>
      </w:r>
      <w:r w:rsidR="00390816" w:rsidRPr="00D47E36">
        <w:rPr>
          <w:rFonts w:hint="cs"/>
          <w:b/>
          <w:bCs/>
          <w:sz w:val="40"/>
          <w:szCs w:val="40"/>
          <w:rtl/>
        </w:rPr>
        <w:t>ל</w:t>
      </w:r>
      <w:r>
        <w:rPr>
          <w:rFonts w:hint="cs"/>
          <w:b/>
          <w:bCs/>
          <w:sz w:val="40"/>
          <w:szCs w:val="40"/>
          <w:rtl/>
        </w:rPr>
        <w:t xml:space="preserve">צורך הורדת </w:t>
      </w:r>
      <w:r w:rsidR="00390816" w:rsidRPr="00D47E36">
        <w:rPr>
          <w:rFonts w:hint="cs"/>
          <w:b/>
          <w:bCs/>
          <w:sz w:val="40"/>
          <w:szCs w:val="40"/>
          <w:rtl/>
        </w:rPr>
        <w:t xml:space="preserve">נוסעים </w:t>
      </w:r>
    </w:p>
    <w:p w14:paraId="126824DE" w14:textId="77777777" w:rsidR="00D47E36" w:rsidRPr="00D47E36" w:rsidRDefault="00D47E36" w:rsidP="00390816">
      <w:pPr>
        <w:rPr>
          <w:b/>
          <w:bCs/>
          <w:sz w:val="40"/>
          <w:szCs w:val="40"/>
          <w:rtl/>
        </w:rPr>
      </w:pPr>
    </w:p>
    <w:p w14:paraId="405B035C" w14:textId="77777777" w:rsidR="00390816" w:rsidRPr="00D47E36" w:rsidRDefault="00390816" w:rsidP="00D47E36">
      <w:pPr>
        <w:rPr>
          <w:i/>
          <w:iCs/>
          <w:sz w:val="28"/>
          <w:szCs w:val="28"/>
          <w:u w:val="single"/>
          <w:rtl/>
        </w:rPr>
      </w:pPr>
      <w:r w:rsidRPr="00D47E36">
        <w:rPr>
          <w:rFonts w:hint="cs"/>
          <w:i/>
          <w:iCs/>
          <w:sz w:val="28"/>
          <w:szCs w:val="28"/>
          <w:u w:val="single"/>
          <w:rtl/>
        </w:rPr>
        <w:t xml:space="preserve">הדוח אינו חוקי על פי החוק ודינו לביטול </w:t>
      </w:r>
    </w:p>
    <w:p w14:paraId="7E9CA86D" w14:textId="77777777" w:rsidR="00390816" w:rsidRPr="00D47E36" w:rsidRDefault="00D47E36" w:rsidP="00390816">
      <w:pPr>
        <w:rPr>
          <w:i/>
          <w:iCs/>
          <w:sz w:val="28"/>
          <w:szCs w:val="28"/>
          <w:u w:val="single"/>
          <w:rtl/>
        </w:rPr>
      </w:pPr>
      <w:r w:rsidRPr="00D47E36">
        <w:rPr>
          <w:rFonts w:hint="cs"/>
          <w:i/>
          <w:iCs/>
          <w:sz w:val="28"/>
          <w:szCs w:val="28"/>
          <w:u w:val="single"/>
          <w:rtl/>
        </w:rPr>
        <w:t xml:space="preserve">על המערער </w:t>
      </w:r>
      <w:r w:rsidR="00390816" w:rsidRPr="00D47E36">
        <w:rPr>
          <w:rFonts w:hint="cs"/>
          <w:i/>
          <w:iCs/>
          <w:sz w:val="28"/>
          <w:szCs w:val="28"/>
          <w:u w:val="single"/>
          <w:rtl/>
        </w:rPr>
        <w:t xml:space="preserve">לצרף את הרשום למטה </w:t>
      </w:r>
    </w:p>
    <w:p w14:paraId="5AF64CCA" w14:textId="77777777" w:rsidR="00390816" w:rsidRPr="00D47E36" w:rsidRDefault="00390816" w:rsidP="00390816">
      <w:pPr>
        <w:pStyle w:val="p00"/>
        <w:bidi/>
        <w:spacing w:before="72" w:beforeAutospacing="0" w:after="0" w:afterAutospacing="0"/>
        <w:ind w:right="1134"/>
        <w:rPr>
          <w:color w:val="000000"/>
          <w:sz w:val="20"/>
          <w:szCs w:val="20"/>
        </w:rPr>
      </w:pPr>
      <w:r w:rsidRPr="00D47E36">
        <w:rPr>
          <w:rStyle w:val="big-number"/>
          <w:rFonts w:ascii="Time New Roman" w:hAnsi="Time New Roman"/>
          <w:b/>
          <w:bCs/>
          <w:sz w:val="27"/>
          <w:szCs w:val="27"/>
          <w:rtl/>
        </w:rPr>
        <w:t>מקומות אסורים בעצירה, בהעמדה ובחניה תק' (מס' 3)  תש"ל-1970 תק' (מס' 2) תשל"א-1971</w:t>
      </w:r>
    </w:p>
    <w:p w14:paraId="35ECD081" w14:textId="77777777" w:rsidR="00390816" w:rsidRPr="00D47E36" w:rsidRDefault="00390816" w:rsidP="00390816">
      <w:pPr>
        <w:pStyle w:val="p00"/>
        <w:bidi/>
        <w:spacing w:before="72" w:beforeAutospacing="0" w:after="0" w:afterAutospacing="0"/>
        <w:ind w:right="1134"/>
        <w:jc w:val="both"/>
        <w:rPr>
          <w:rFonts w:ascii="Arial" w:hAnsi="Arial" w:cs="Arial"/>
          <w:color w:val="000000"/>
          <w:sz w:val="20"/>
          <w:szCs w:val="20"/>
          <w:rtl/>
        </w:rPr>
      </w:pPr>
      <w:r w:rsidRPr="00D47E36">
        <w:rPr>
          <w:rStyle w:val="big-number"/>
          <w:rFonts w:ascii="Miriam" w:hAnsi="Miriam" w:cs="Miriam"/>
          <w:color w:val="000000"/>
          <w:sz w:val="32"/>
          <w:szCs w:val="32"/>
          <w:rtl/>
        </w:rPr>
        <w:t>72</w:t>
      </w:r>
      <w:r w:rsidRPr="00D47E36">
        <w:rPr>
          <w:rStyle w:val="big-number"/>
          <w:rFonts w:ascii="Arial" w:hAnsi="Arial" w:cs="Arial"/>
          <w:color w:val="000000"/>
          <w:sz w:val="32"/>
          <w:szCs w:val="32"/>
          <w:rtl/>
        </w:rPr>
        <w:t>.  </w:t>
      </w:r>
      <w:r w:rsidRPr="00D47E36">
        <w:rPr>
          <w:rStyle w:val="default"/>
          <w:rFonts w:ascii="Arial" w:hAnsi="Arial" w:cs="Arial"/>
          <w:color w:val="000000"/>
          <w:sz w:val="26"/>
          <w:szCs w:val="26"/>
          <w:rtl/>
        </w:rPr>
        <w:t xml:space="preserve">(א)  לא יעצור אדם רכב, לא יעמידנו, לא יחנהו ולא ישאירנו עומד, כולו או חלק ממנו, באחד המקומות המנויים להלן, אלא לשם מניעת תאונה </w:t>
      </w:r>
      <w:r w:rsidRPr="00D47E36">
        <w:rPr>
          <w:rStyle w:val="default"/>
          <w:rFonts w:ascii="Arial" w:hAnsi="Arial" w:cs="Arial"/>
          <w:color w:val="000000"/>
          <w:sz w:val="26"/>
          <w:szCs w:val="26"/>
          <w:rtl/>
        </w:rPr>
        <w:lastRenderedPageBreak/>
        <w:t>או לשם מילוי אחרי הוראה מהוראות תקנות אלה או אם סומן בתמרור אחרת; ואלה המקומות:</w:t>
      </w:r>
    </w:p>
    <w:p w14:paraId="5907A6A6" w14:textId="77777777" w:rsidR="00390816" w:rsidRPr="00D47E36" w:rsidRDefault="00390816" w:rsidP="00390816">
      <w:pPr>
        <w:pStyle w:val="p22"/>
        <w:bidi/>
        <w:spacing w:before="72" w:beforeAutospacing="0" w:after="0" w:afterAutospacing="0"/>
        <w:ind w:left="1021" w:right="1134"/>
        <w:rPr>
          <w:color w:val="000000"/>
          <w:sz w:val="20"/>
          <w:szCs w:val="20"/>
        </w:rPr>
      </w:pPr>
      <w:r w:rsidRPr="00D47E36">
        <w:rPr>
          <w:rStyle w:val="default"/>
          <w:rFonts w:ascii="Time New Roman" w:hAnsi="Time New Roman"/>
          <w:b/>
          <w:bCs/>
          <w:sz w:val="27"/>
          <w:szCs w:val="27"/>
          <w:rtl/>
        </w:rPr>
        <w:t>תק' (מס' 11)  תשע"ח-2018</w:t>
      </w:r>
    </w:p>
    <w:p w14:paraId="15911A94" w14:textId="77777777" w:rsidR="00390816" w:rsidRPr="00D47E36" w:rsidRDefault="00390816" w:rsidP="00390816">
      <w:pPr>
        <w:pStyle w:val="p22"/>
        <w:bidi/>
        <w:spacing w:before="72" w:beforeAutospacing="0" w:after="0" w:afterAutospacing="0"/>
        <w:ind w:left="1021" w:right="1134"/>
        <w:jc w:val="both"/>
        <w:rPr>
          <w:rStyle w:val="default"/>
          <w:rFonts w:asciiTheme="minorHAnsi" w:hAnsiTheme="minorHAnsi" w:cstheme="minorHAnsi"/>
          <w:color w:val="000000"/>
          <w:sz w:val="26"/>
          <w:szCs w:val="26"/>
          <w:rtl/>
        </w:rPr>
      </w:pPr>
      <w:r w:rsidRPr="00D47E36">
        <w:rPr>
          <w:rStyle w:val="default"/>
          <w:rFonts w:asciiTheme="minorHAnsi" w:hAnsiTheme="minorHAnsi" w:cstheme="minorHAnsi"/>
          <w:color w:val="000000"/>
          <w:sz w:val="26"/>
          <w:szCs w:val="26"/>
          <w:rtl/>
        </w:rPr>
        <w:t xml:space="preserve"> (4)   במקום כניסה לשטח המיועד לכלי רכב, פרט להעלאת נוסעים והורדתם</w:t>
      </w:r>
    </w:p>
    <w:p w14:paraId="7AB5654C" w14:textId="77777777" w:rsidR="00390816" w:rsidRPr="00D47E36" w:rsidRDefault="00390816" w:rsidP="00390816">
      <w:pPr>
        <w:pStyle w:val="p22"/>
        <w:bidi/>
        <w:spacing w:before="72" w:beforeAutospacing="0" w:after="0" w:afterAutospacing="0"/>
        <w:ind w:left="1021" w:right="1134"/>
        <w:jc w:val="both"/>
        <w:rPr>
          <w:rStyle w:val="default"/>
          <w:rFonts w:asciiTheme="minorHAnsi" w:hAnsiTheme="minorHAnsi" w:cstheme="minorHAnsi"/>
          <w:color w:val="000000"/>
          <w:sz w:val="26"/>
          <w:szCs w:val="26"/>
          <w:rtl/>
        </w:rPr>
      </w:pPr>
      <w:r w:rsidRPr="00D47E36">
        <w:rPr>
          <w:rStyle w:val="default"/>
          <w:rFonts w:asciiTheme="minorHAnsi" w:hAnsiTheme="minorHAnsi" w:cstheme="minorHAnsi"/>
          <w:color w:val="000000"/>
          <w:sz w:val="26"/>
          <w:szCs w:val="26"/>
          <w:rtl/>
        </w:rPr>
        <w:t>על פי לשון החוק הדו</w:t>
      </w:r>
      <w:r w:rsidR="00D47E36">
        <w:rPr>
          <w:rStyle w:val="default"/>
          <w:rFonts w:asciiTheme="minorHAnsi" w:hAnsiTheme="minorHAnsi" w:cstheme="minorHAnsi" w:hint="cs"/>
          <w:color w:val="000000"/>
          <w:sz w:val="26"/>
          <w:szCs w:val="26"/>
          <w:rtl/>
        </w:rPr>
        <w:t>"</w:t>
      </w:r>
      <w:r w:rsidRPr="00D47E36">
        <w:rPr>
          <w:rStyle w:val="default"/>
          <w:rFonts w:asciiTheme="minorHAnsi" w:hAnsiTheme="minorHAnsi" w:cstheme="minorHAnsi"/>
          <w:color w:val="000000"/>
          <w:sz w:val="26"/>
          <w:szCs w:val="26"/>
          <w:rtl/>
        </w:rPr>
        <w:t>ח אינו חוקי</w:t>
      </w:r>
      <w:r w:rsidR="00D47E36">
        <w:rPr>
          <w:rStyle w:val="default"/>
          <w:rFonts w:asciiTheme="minorHAnsi" w:hAnsiTheme="minorHAnsi" w:cstheme="minorHAnsi" w:hint="cs"/>
          <w:color w:val="000000"/>
          <w:sz w:val="26"/>
          <w:szCs w:val="26"/>
          <w:rtl/>
        </w:rPr>
        <w:t xml:space="preserve"> ודינו לביטול </w:t>
      </w:r>
    </w:p>
    <w:p w14:paraId="1BFC0408" w14:textId="77777777" w:rsidR="00390816" w:rsidRPr="00D47E36" w:rsidRDefault="00390816" w:rsidP="00390816">
      <w:pPr>
        <w:pStyle w:val="p22"/>
        <w:bidi/>
        <w:spacing w:before="72" w:beforeAutospacing="0" w:after="0" w:afterAutospacing="0"/>
        <w:ind w:left="1021" w:right="1134"/>
        <w:jc w:val="both"/>
        <w:rPr>
          <w:rFonts w:asciiTheme="minorHAnsi" w:hAnsiTheme="minorHAnsi" w:cstheme="minorHAnsi"/>
          <w:color w:val="000000"/>
          <w:sz w:val="20"/>
          <w:szCs w:val="20"/>
          <w:rtl/>
        </w:rPr>
      </w:pPr>
    </w:p>
    <w:p w14:paraId="2E335E48" w14:textId="77777777" w:rsidR="00390816" w:rsidRPr="00D47E36" w:rsidRDefault="00390816" w:rsidP="00390816">
      <w:pPr>
        <w:rPr>
          <w:rFonts w:cstheme="minorHAnsi"/>
          <w:sz w:val="32"/>
          <w:szCs w:val="32"/>
        </w:rPr>
      </w:pPr>
    </w:p>
    <w:p w14:paraId="454C6022" w14:textId="4C33DC47" w:rsidR="00584DD8" w:rsidRPr="00D47E36" w:rsidRDefault="00077FC0" w:rsidP="00584DD8">
      <w:pPr>
        <w:shd w:val="clear" w:color="auto" w:fill="FFFFFF"/>
        <w:spacing w:after="0" w:line="360" w:lineRule="atLeast"/>
        <w:ind w:left="720" w:hanging="360"/>
        <w:rPr>
          <w:rFonts w:ascii="Arial" w:eastAsia="Times New Roman" w:hAnsi="Arial" w:cs="Arial"/>
          <w:color w:val="000000"/>
          <w:sz w:val="27"/>
          <w:szCs w:val="27"/>
          <w:rtl/>
        </w:rPr>
      </w:pPr>
      <w:r>
        <w:rPr>
          <w:rFonts w:ascii="Arial" w:eastAsia="Times New Roman" w:hAnsi="Arial" w:cs="Arial" w:hint="cs"/>
          <w:b/>
          <w:bCs/>
          <w:color w:val="000000"/>
          <w:sz w:val="48"/>
          <w:szCs w:val="48"/>
          <w:rtl/>
        </w:rPr>
        <w:t>לחצן-חסימה חלקית</w:t>
      </w:r>
    </w:p>
    <w:p w14:paraId="1E10DA0F" w14:textId="77777777" w:rsidR="00584DD8" w:rsidRPr="00D47E36" w:rsidRDefault="00584DD8" w:rsidP="00584DD8">
      <w:pPr>
        <w:shd w:val="clear" w:color="auto" w:fill="FFFFFF"/>
        <w:spacing w:after="0" w:line="360" w:lineRule="atLeast"/>
        <w:ind w:left="720" w:hanging="360"/>
        <w:rPr>
          <w:rFonts w:ascii="Arial" w:eastAsia="Times New Roman" w:hAnsi="Arial" w:cs="Arial"/>
          <w:color w:val="000000"/>
          <w:sz w:val="27"/>
          <w:szCs w:val="27"/>
          <w:rtl/>
        </w:rPr>
      </w:pPr>
    </w:p>
    <w:p w14:paraId="5EA830DD" w14:textId="2EED8811" w:rsidR="00584DD8" w:rsidRPr="00077FC0" w:rsidRDefault="00D47E36" w:rsidP="00077FC0">
      <w:pPr>
        <w:spacing w:after="0" w:line="300" w:lineRule="atLeast"/>
        <w:jc w:val="both"/>
        <w:rPr>
          <w:rFonts w:asciiTheme="minorBidi" w:eastAsia="Times New Roman" w:hAnsiTheme="minorBidi"/>
          <w:i/>
          <w:iCs/>
          <w:color w:val="000000"/>
          <w:sz w:val="24"/>
          <w:szCs w:val="24"/>
          <w:u w:val="single"/>
          <w:rtl/>
        </w:rPr>
      </w:pPr>
      <w:r w:rsidRPr="00077FC0">
        <w:rPr>
          <w:rFonts w:asciiTheme="minorBidi" w:eastAsia="Times New Roman" w:hAnsiTheme="minorBidi"/>
          <w:i/>
          <w:iCs/>
          <w:color w:val="000000"/>
          <w:sz w:val="24"/>
          <w:szCs w:val="24"/>
          <w:u w:val="single"/>
          <w:rtl/>
        </w:rPr>
        <w:t>בית משפט לע</w:t>
      </w:r>
      <w:r w:rsidR="00584DD8" w:rsidRPr="00077FC0">
        <w:rPr>
          <w:rFonts w:asciiTheme="minorBidi" w:eastAsia="Times New Roman" w:hAnsiTheme="minorBidi"/>
          <w:i/>
          <w:iCs/>
          <w:color w:val="000000"/>
          <w:sz w:val="24"/>
          <w:szCs w:val="24"/>
          <w:u w:val="single"/>
          <w:rtl/>
        </w:rPr>
        <w:t>נ</w:t>
      </w:r>
      <w:r w:rsidRPr="00077FC0">
        <w:rPr>
          <w:rFonts w:asciiTheme="minorBidi" w:eastAsia="Times New Roman" w:hAnsiTheme="minorBidi" w:hint="cs"/>
          <w:i/>
          <w:iCs/>
          <w:color w:val="000000"/>
          <w:sz w:val="24"/>
          <w:szCs w:val="24"/>
          <w:u w:val="single"/>
          <w:rtl/>
        </w:rPr>
        <w:t>י</w:t>
      </w:r>
      <w:r w:rsidR="00584DD8" w:rsidRPr="00077FC0">
        <w:rPr>
          <w:rFonts w:asciiTheme="minorBidi" w:eastAsia="Times New Roman" w:hAnsiTheme="minorBidi"/>
          <w:i/>
          <w:iCs/>
          <w:color w:val="000000"/>
          <w:sz w:val="24"/>
          <w:szCs w:val="24"/>
          <w:u w:val="single"/>
          <w:rtl/>
        </w:rPr>
        <w:t>ינים מקומיים בתל אביב יפו</w:t>
      </w:r>
    </w:p>
    <w:p w14:paraId="1F39F573" w14:textId="2543A3BE" w:rsidR="00D47E36" w:rsidRPr="00077FC0" w:rsidRDefault="00584DD8" w:rsidP="00077FC0">
      <w:pPr>
        <w:spacing w:after="0" w:line="300" w:lineRule="atLeast"/>
        <w:jc w:val="both"/>
        <w:rPr>
          <w:rFonts w:asciiTheme="minorBidi" w:eastAsia="Times New Roman" w:hAnsiTheme="minorBidi"/>
          <w:i/>
          <w:iCs/>
          <w:color w:val="000000"/>
          <w:sz w:val="24"/>
          <w:szCs w:val="24"/>
          <w:u w:val="single"/>
          <w:rtl/>
        </w:rPr>
      </w:pPr>
      <w:r w:rsidRPr="00077FC0">
        <w:rPr>
          <w:rFonts w:asciiTheme="minorBidi" w:eastAsia="Times New Roman" w:hAnsiTheme="minorBidi"/>
          <w:i/>
          <w:iCs/>
          <w:color w:val="000000"/>
          <w:sz w:val="24"/>
          <w:szCs w:val="24"/>
          <w:u w:val="single"/>
          <w:rtl/>
        </w:rPr>
        <w:t>מדינת ישראל נ דוד ביטון 65695-09-17</w:t>
      </w:r>
    </w:p>
    <w:p w14:paraId="0D89F98C" w14:textId="77777777" w:rsidR="00584DD8" w:rsidRPr="00077FC0" w:rsidRDefault="00584DD8" w:rsidP="00D47E36">
      <w:pPr>
        <w:shd w:val="clear" w:color="auto" w:fill="FFFFFF"/>
        <w:spacing w:after="0" w:line="360" w:lineRule="atLeast"/>
        <w:rPr>
          <w:rFonts w:ascii="Arial" w:eastAsia="Times New Roman" w:hAnsi="Arial" w:cs="Arial"/>
          <w:i/>
          <w:iCs/>
          <w:color w:val="000000"/>
          <w:sz w:val="24"/>
          <w:szCs w:val="24"/>
          <w:u w:val="single"/>
          <w:rtl/>
        </w:rPr>
      </w:pPr>
      <w:r w:rsidRPr="00077FC0">
        <w:rPr>
          <w:rFonts w:asciiTheme="minorBidi" w:eastAsia="Times New Roman" w:hAnsiTheme="minorBidi"/>
          <w:i/>
          <w:iCs/>
          <w:color w:val="000000"/>
          <w:sz w:val="24"/>
          <w:szCs w:val="24"/>
          <w:u w:val="single"/>
          <w:rtl/>
        </w:rPr>
        <w:t xml:space="preserve">בפני כבוד השופטת –יפעת </w:t>
      </w:r>
      <w:proofErr w:type="spellStart"/>
      <w:r w:rsidRPr="00077FC0">
        <w:rPr>
          <w:rFonts w:asciiTheme="minorBidi" w:eastAsia="Times New Roman" w:hAnsiTheme="minorBidi"/>
          <w:i/>
          <w:iCs/>
          <w:color w:val="000000"/>
          <w:sz w:val="24"/>
          <w:szCs w:val="24"/>
          <w:u w:val="single"/>
          <w:rtl/>
        </w:rPr>
        <w:t>אונגר</w:t>
      </w:r>
      <w:proofErr w:type="spellEnd"/>
      <w:r w:rsidRPr="00077FC0">
        <w:rPr>
          <w:rFonts w:asciiTheme="minorBidi" w:eastAsia="Times New Roman" w:hAnsiTheme="minorBidi"/>
          <w:i/>
          <w:iCs/>
          <w:color w:val="000000"/>
          <w:sz w:val="24"/>
          <w:szCs w:val="24"/>
          <w:u w:val="single"/>
          <w:rtl/>
        </w:rPr>
        <w:t xml:space="preserve"> ביטון</w:t>
      </w:r>
    </w:p>
    <w:p w14:paraId="01372F41" w14:textId="77777777" w:rsidR="00584DD8" w:rsidRPr="00077FC0" w:rsidRDefault="00584DD8" w:rsidP="00584DD8">
      <w:pPr>
        <w:shd w:val="clear" w:color="auto" w:fill="FFFFFF"/>
        <w:spacing w:after="0" w:line="360" w:lineRule="atLeast"/>
        <w:ind w:left="720" w:hanging="360"/>
        <w:rPr>
          <w:rFonts w:ascii="Arial" w:eastAsia="Times New Roman" w:hAnsi="Arial" w:cs="Arial"/>
          <w:i/>
          <w:iCs/>
          <w:color w:val="000000"/>
          <w:sz w:val="24"/>
          <w:szCs w:val="24"/>
          <w:u w:val="single"/>
          <w:rtl/>
        </w:rPr>
      </w:pPr>
    </w:p>
    <w:p w14:paraId="3D1C775A" w14:textId="77777777" w:rsidR="00584DD8" w:rsidRPr="00D47E36" w:rsidRDefault="00584DD8" w:rsidP="00584DD8">
      <w:pPr>
        <w:shd w:val="clear" w:color="auto" w:fill="FFFFFF"/>
        <w:spacing w:after="0" w:line="360" w:lineRule="atLeast"/>
        <w:rPr>
          <w:rFonts w:ascii="Arial" w:eastAsia="Times New Roman" w:hAnsi="Arial" w:cs="Arial"/>
          <w:color w:val="000000"/>
          <w:sz w:val="27"/>
          <w:szCs w:val="27"/>
          <w:rtl/>
        </w:rPr>
      </w:pPr>
    </w:p>
    <w:p w14:paraId="081B8E05" w14:textId="77777777" w:rsidR="000E6CC7" w:rsidRPr="00D47E36" w:rsidRDefault="000E6CC7" w:rsidP="00584DD8">
      <w:pPr>
        <w:shd w:val="clear" w:color="auto" w:fill="FFFFFF"/>
        <w:spacing w:after="0" w:line="360" w:lineRule="atLeast"/>
        <w:ind w:left="720" w:hanging="360"/>
        <w:rPr>
          <w:rFonts w:asciiTheme="minorBidi" w:eastAsia="Times New Roman" w:hAnsiTheme="minorBidi"/>
          <w:color w:val="000000"/>
          <w:sz w:val="28"/>
          <w:szCs w:val="28"/>
          <w:rtl/>
        </w:rPr>
      </w:pPr>
    </w:p>
    <w:p w14:paraId="2423F7FC" w14:textId="77777777" w:rsidR="000E6CC7" w:rsidRPr="00077FC0" w:rsidRDefault="000E6CC7" w:rsidP="00584DD8">
      <w:pPr>
        <w:shd w:val="clear" w:color="auto" w:fill="FFFFFF"/>
        <w:spacing w:after="0" w:line="360" w:lineRule="atLeast"/>
        <w:ind w:left="720" w:hanging="360"/>
        <w:rPr>
          <w:rFonts w:asciiTheme="minorBidi" w:eastAsia="Times New Roman" w:hAnsiTheme="minorBidi"/>
          <w:b/>
          <w:bCs/>
          <w:color w:val="000000"/>
          <w:sz w:val="28"/>
          <w:szCs w:val="28"/>
          <w:u w:val="single"/>
          <w:rtl/>
        </w:rPr>
      </w:pPr>
      <w:r w:rsidRPr="00077FC0">
        <w:rPr>
          <w:rFonts w:asciiTheme="minorBidi" w:eastAsia="Times New Roman" w:hAnsiTheme="minorBidi" w:hint="cs"/>
          <w:b/>
          <w:bCs/>
          <w:color w:val="000000"/>
          <w:sz w:val="28"/>
          <w:szCs w:val="28"/>
          <w:u w:val="single"/>
          <w:rtl/>
        </w:rPr>
        <w:t xml:space="preserve"> המאשימה ניסתה להאשים את הנאשם בגין  </w:t>
      </w:r>
      <w:r w:rsidR="00584DD8" w:rsidRPr="00077FC0">
        <w:rPr>
          <w:rFonts w:asciiTheme="minorBidi" w:eastAsia="Times New Roman" w:hAnsiTheme="minorBidi"/>
          <w:b/>
          <w:bCs/>
          <w:color w:val="000000"/>
          <w:sz w:val="28"/>
          <w:szCs w:val="28"/>
          <w:u w:val="single"/>
          <w:rtl/>
        </w:rPr>
        <w:t xml:space="preserve">חניה בכניסה לשטח המיועד לחניית כלי רכב. </w:t>
      </w:r>
    </w:p>
    <w:p w14:paraId="12ED51CC" w14:textId="77777777" w:rsidR="000E6CC7" w:rsidRPr="00D47E36" w:rsidRDefault="000E6CC7" w:rsidP="00584DD8">
      <w:pPr>
        <w:shd w:val="clear" w:color="auto" w:fill="FFFFFF"/>
        <w:spacing w:after="0" w:line="360" w:lineRule="atLeast"/>
        <w:ind w:left="720" w:hanging="360"/>
        <w:rPr>
          <w:rFonts w:asciiTheme="minorBidi" w:eastAsia="Times New Roman" w:hAnsiTheme="minorBidi"/>
          <w:color w:val="000000"/>
          <w:sz w:val="28"/>
          <w:szCs w:val="28"/>
          <w:u w:val="single"/>
          <w:rtl/>
        </w:rPr>
      </w:pPr>
      <w:r w:rsidRPr="00D47E36">
        <w:rPr>
          <w:rFonts w:asciiTheme="minorBidi" w:eastAsia="Times New Roman" w:hAnsiTheme="minorBidi" w:hint="cs"/>
          <w:color w:val="000000"/>
          <w:sz w:val="28"/>
          <w:szCs w:val="28"/>
          <w:u w:val="single"/>
          <w:rtl/>
        </w:rPr>
        <w:t xml:space="preserve">     </w:t>
      </w:r>
    </w:p>
    <w:p w14:paraId="3567AB05" w14:textId="77777777" w:rsidR="000E6CC7" w:rsidRPr="00D47E36" w:rsidRDefault="000E6CC7" w:rsidP="00584DD8">
      <w:pPr>
        <w:shd w:val="clear" w:color="auto" w:fill="FFFFFF"/>
        <w:spacing w:after="0" w:line="360" w:lineRule="atLeast"/>
        <w:ind w:left="720" w:hanging="360"/>
        <w:rPr>
          <w:rFonts w:asciiTheme="minorBidi" w:eastAsia="Times New Roman" w:hAnsiTheme="minorBidi"/>
          <w:b/>
          <w:bCs/>
          <w:color w:val="000000"/>
          <w:sz w:val="28"/>
          <w:szCs w:val="28"/>
          <w:u w:val="single"/>
          <w:rtl/>
        </w:rPr>
      </w:pPr>
      <w:r w:rsidRPr="00D47E36">
        <w:rPr>
          <w:rFonts w:asciiTheme="minorBidi" w:eastAsia="Times New Roman" w:hAnsiTheme="minorBidi" w:hint="cs"/>
          <w:b/>
          <w:bCs/>
          <w:color w:val="000000"/>
          <w:sz w:val="28"/>
          <w:szCs w:val="28"/>
          <w:u w:val="single"/>
          <w:rtl/>
        </w:rPr>
        <w:t>טענת הנאשם</w:t>
      </w:r>
      <w:r w:rsidR="00584DD8" w:rsidRPr="00D47E36">
        <w:rPr>
          <w:rFonts w:asciiTheme="minorBidi" w:eastAsia="Times New Roman" w:hAnsiTheme="minorBidi"/>
          <w:b/>
          <w:bCs/>
          <w:color w:val="000000"/>
          <w:sz w:val="28"/>
          <w:szCs w:val="28"/>
          <w:u w:val="single"/>
          <w:rtl/>
        </w:rPr>
        <w:t>.</w:t>
      </w:r>
    </w:p>
    <w:p w14:paraId="0285100E" w14:textId="77777777" w:rsidR="00077FC0" w:rsidRDefault="00584DD8" w:rsidP="00584DD8">
      <w:pPr>
        <w:shd w:val="clear" w:color="auto" w:fill="FFFFFF"/>
        <w:spacing w:after="0" w:line="360" w:lineRule="atLeast"/>
        <w:ind w:left="720" w:hanging="360"/>
        <w:rPr>
          <w:rFonts w:asciiTheme="minorBidi" w:eastAsia="Times New Roman" w:hAnsiTheme="minorBidi"/>
          <w:color w:val="000000"/>
          <w:sz w:val="28"/>
          <w:szCs w:val="28"/>
          <w:rtl/>
        </w:rPr>
      </w:pPr>
      <w:r w:rsidRPr="00D47E36">
        <w:rPr>
          <w:rFonts w:asciiTheme="minorBidi" w:eastAsia="Times New Roman" w:hAnsiTheme="minorBidi"/>
          <w:color w:val="000000"/>
          <w:sz w:val="28"/>
          <w:szCs w:val="28"/>
          <w:rtl/>
        </w:rPr>
        <w:t>מדובר על איסור חנייה בכניסה עצמה, במקום הכניסה </w:t>
      </w:r>
      <w:r w:rsidRPr="00D47E36">
        <w:rPr>
          <w:rFonts w:asciiTheme="minorBidi" w:eastAsia="Times New Roman" w:hAnsiTheme="minorBidi"/>
          <w:color w:val="000000"/>
          <w:sz w:val="28"/>
          <w:szCs w:val="28"/>
          <w:u w:val="single"/>
          <w:rtl/>
        </w:rPr>
        <w:t>בשלמותו</w:t>
      </w:r>
      <w:r w:rsidRPr="00D47E36">
        <w:rPr>
          <w:rFonts w:asciiTheme="minorBidi" w:eastAsia="Times New Roman" w:hAnsiTheme="minorBidi"/>
          <w:color w:val="000000"/>
          <w:sz w:val="28"/>
          <w:szCs w:val="28"/>
          <w:rtl/>
        </w:rPr>
        <w:t xml:space="preserve"> </w:t>
      </w:r>
      <w:r w:rsidR="00077FC0">
        <w:rPr>
          <w:rFonts w:asciiTheme="minorBidi" w:eastAsia="Times New Roman" w:hAnsiTheme="minorBidi" w:hint="cs"/>
          <w:color w:val="000000"/>
          <w:sz w:val="28"/>
          <w:szCs w:val="28"/>
          <w:rtl/>
        </w:rPr>
        <w:t>.</w:t>
      </w:r>
    </w:p>
    <w:p w14:paraId="6518A339" w14:textId="63670704" w:rsidR="00584DD8" w:rsidRPr="00D47E36" w:rsidRDefault="00584DD8" w:rsidP="00584DD8">
      <w:pPr>
        <w:shd w:val="clear" w:color="auto" w:fill="FFFFFF"/>
        <w:spacing w:after="0" w:line="360" w:lineRule="atLeast"/>
        <w:ind w:left="720" w:hanging="360"/>
        <w:rPr>
          <w:rFonts w:asciiTheme="minorBidi" w:eastAsia="Times New Roman" w:hAnsiTheme="minorBidi"/>
          <w:sz w:val="28"/>
          <w:szCs w:val="28"/>
          <w:rtl/>
        </w:rPr>
      </w:pPr>
      <w:r w:rsidRPr="00D47E36">
        <w:rPr>
          <w:rFonts w:asciiTheme="minorBidi" w:eastAsia="Times New Roman" w:hAnsiTheme="minorBidi"/>
          <w:color w:val="000000"/>
          <w:sz w:val="28"/>
          <w:szCs w:val="28"/>
          <w:rtl/>
        </w:rPr>
        <w:t>ולשון החוק שותקת ביחס לחסימה </w:t>
      </w:r>
      <w:r w:rsidRPr="00D47E36">
        <w:rPr>
          <w:rFonts w:asciiTheme="minorBidi" w:eastAsia="Times New Roman" w:hAnsiTheme="minorBidi"/>
          <w:color w:val="000000"/>
          <w:sz w:val="28"/>
          <w:szCs w:val="28"/>
          <w:u w:val="single"/>
          <w:rtl/>
        </w:rPr>
        <w:t>חלקית</w:t>
      </w:r>
      <w:r w:rsidRPr="00D47E36">
        <w:rPr>
          <w:rFonts w:asciiTheme="minorBidi" w:eastAsia="Times New Roman" w:hAnsiTheme="minorBidi"/>
          <w:color w:val="000000"/>
          <w:sz w:val="28"/>
          <w:szCs w:val="28"/>
          <w:rtl/>
        </w:rPr>
        <w:t> של הכניסה. לדבריו</w:t>
      </w:r>
      <w:r w:rsidR="000E6CC7" w:rsidRPr="00D47E36">
        <w:rPr>
          <w:rFonts w:asciiTheme="minorBidi" w:eastAsia="Times New Roman" w:hAnsiTheme="minorBidi" w:hint="cs"/>
          <w:color w:val="000000"/>
          <w:sz w:val="28"/>
          <w:szCs w:val="28"/>
          <w:rtl/>
        </w:rPr>
        <w:t xml:space="preserve"> </w:t>
      </w:r>
      <w:r w:rsidRPr="00D47E36">
        <w:rPr>
          <w:rFonts w:asciiTheme="minorBidi" w:eastAsia="Times New Roman" w:hAnsiTheme="minorBidi"/>
          <w:color w:val="000000"/>
          <w:sz w:val="28"/>
          <w:szCs w:val="28"/>
          <w:rtl/>
        </w:rPr>
        <w:t xml:space="preserve">לו הייתה כוונת המחוקק לאסור חסימה חלקית ושולית של מקום הכניסה היה נוקט לשון ברורה ומציין גם "חלק ממנו". הנאשם סבור כי יתר סעיפי המשנה </w:t>
      </w:r>
      <w:r w:rsidRPr="00D47E36">
        <w:rPr>
          <w:rFonts w:asciiTheme="minorBidi" w:eastAsia="Times New Roman" w:hAnsiTheme="minorBidi"/>
          <w:sz w:val="28"/>
          <w:szCs w:val="28"/>
          <w:rtl/>
        </w:rPr>
        <w:t>של </w:t>
      </w:r>
      <w:hyperlink r:id="rId4" w:tgtFrame="blank" w:history="1">
        <w:r w:rsidRPr="00D47E36">
          <w:rPr>
            <w:rStyle w:val="Hyperlink"/>
            <w:rFonts w:asciiTheme="minorBidi" w:eastAsia="Times New Roman" w:hAnsiTheme="minorBidi"/>
            <w:color w:val="auto"/>
            <w:sz w:val="28"/>
            <w:szCs w:val="28"/>
            <w:rtl/>
          </w:rPr>
          <w:t>סע' 3</w:t>
        </w:r>
      </w:hyperlink>
      <w:r w:rsidRPr="00D47E36">
        <w:rPr>
          <w:rFonts w:asciiTheme="minorBidi" w:eastAsia="Times New Roman" w:hAnsiTheme="minorBidi"/>
          <w:sz w:val="28"/>
          <w:szCs w:val="28"/>
          <w:rtl/>
        </w:rPr>
        <w:t xml:space="preserve"> לחוק החנייה  </w:t>
      </w:r>
      <w:r w:rsidR="000E6CC7" w:rsidRPr="00D47E36">
        <w:rPr>
          <w:rFonts w:asciiTheme="minorBidi" w:eastAsia="Times New Roman" w:hAnsiTheme="minorBidi"/>
          <w:sz w:val="28"/>
          <w:szCs w:val="28"/>
          <w:rtl/>
        </w:rPr>
        <w:t>לנכי</w:t>
      </w:r>
      <w:r w:rsidR="000E6CC7" w:rsidRPr="00D47E36">
        <w:rPr>
          <w:rFonts w:asciiTheme="minorBidi" w:eastAsia="Times New Roman" w:hAnsiTheme="minorBidi" w:hint="cs"/>
          <w:sz w:val="28"/>
          <w:szCs w:val="28"/>
          <w:rtl/>
        </w:rPr>
        <w:t xml:space="preserve">ם  </w:t>
      </w:r>
      <w:r w:rsidRPr="00D47E36">
        <w:rPr>
          <w:rFonts w:asciiTheme="minorBidi" w:eastAsia="Times New Roman" w:hAnsiTheme="minorBidi"/>
          <w:sz w:val="28"/>
          <w:szCs w:val="28"/>
          <w:rtl/>
        </w:rPr>
        <w:t>העוסקים </w:t>
      </w:r>
      <w:r w:rsidRPr="00D47E36">
        <w:rPr>
          <w:rFonts w:asciiTheme="minorBidi" w:eastAsia="Times New Roman" w:hAnsiTheme="minorBidi"/>
          <w:sz w:val="28"/>
          <w:szCs w:val="28"/>
          <w:shd w:val="clear" w:color="auto" w:fill="FFFF66"/>
          <w:rtl/>
        </w:rPr>
        <w:t>במעבר</w:t>
      </w:r>
      <w:r w:rsidRPr="00D47E36">
        <w:rPr>
          <w:rFonts w:asciiTheme="minorBidi" w:eastAsia="Times New Roman" w:hAnsiTheme="minorBidi"/>
          <w:sz w:val="28"/>
          <w:szCs w:val="28"/>
          <w:rtl/>
        </w:rPr>
        <w:t> </w:t>
      </w:r>
      <w:r w:rsidRPr="00D47E36">
        <w:rPr>
          <w:rFonts w:asciiTheme="minorBidi" w:eastAsia="Times New Roman" w:hAnsiTheme="minorBidi"/>
          <w:sz w:val="28"/>
          <w:szCs w:val="28"/>
          <w:shd w:val="clear" w:color="auto" w:fill="FFFF66"/>
          <w:rtl/>
        </w:rPr>
        <w:t>חצייה</w:t>
      </w:r>
      <w:r w:rsidRPr="00D47E36">
        <w:rPr>
          <w:rFonts w:asciiTheme="minorBidi" w:eastAsia="Times New Roman" w:hAnsiTheme="minorBidi"/>
          <w:sz w:val="28"/>
          <w:szCs w:val="28"/>
          <w:rtl/>
        </w:rPr>
        <w:t xml:space="preserve"> ובתחנת מוניות, כתובים בצורה מפורשות תוך שימוש במונח "בתוך". מכך יש להקיש כי כאשר המחוקק רצה לציין דבר מה במדויק הוא נקט לשון מתאימה. לעומת זאת כאשר לא נקט לשון זו, יש לייחס לדבר משמעות שלילית, כלומר - לא </w:t>
      </w:r>
      <w:proofErr w:type="spellStart"/>
      <w:r w:rsidRPr="00D47E36">
        <w:rPr>
          <w:rFonts w:asciiTheme="minorBidi" w:eastAsia="Times New Roman" w:hAnsiTheme="minorBidi"/>
          <w:sz w:val="28"/>
          <w:szCs w:val="28"/>
          <w:rtl/>
        </w:rPr>
        <w:t>היתה</w:t>
      </w:r>
      <w:proofErr w:type="spellEnd"/>
      <w:r w:rsidRPr="00D47E36">
        <w:rPr>
          <w:rFonts w:asciiTheme="minorBidi" w:eastAsia="Times New Roman" w:hAnsiTheme="minorBidi"/>
          <w:sz w:val="28"/>
          <w:szCs w:val="28"/>
          <w:rtl/>
        </w:rPr>
        <w:t xml:space="preserve"> כוונה לאסור את החנייה בשוליים של מקום הכניסה אליו מתייחס סע' 3(2).</w:t>
      </w:r>
    </w:p>
    <w:p w14:paraId="7D3ABBB0" w14:textId="77777777" w:rsidR="00584DD8" w:rsidRPr="00D47E36" w:rsidRDefault="00584DD8" w:rsidP="00584DD8">
      <w:pPr>
        <w:rPr>
          <w:rFonts w:asciiTheme="minorBidi" w:hAnsiTheme="minorBidi"/>
          <w:sz w:val="28"/>
          <w:szCs w:val="28"/>
          <w:rtl/>
        </w:rPr>
      </w:pPr>
    </w:p>
    <w:p w14:paraId="513F440D" w14:textId="77777777" w:rsidR="00390816" w:rsidRPr="00390816" w:rsidRDefault="00390816">
      <w:pPr>
        <w:rPr>
          <w:sz w:val="28"/>
          <w:szCs w:val="28"/>
        </w:rPr>
      </w:pPr>
    </w:p>
    <w:sectPr w:rsidR="00390816" w:rsidRPr="00390816"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816"/>
    <w:rsid w:val="00077FC0"/>
    <w:rsid w:val="000E6CC7"/>
    <w:rsid w:val="00390816"/>
    <w:rsid w:val="00584DD8"/>
    <w:rsid w:val="00AA7B69"/>
    <w:rsid w:val="00CD4688"/>
    <w:rsid w:val="00D47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EC31"/>
  <w15:chartTrackingRefBased/>
  <w15:docId w15:val="{06CF3E5D-673B-4381-93B2-DF6D894E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2">
    <w:name w:val="p22"/>
    <w:basedOn w:val="a"/>
    <w:rsid w:val="003908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
    <w:name w:val="default"/>
    <w:basedOn w:val="a0"/>
    <w:rsid w:val="00390816"/>
  </w:style>
  <w:style w:type="paragraph" w:customStyle="1" w:styleId="p00">
    <w:name w:val="p00"/>
    <w:basedOn w:val="a"/>
    <w:rsid w:val="003908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390816"/>
  </w:style>
  <w:style w:type="character" w:styleId="Hyperlink">
    <w:name w:val="Hyperlink"/>
    <w:basedOn w:val="a0"/>
    <w:uiPriority w:val="99"/>
    <w:semiHidden/>
    <w:unhideWhenUsed/>
    <w:rsid w:val="00584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vo.co.il/law/73096/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362</Words>
  <Characters>1815</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9</cp:revision>
  <dcterms:created xsi:type="dcterms:W3CDTF">2021-02-07T10:06:00Z</dcterms:created>
  <dcterms:modified xsi:type="dcterms:W3CDTF">2023-02-26T01:49:00Z</dcterms:modified>
</cp:coreProperties>
</file>