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9B6D" w14:textId="0F75BAC6" w:rsidR="003C5A87" w:rsidRPr="00356C74" w:rsidRDefault="00FE3770" w:rsidP="003C5A87">
      <w:pPr>
        <w:rPr>
          <w:sz w:val="48"/>
          <w:szCs w:val="48"/>
        </w:rPr>
      </w:pPr>
      <w:r>
        <w:rPr>
          <w:rFonts w:hint="cs"/>
          <w:b/>
          <w:bCs/>
          <w:sz w:val="48"/>
          <w:szCs w:val="48"/>
          <w:rtl/>
        </w:rPr>
        <w:t>שכחתי לעשות פנגו</w:t>
      </w:r>
    </w:p>
    <w:p w14:paraId="09448A5B" w14:textId="77777777" w:rsidR="003C5A87" w:rsidRPr="00356C74" w:rsidRDefault="003C5A87" w:rsidP="003C5A87">
      <w:pPr>
        <w:rPr>
          <w:b/>
          <w:bCs/>
          <w:sz w:val="48"/>
          <w:szCs w:val="48"/>
          <w:u w:val="single"/>
          <w:rtl/>
        </w:rPr>
      </w:pPr>
      <w:r w:rsidRPr="00356C74">
        <w:rPr>
          <w:rFonts w:hint="cs"/>
          <w:b/>
          <w:bCs/>
          <w:sz w:val="48"/>
          <w:szCs w:val="48"/>
          <w:u w:val="single"/>
          <w:rtl/>
        </w:rPr>
        <w:t xml:space="preserve">טיפ כללי </w:t>
      </w:r>
    </w:p>
    <w:p w14:paraId="257C6BCC" w14:textId="77777777" w:rsidR="003C5A87" w:rsidRPr="00FE3770" w:rsidRDefault="003C5A87" w:rsidP="003C5A87">
      <w:pPr>
        <w:rPr>
          <w:sz w:val="32"/>
          <w:szCs w:val="32"/>
          <w:u w:val="single"/>
          <w:rtl/>
        </w:rPr>
      </w:pPr>
      <w:r w:rsidRPr="00FE3770">
        <w:rPr>
          <w:sz w:val="32"/>
          <w:szCs w:val="32"/>
          <w:u w:val="single"/>
          <w:rtl/>
        </w:rPr>
        <w:t>עילה 67 נבצר מהמבקש להציג אישור חניה תקף עד איחור של 30 דקות מבוסס על דוח מבקר המדינה בעיריית תל אביב</w:t>
      </w:r>
    </w:p>
    <w:p w14:paraId="3140476E" w14:textId="5204CEB8" w:rsidR="003C5A87" w:rsidRPr="00356C74" w:rsidRDefault="003C5A87" w:rsidP="003C5A87">
      <w:pPr>
        <w:rPr>
          <w:sz w:val="36"/>
          <w:szCs w:val="36"/>
          <w:rtl/>
        </w:rPr>
      </w:pPr>
      <w:r w:rsidRPr="00356C74">
        <w:rPr>
          <w:sz w:val="32"/>
          <w:szCs w:val="32"/>
          <w:rtl/>
        </w:rPr>
        <w:t xml:space="preserve">אם הגעתם למקום החניה וחניתם אך לא ידעתם האם צריך לשלם פנגו או לא </w:t>
      </w:r>
      <w:r w:rsidR="00FE3770">
        <w:rPr>
          <w:rFonts w:hint="cs"/>
          <w:sz w:val="32"/>
          <w:szCs w:val="32"/>
          <w:rtl/>
        </w:rPr>
        <w:t>,</w:t>
      </w:r>
      <w:r w:rsidRPr="00356C74">
        <w:rPr>
          <w:sz w:val="32"/>
          <w:szCs w:val="32"/>
          <w:rtl/>
        </w:rPr>
        <w:t>וחיפשתם במשך כמה דקות תמרור</w:t>
      </w:r>
      <w:r w:rsidR="00FE3770">
        <w:rPr>
          <w:rFonts w:hint="cs"/>
          <w:sz w:val="32"/>
          <w:szCs w:val="32"/>
          <w:rtl/>
        </w:rPr>
        <w:t>,</w:t>
      </w:r>
      <w:r w:rsidRPr="00356C74">
        <w:rPr>
          <w:sz w:val="32"/>
          <w:szCs w:val="32"/>
          <w:rtl/>
        </w:rPr>
        <w:t xml:space="preserve"> או סימון או שהתרחקתם</w:t>
      </w:r>
      <w:r w:rsidR="00FE3770">
        <w:rPr>
          <w:rFonts w:hint="cs"/>
          <w:sz w:val="32"/>
          <w:szCs w:val="32"/>
          <w:rtl/>
        </w:rPr>
        <w:t xml:space="preserve"> </w:t>
      </w:r>
      <w:r w:rsidRPr="00356C74">
        <w:rPr>
          <w:sz w:val="32"/>
          <w:szCs w:val="32"/>
          <w:rtl/>
        </w:rPr>
        <w:t>לשאול עובר אורח</w:t>
      </w:r>
      <w:r w:rsidR="00FE3770">
        <w:rPr>
          <w:rFonts w:hint="cs"/>
          <w:sz w:val="32"/>
          <w:szCs w:val="32"/>
          <w:rtl/>
        </w:rPr>
        <w:t>.</w:t>
      </w:r>
      <w:r w:rsidRPr="00356C74">
        <w:rPr>
          <w:sz w:val="32"/>
          <w:szCs w:val="32"/>
          <w:rtl/>
        </w:rPr>
        <w:t xml:space="preserve"> ובתוך הזמן הזה קיבלתם דו''ח בתוך מסגרת זמן של  10 דקות ממועד קבלת הד''וח </w:t>
      </w:r>
      <w:r w:rsidR="00457635" w:rsidRPr="00356C74">
        <w:rPr>
          <w:rFonts w:hint="cs"/>
          <w:sz w:val="32"/>
          <w:szCs w:val="32"/>
          <w:rtl/>
        </w:rPr>
        <w:t>{יכול להיות גם יותר זמן .}</w:t>
      </w:r>
      <w:r w:rsidRPr="00356C74">
        <w:rPr>
          <w:sz w:val="32"/>
          <w:szCs w:val="32"/>
          <w:rtl/>
        </w:rPr>
        <w:t>ניתן לשלם פנגו לשמור את החשבונית ולשלוח ערעור בצירוף הסיבה וצילום חשבונית</w:t>
      </w:r>
      <w:r w:rsidRPr="00356C74">
        <w:rPr>
          <w:sz w:val="36"/>
          <w:szCs w:val="36"/>
          <w:rtl/>
        </w:rPr>
        <w:t xml:space="preserve"> </w:t>
      </w:r>
      <w:r w:rsidR="00457635" w:rsidRPr="00356C74">
        <w:rPr>
          <w:rFonts w:hint="cs"/>
          <w:sz w:val="36"/>
          <w:szCs w:val="36"/>
          <w:rtl/>
        </w:rPr>
        <w:t>ועל פי רוב הדו"ח יבוטל מיידית</w:t>
      </w:r>
      <w:r w:rsidR="00FE3770">
        <w:rPr>
          <w:rFonts w:hint="cs"/>
          <w:sz w:val="36"/>
          <w:szCs w:val="36"/>
          <w:rtl/>
        </w:rPr>
        <w:t>.</w:t>
      </w:r>
    </w:p>
    <w:p w14:paraId="0A010408" w14:textId="77777777" w:rsidR="003C5A87" w:rsidRPr="00356C74" w:rsidRDefault="003C5A87" w:rsidP="003C5A87">
      <w:pPr>
        <w:rPr>
          <w:sz w:val="36"/>
          <w:szCs w:val="36"/>
          <w:rtl/>
        </w:rPr>
      </w:pPr>
    </w:p>
    <w:p w14:paraId="1642D0D2" w14:textId="56FB9715" w:rsidR="00356C74" w:rsidRDefault="00FE3770" w:rsidP="003C5A87">
      <w:pPr>
        <w:rPr>
          <w:sz w:val="28"/>
          <w:szCs w:val="28"/>
          <w:rtl/>
        </w:rPr>
      </w:pPr>
      <w:r>
        <w:rPr>
          <w:rFonts w:hint="cs"/>
          <w:b/>
          <w:bCs/>
          <w:sz w:val="40"/>
          <w:szCs w:val="40"/>
          <w:rtl/>
        </w:rPr>
        <w:t>לחצן-בהיעדר תמרור על עמוד</w:t>
      </w:r>
    </w:p>
    <w:p w14:paraId="1C51B9BF" w14:textId="77777777" w:rsidR="003C5A87" w:rsidRPr="00FE3770" w:rsidRDefault="003C5A87" w:rsidP="003C5A87">
      <w:pPr>
        <w:rPr>
          <w:i/>
          <w:iCs/>
          <w:sz w:val="24"/>
          <w:szCs w:val="24"/>
          <w:u w:val="single"/>
          <w:rtl/>
        </w:rPr>
      </w:pPr>
      <w:r w:rsidRPr="00FE3770">
        <w:rPr>
          <w:i/>
          <w:iCs/>
          <w:sz w:val="24"/>
          <w:szCs w:val="24"/>
          <w:u w:val="single"/>
          <w:rtl/>
        </w:rPr>
        <w:t>מדינת  ישראל נ' עדי כהן 8709-03-17</w:t>
      </w:r>
    </w:p>
    <w:p w14:paraId="064F835F" w14:textId="77777777" w:rsidR="003C5A87" w:rsidRPr="00FE3770" w:rsidRDefault="003C5A87" w:rsidP="003C5A87">
      <w:pPr>
        <w:rPr>
          <w:i/>
          <w:iCs/>
          <w:sz w:val="24"/>
          <w:szCs w:val="24"/>
          <w:u w:val="single"/>
          <w:rtl/>
        </w:rPr>
      </w:pPr>
      <w:r w:rsidRPr="00FE3770">
        <w:rPr>
          <w:i/>
          <w:iCs/>
          <w:sz w:val="24"/>
          <w:szCs w:val="24"/>
          <w:u w:val="single"/>
          <w:rtl/>
        </w:rPr>
        <w:t xml:space="preserve">הובא לדיון בפני כבוד סגן הנשיאה שמעון שטיין </w:t>
      </w:r>
    </w:p>
    <w:p w14:paraId="336F82B8" w14:textId="77777777" w:rsidR="003C5A87" w:rsidRPr="00FE3770" w:rsidRDefault="003C5A87" w:rsidP="003C5A87">
      <w:pPr>
        <w:rPr>
          <w:i/>
          <w:iCs/>
          <w:sz w:val="24"/>
          <w:szCs w:val="24"/>
          <w:u w:val="single"/>
          <w:rtl/>
        </w:rPr>
      </w:pPr>
      <w:r w:rsidRPr="00FE3770">
        <w:rPr>
          <w:i/>
          <w:iCs/>
          <w:sz w:val="24"/>
          <w:szCs w:val="24"/>
          <w:u w:val="single"/>
          <w:rtl/>
        </w:rPr>
        <w:t xml:space="preserve">הנאשם חנה במקום חניה מוסדר ללא תשלום פנגו </w:t>
      </w:r>
    </w:p>
    <w:p w14:paraId="57F690F4" w14:textId="77777777" w:rsidR="003C5A87" w:rsidRPr="00FE3770" w:rsidRDefault="003C5A87" w:rsidP="003C5A87">
      <w:pPr>
        <w:rPr>
          <w:i/>
          <w:iCs/>
          <w:sz w:val="24"/>
          <w:szCs w:val="24"/>
          <w:u w:val="single"/>
          <w:rtl/>
        </w:rPr>
      </w:pPr>
      <w:r w:rsidRPr="00FE3770">
        <w:rPr>
          <w:i/>
          <w:iCs/>
          <w:sz w:val="24"/>
          <w:szCs w:val="24"/>
          <w:u w:val="single"/>
          <w:rtl/>
        </w:rPr>
        <w:t xml:space="preserve">ונפסק דינו לזיכוי </w:t>
      </w:r>
    </w:p>
    <w:p w14:paraId="2923BEC1" w14:textId="7CAFD46E" w:rsidR="00356C74" w:rsidRDefault="003C5A87" w:rsidP="00356C74">
      <w:pPr>
        <w:rPr>
          <w:sz w:val="28"/>
          <w:szCs w:val="28"/>
        </w:rPr>
      </w:pPr>
      <w:r w:rsidRPr="00356C74">
        <w:rPr>
          <w:sz w:val="28"/>
          <w:szCs w:val="28"/>
          <w:rtl/>
        </w:rPr>
        <w:t xml:space="preserve">טענתו שכל עוד </w:t>
      </w:r>
      <w:r w:rsidR="00FE3770">
        <w:rPr>
          <w:rFonts w:hint="cs"/>
          <w:sz w:val="28"/>
          <w:szCs w:val="28"/>
          <w:rtl/>
        </w:rPr>
        <w:t>,</w:t>
      </w:r>
      <w:r w:rsidRPr="00356C74">
        <w:rPr>
          <w:sz w:val="28"/>
          <w:szCs w:val="28"/>
          <w:rtl/>
        </w:rPr>
        <w:t xml:space="preserve">שלא הוצבו מלוא התמרורים האמורים במסגרת תמרור 817 </w:t>
      </w:r>
      <w:r w:rsidR="00FE3770">
        <w:rPr>
          <w:rFonts w:hint="cs"/>
          <w:sz w:val="28"/>
          <w:szCs w:val="28"/>
          <w:rtl/>
        </w:rPr>
        <w:t>.</w:t>
      </w:r>
      <w:r w:rsidRPr="00356C74">
        <w:rPr>
          <w:sz w:val="28"/>
          <w:szCs w:val="28"/>
          <w:rtl/>
        </w:rPr>
        <w:t xml:space="preserve">לא נתמלאו התנאים הקבועים בו ואין מדובר במקום חניה מוסדר </w:t>
      </w:r>
      <w:r w:rsidR="00FE3770">
        <w:rPr>
          <w:rFonts w:hint="cs"/>
          <w:sz w:val="28"/>
          <w:szCs w:val="28"/>
          <w:rtl/>
        </w:rPr>
        <w:t>,</w:t>
      </w:r>
      <w:r w:rsidRPr="00356C74">
        <w:rPr>
          <w:sz w:val="28"/>
          <w:szCs w:val="28"/>
          <w:rtl/>
        </w:rPr>
        <w:t>החייב בתשלום הן לנוכח הוראת סעיף 77 לפקודת התעבורה</w:t>
      </w:r>
      <w:r w:rsidR="00FE3770">
        <w:rPr>
          <w:rFonts w:hint="cs"/>
          <w:sz w:val="28"/>
          <w:szCs w:val="28"/>
          <w:rtl/>
        </w:rPr>
        <w:t>,</w:t>
      </w:r>
      <w:r w:rsidRPr="00356C74">
        <w:rPr>
          <w:sz w:val="28"/>
          <w:szCs w:val="28"/>
          <w:rtl/>
        </w:rPr>
        <w:t xml:space="preserve"> והן לנוכח הוראות סעיף 4 א לחוק העזר</w:t>
      </w:r>
      <w:r w:rsidR="00FE3770">
        <w:rPr>
          <w:rFonts w:hint="cs"/>
          <w:sz w:val="28"/>
          <w:szCs w:val="28"/>
          <w:rtl/>
        </w:rPr>
        <w:t>,</w:t>
      </w:r>
      <w:r w:rsidRPr="00356C74">
        <w:rPr>
          <w:sz w:val="28"/>
          <w:szCs w:val="28"/>
          <w:rtl/>
        </w:rPr>
        <w:t xml:space="preserve"> </w:t>
      </w:r>
      <w:r w:rsidR="00356C74">
        <w:rPr>
          <w:rFonts w:hint="cs"/>
          <w:sz w:val="28"/>
          <w:szCs w:val="28"/>
          <w:rtl/>
        </w:rPr>
        <w:t xml:space="preserve">אנו לומדים מכאן </w:t>
      </w:r>
      <w:r w:rsidR="00FE3770">
        <w:rPr>
          <w:rFonts w:hint="cs"/>
          <w:sz w:val="28"/>
          <w:szCs w:val="28"/>
          <w:rtl/>
        </w:rPr>
        <w:t>,</w:t>
      </w:r>
      <w:r w:rsidRPr="00356C74">
        <w:rPr>
          <w:sz w:val="28"/>
          <w:szCs w:val="28"/>
          <w:rtl/>
        </w:rPr>
        <w:t>כי לצד סימון המדרכה לסירוגין</w:t>
      </w:r>
      <w:r w:rsidR="00FE3770">
        <w:rPr>
          <w:rFonts w:hint="cs"/>
          <w:sz w:val="28"/>
          <w:szCs w:val="28"/>
          <w:rtl/>
        </w:rPr>
        <w:t>,</w:t>
      </w:r>
      <w:r w:rsidRPr="00356C74">
        <w:rPr>
          <w:sz w:val="28"/>
          <w:szCs w:val="28"/>
          <w:rtl/>
        </w:rPr>
        <w:t xml:space="preserve"> בכחול לבן יש להציב את תמרור 439 ביחד עם תמרור 626/627 </w:t>
      </w:r>
      <w:r w:rsidR="00FE3770">
        <w:rPr>
          <w:rFonts w:hint="cs"/>
          <w:sz w:val="28"/>
          <w:szCs w:val="28"/>
          <w:rtl/>
        </w:rPr>
        <w:t>.</w:t>
      </w:r>
    </w:p>
    <w:p w14:paraId="5B59AAFC" w14:textId="77777777" w:rsidR="003C5A87" w:rsidRPr="00356C74" w:rsidRDefault="003C5A87" w:rsidP="00356C74">
      <w:pPr>
        <w:rPr>
          <w:b/>
          <w:bCs/>
          <w:sz w:val="28"/>
          <w:szCs w:val="28"/>
          <w:u w:val="single"/>
          <w:rtl/>
        </w:rPr>
      </w:pPr>
      <w:r w:rsidRPr="00356C74">
        <w:rPr>
          <w:b/>
          <w:bCs/>
          <w:sz w:val="28"/>
          <w:szCs w:val="28"/>
          <w:u w:val="single"/>
          <w:rtl/>
        </w:rPr>
        <w:t xml:space="preserve">תמרור 817 </w:t>
      </w:r>
    </w:p>
    <w:p w14:paraId="1A015A38" w14:textId="77777777" w:rsidR="003C5A87" w:rsidRPr="00356C74" w:rsidRDefault="003C5A87" w:rsidP="003C5A87">
      <w:pPr>
        <w:rPr>
          <w:sz w:val="32"/>
          <w:szCs w:val="32"/>
          <w:rtl/>
        </w:rPr>
      </w:pPr>
      <w:r w:rsidRPr="00356C74">
        <w:rPr>
          <w:sz w:val="28"/>
          <w:szCs w:val="28"/>
          <w:rtl/>
        </w:rPr>
        <w:t>אבני שפה צבועות לסירוגין בכחול לבן –החניה מותרת בתשלום על הכביש שליד אבני השפה או על מדרכה על פי הוראת התמרור 439 בצמוד ומתחת לתמרורים 626/ 627</w:t>
      </w:r>
    </w:p>
    <w:p w14:paraId="40EED38F" w14:textId="77777777" w:rsidR="003C5A87" w:rsidRPr="00356C74" w:rsidRDefault="003C5A87" w:rsidP="003C5A87">
      <w:pPr>
        <w:rPr>
          <w:sz w:val="32"/>
          <w:szCs w:val="32"/>
          <w:rtl/>
        </w:rPr>
      </w:pPr>
    </w:p>
    <w:p w14:paraId="2536FE27" w14:textId="2E427E69" w:rsidR="003C5A87" w:rsidRDefault="003C5A87" w:rsidP="003C5A87">
      <w:pPr>
        <w:rPr>
          <w:b/>
          <w:bCs/>
          <w:color w:val="FF0000"/>
          <w:sz w:val="48"/>
          <w:szCs w:val="48"/>
          <w:rtl/>
        </w:rPr>
      </w:pPr>
      <w:r w:rsidRPr="00356C74">
        <w:rPr>
          <w:b/>
          <w:bCs/>
          <w:sz w:val="48"/>
          <w:szCs w:val="48"/>
          <w:rtl/>
        </w:rPr>
        <w:t xml:space="preserve">אין </w:t>
      </w:r>
      <w:r w:rsidR="00FE3770">
        <w:rPr>
          <w:rFonts w:hint="cs"/>
          <w:b/>
          <w:bCs/>
          <w:sz w:val="48"/>
          <w:szCs w:val="48"/>
          <w:rtl/>
        </w:rPr>
        <w:t>ב</w:t>
      </w:r>
      <w:r w:rsidRPr="00356C74">
        <w:rPr>
          <w:b/>
          <w:bCs/>
          <w:sz w:val="48"/>
          <w:szCs w:val="48"/>
          <w:rtl/>
        </w:rPr>
        <w:t>תמרור שעות וימים המותרים לחניה</w:t>
      </w:r>
    </w:p>
    <w:p w14:paraId="49C0D28B" w14:textId="77777777" w:rsidR="00356C74" w:rsidRPr="00356C74" w:rsidRDefault="00356C74" w:rsidP="003C5A87">
      <w:pPr>
        <w:rPr>
          <w:b/>
          <w:bCs/>
          <w:sz w:val="32"/>
          <w:szCs w:val="32"/>
          <w:rtl/>
        </w:rPr>
      </w:pPr>
      <w:r w:rsidRPr="00356C74">
        <w:rPr>
          <w:rFonts w:hint="cs"/>
          <w:b/>
          <w:bCs/>
          <w:sz w:val="32"/>
          <w:szCs w:val="32"/>
          <w:rtl/>
        </w:rPr>
        <w:t xml:space="preserve">צרפו לערעור את הרשום מטה </w:t>
      </w:r>
    </w:p>
    <w:p w14:paraId="0559F711" w14:textId="77777777" w:rsidR="003C5A87" w:rsidRPr="00356C74" w:rsidRDefault="003C5A87" w:rsidP="003C5A87">
      <w:pPr>
        <w:rPr>
          <w:sz w:val="32"/>
          <w:szCs w:val="32"/>
          <w:rtl/>
        </w:rPr>
      </w:pPr>
      <w:r w:rsidRPr="00356C74">
        <w:rPr>
          <w:sz w:val="32"/>
          <w:szCs w:val="32"/>
          <w:rtl/>
        </w:rPr>
        <w:lastRenderedPageBreak/>
        <w:t>על פי החקיקה הראשית משנת 2010 הודעת התעבורה-קביעת לוח תמרורים חייבת הראשות לפרט בתמרור את הימים ושעות בהם החנייה בתשלום.</w:t>
      </w:r>
    </w:p>
    <w:p w14:paraId="6767EF1C" w14:textId="77777777" w:rsidR="003C5A87" w:rsidRPr="00356C74" w:rsidRDefault="003C5A87" w:rsidP="003C5A87">
      <w:pPr>
        <w:rPr>
          <w:sz w:val="32"/>
          <w:szCs w:val="32"/>
          <w:rtl/>
        </w:rPr>
      </w:pPr>
      <w:r w:rsidRPr="00356C74">
        <w:rPr>
          <w:sz w:val="32"/>
          <w:szCs w:val="32"/>
          <w:rtl/>
        </w:rPr>
        <w:t>אכיפה של הוראה עונשית מן הראוי כי תעשה רק במקרים בהם החובה היא ברורה וידועה,מה שלא ניתן לומר במקום בו נעדר אותו שילוט המורה או המפרט את ההסדר שנקבע בחוק העזר.</w:t>
      </w:r>
    </w:p>
    <w:p w14:paraId="194CFE42" w14:textId="77777777" w:rsidR="003C5A87" w:rsidRPr="00356C74" w:rsidRDefault="003C5A87" w:rsidP="003C5A87">
      <w:pPr>
        <w:rPr>
          <w:sz w:val="32"/>
          <w:szCs w:val="32"/>
          <w:rtl/>
        </w:rPr>
      </w:pPr>
      <w:r w:rsidRPr="00356C74">
        <w:rPr>
          <w:sz w:val="32"/>
          <w:szCs w:val="32"/>
          <w:rtl/>
        </w:rPr>
        <w:t>(מתוך פסק דין מזכה 1120-01 פסטרנק).</w:t>
      </w:r>
    </w:p>
    <w:p w14:paraId="39C2F1D5" w14:textId="77777777" w:rsidR="003C5A87" w:rsidRPr="00356C74" w:rsidRDefault="003C5A87" w:rsidP="003C5A87">
      <w:pPr>
        <w:rPr>
          <w:sz w:val="32"/>
          <w:szCs w:val="32"/>
          <w:rtl/>
        </w:rPr>
      </w:pPr>
      <w:r w:rsidRPr="00356C74">
        <w:rPr>
          <w:sz w:val="32"/>
          <w:szCs w:val="32"/>
          <w:rtl/>
        </w:rPr>
        <w:t>ישנה גם התחייבות של העיירה גם בבג"צ לפרסם את הימים והשעות בהם החנייה בתשלום.</w:t>
      </w:r>
    </w:p>
    <w:p w14:paraId="06C459A4" w14:textId="77777777" w:rsidR="003C5A87" w:rsidRPr="00356C74" w:rsidRDefault="003C5A87" w:rsidP="003C5A87">
      <w:pPr>
        <w:rPr>
          <w:sz w:val="32"/>
          <w:szCs w:val="32"/>
          <w:rtl/>
        </w:rPr>
      </w:pPr>
    </w:p>
    <w:p w14:paraId="11FC2557" w14:textId="2BC8CFFC" w:rsidR="00FE3770" w:rsidRDefault="00FE3770" w:rsidP="00FE3770">
      <w:pPr>
        <w:rPr>
          <w:b/>
          <w:bCs/>
          <w:sz w:val="48"/>
          <w:szCs w:val="48"/>
          <w:rtl/>
        </w:rPr>
      </w:pPr>
      <w:r>
        <w:rPr>
          <w:rFonts w:hint="cs"/>
          <w:b/>
          <w:bCs/>
          <w:sz w:val="48"/>
          <w:szCs w:val="48"/>
          <w:rtl/>
        </w:rPr>
        <w:t xml:space="preserve">לחצן-מדרכה לא צבועה </w:t>
      </w:r>
    </w:p>
    <w:p w14:paraId="2BAF6605" w14:textId="3C011E82" w:rsidR="003C5A87" w:rsidRPr="00FE3770" w:rsidRDefault="003C5A87" w:rsidP="00356C74">
      <w:pPr>
        <w:rPr>
          <w:rFonts w:asciiTheme="minorBidi" w:hAnsiTheme="minorBidi"/>
          <w:i/>
          <w:iCs/>
          <w:sz w:val="24"/>
          <w:szCs w:val="24"/>
          <w:u w:val="single"/>
          <w:rtl/>
        </w:rPr>
      </w:pPr>
      <w:r w:rsidRPr="00FE3770">
        <w:rPr>
          <w:rFonts w:asciiTheme="minorBidi" w:hAnsiTheme="minorBidi"/>
          <w:i/>
          <w:iCs/>
          <w:sz w:val="24"/>
          <w:szCs w:val="24"/>
          <w:u w:val="single"/>
          <w:rtl/>
        </w:rPr>
        <w:t>תובנה מ</w:t>
      </w:r>
      <w:r w:rsidR="00356C74" w:rsidRPr="00FE3770">
        <w:rPr>
          <w:rFonts w:asciiTheme="minorBidi" w:hAnsiTheme="minorBidi"/>
          <w:i/>
          <w:iCs/>
          <w:sz w:val="24"/>
          <w:szCs w:val="24"/>
          <w:u w:val="single"/>
          <w:rtl/>
        </w:rPr>
        <w:t>נהלית – בית המשפט מחוזי תל אביב</w:t>
      </w:r>
    </w:p>
    <w:p w14:paraId="02E99AC6" w14:textId="77777777" w:rsidR="00356C74" w:rsidRPr="00FE3770" w:rsidRDefault="003C5A87" w:rsidP="003C5A87">
      <w:pPr>
        <w:rPr>
          <w:rFonts w:asciiTheme="minorBidi" w:hAnsiTheme="minorBidi"/>
          <w:i/>
          <w:iCs/>
          <w:sz w:val="24"/>
          <w:szCs w:val="24"/>
          <w:u w:val="single"/>
          <w:rtl/>
        </w:rPr>
      </w:pPr>
      <w:r w:rsidRPr="00FE3770">
        <w:rPr>
          <w:rFonts w:asciiTheme="minorBidi" w:hAnsiTheme="minorBidi"/>
          <w:i/>
          <w:iCs/>
          <w:sz w:val="24"/>
          <w:szCs w:val="24"/>
          <w:u w:val="single"/>
          <w:rtl/>
        </w:rPr>
        <w:t xml:space="preserve">עמית גפן נ' עריית תל אביב </w:t>
      </w:r>
    </w:p>
    <w:p w14:paraId="56E33FF2" w14:textId="77777777" w:rsidR="00356C74" w:rsidRPr="00FE3770" w:rsidRDefault="003C5A87" w:rsidP="003C5A87">
      <w:pPr>
        <w:rPr>
          <w:rFonts w:asciiTheme="minorBidi" w:hAnsiTheme="minorBidi"/>
          <w:i/>
          <w:iCs/>
          <w:sz w:val="24"/>
          <w:szCs w:val="24"/>
          <w:u w:val="single"/>
          <w:rtl/>
        </w:rPr>
      </w:pPr>
      <w:r w:rsidRPr="00FE3770">
        <w:rPr>
          <w:rFonts w:asciiTheme="minorBidi" w:hAnsiTheme="minorBidi"/>
          <w:i/>
          <w:iCs/>
          <w:sz w:val="24"/>
          <w:szCs w:val="24"/>
          <w:u w:val="single"/>
          <w:rtl/>
        </w:rPr>
        <w:t>מבוסס על פי פסק דין שנקבע לזיכוי</w:t>
      </w:r>
    </w:p>
    <w:p w14:paraId="67191296" w14:textId="77777777" w:rsidR="00356C74" w:rsidRPr="00FE3770" w:rsidRDefault="00356C74" w:rsidP="00356C74">
      <w:pPr>
        <w:rPr>
          <w:rFonts w:asciiTheme="minorBidi" w:hAnsiTheme="minorBidi"/>
          <w:i/>
          <w:iCs/>
          <w:sz w:val="24"/>
          <w:szCs w:val="24"/>
          <w:u w:val="single"/>
          <w:rtl/>
        </w:rPr>
      </w:pPr>
      <w:r w:rsidRPr="00FE3770">
        <w:rPr>
          <w:rFonts w:asciiTheme="minorBidi" w:hAnsiTheme="minorBidi"/>
          <w:i/>
          <w:iCs/>
          <w:sz w:val="24"/>
          <w:szCs w:val="24"/>
          <w:u w:val="single"/>
          <w:rtl/>
        </w:rPr>
        <w:t>מספר תיק 3370-04-10</w:t>
      </w:r>
    </w:p>
    <w:p w14:paraId="47EAF602" w14:textId="77777777" w:rsidR="00356C74" w:rsidRDefault="00356C74" w:rsidP="003C5A87">
      <w:pPr>
        <w:rPr>
          <w:sz w:val="28"/>
          <w:szCs w:val="28"/>
          <w:rtl/>
        </w:rPr>
      </w:pPr>
    </w:p>
    <w:p w14:paraId="1BEC8BB0" w14:textId="44187B10" w:rsidR="003C5A87" w:rsidRPr="00356C74" w:rsidRDefault="003C5A87" w:rsidP="003C5A87">
      <w:pPr>
        <w:rPr>
          <w:sz w:val="28"/>
          <w:szCs w:val="28"/>
          <w:rtl/>
        </w:rPr>
      </w:pPr>
      <w:r w:rsidRPr="00356C74">
        <w:rPr>
          <w:sz w:val="28"/>
          <w:szCs w:val="28"/>
          <w:rtl/>
        </w:rPr>
        <w:t>על מנת ש</w:t>
      </w:r>
      <w:r w:rsidR="00356C74">
        <w:rPr>
          <w:rFonts w:hint="cs"/>
          <w:sz w:val="28"/>
          <w:szCs w:val="28"/>
          <w:rtl/>
        </w:rPr>
        <w:t>ה</w:t>
      </w:r>
      <w:r w:rsidRPr="00356C74">
        <w:rPr>
          <w:sz w:val="28"/>
          <w:szCs w:val="28"/>
          <w:rtl/>
        </w:rPr>
        <w:t>עירייה תוכל לגבות אגרת חניה במקומות מוסדרים</w:t>
      </w:r>
      <w:r w:rsidR="00356C74">
        <w:rPr>
          <w:rFonts w:hint="cs"/>
          <w:sz w:val="28"/>
          <w:szCs w:val="28"/>
          <w:rtl/>
        </w:rPr>
        <w:t xml:space="preserve"> </w:t>
      </w:r>
      <w:r w:rsidR="00FE3770">
        <w:rPr>
          <w:rFonts w:hint="cs"/>
          <w:sz w:val="28"/>
          <w:szCs w:val="28"/>
          <w:rtl/>
        </w:rPr>
        <w:t>,</w:t>
      </w:r>
      <w:r w:rsidR="00356C74">
        <w:rPr>
          <w:sz w:val="28"/>
          <w:szCs w:val="28"/>
          <w:rtl/>
        </w:rPr>
        <w:t>חובה להצי</w:t>
      </w:r>
      <w:r w:rsidR="00356C74">
        <w:rPr>
          <w:rFonts w:hint="cs"/>
          <w:sz w:val="28"/>
          <w:szCs w:val="28"/>
          <w:rtl/>
        </w:rPr>
        <w:t>ב</w:t>
      </w:r>
      <w:r w:rsidRPr="00356C74">
        <w:rPr>
          <w:sz w:val="28"/>
          <w:szCs w:val="28"/>
          <w:rtl/>
        </w:rPr>
        <w:t xml:space="preserve"> שני סוגי תמרורים</w:t>
      </w:r>
      <w:r w:rsidR="00FE3770">
        <w:rPr>
          <w:rFonts w:hint="cs"/>
          <w:sz w:val="28"/>
          <w:szCs w:val="28"/>
          <w:rtl/>
        </w:rPr>
        <w:t>,</w:t>
      </w:r>
      <w:r w:rsidRPr="00356C74">
        <w:rPr>
          <w:sz w:val="28"/>
          <w:szCs w:val="28"/>
          <w:rtl/>
        </w:rPr>
        <w:t xml:space="preserve"> תמרור על גבי עמוד המציין שזו חניה מוסדרת</w:t>
      </w:r>
      <w:r w:rsidR="00FE3770">
        <w:rPr>
          <w:rFonts w:hint="cs"/>
          <w:sz w:val="28"/>
          <w:szCs w:val="28"/>
          <w:rtl/>
        </w:rPr>
        <w:t>,</w:t>
      </w:r>
      <w:r w:rsidRPr="00356C74">
        <w:rPr>
          <w:sz w:val="28"/>
          <w:szCs w:val="28"/>
          <w:rtl/>
        </w:rPr>
        <w:t xml:space="preserve"> והשני צביעת  אבני השפה בכחול לבן (תמרור 817)</w:t>
      </w:r>
      <w:r w:rsidR="00FE3770">
        <w:rPr>
          <w:rFonts w:hint="cs"/>
          <w:sz w:val="28"/>
          <w:szCs w:val="28"/>
          <w:rtl/>
        </w:rPr>
        <w:t>.</w:t>
      </w:r>
    </w:p>
    <w:p w14:paraId="5CB7940F" w14:textId="77777777" w:rsidR="003C5A87" w:rsidRPr="00FE3770" w:rsidRDefault="003C5A87" w:rsidP="003C5A87">
      <w:pPr>
        <w:rPr>
          <w:b/>
          <w:bCs/>
          <w:sz w:val="28"/>
          <w:szCs w:val="28"/>
          <w:u w:val="single"/>
          <w:rtl/>
        </w:rPr>
      </w:pPr>
      <w:r w:rsidRPr="00FE3770">
        <w:rPr>
          <w:b/>
          <w:bCs/>
          <w:sz w:val="28"/>
          <w:szCs w:val="28"/>
          <w:u w:val="single"/>
          <w:rtl/>
        </w:rPr>
        <w:t>לשון החוק-</w:t>
      </w:r>
    </w:p>
    <w:p w14:paraId="09B7FB57" w14:textId="37C63E16" w:rsidR="003C5A87" w:rsidRPr="00356C74" w:rsidRDefault="003C5A87" w:rsidP="003C5A87">
      <w:pPr>
        <w:rPr>
          <w:sz w:val="28"/>
          <w:szCs w:val="28"/>
          <w:rtl/>
        </w:rPr>
      </w:pPr>
      <w:r w:rsidRPr="00356C74">
        <w:rPr>
          <w:sz w:val="28"/>
          <w:szCs w:val="28"/>
          <w:rtl/>
        </w:rPr>
        <w:t>חובה על פי סעיף 77 (א)(2) לסמן בסימון 817 את אבני השפה לאורך מקומות החניה המוסדרים על פי חוקי העזר העירוניים</w:t>
      </w:r>
      <w:r w:rsidR="00FE3770">
        <w:rPr>
          <w:rFonts w:hint="cs"/>
          <w:sz w:val="28"/>
          <w:szCs w:val="28"/>
          <w:rtl/>
        </w:rPr>
        <w:t>,</w:t>
      </w:r>
      <w:r w:rsidRPr="00356C74">
        <w:rPr>
          <w:sz w:val="28"/>
          <w:szCs w:val="28"/>
          <w:rtl/>
        </w:rPr>
        <w:t xml:space="preserve"> שעליהם חלה חובת התשלום </w:t>
      </w:r>
      <w:r w:rsidR="00FE3770">
        <w:rPr>
          <w:rFonts w:hint="cs"/>
          <w:sz w:val="28"/>
          <w:szCs w:val="28"/>
          <w:rtl/>
        </w:rPr>
        <w:t>.</w:t>
      </w:r>
      <w:r w:rsidRPr="00356C74">
        <w:rPr>
          <w:sz w:val="28"/>
          <w:szCs w:val="28"/>
          <w:rtl/>
        </w:rPr>
        <w:t xml:space="preserve">כך שיגדירו במדויק את הקטעים המתאימים </w:t>
      </w:r>
      <w:r w:rsidR="00FE3770">
        <w:rPr>
          <w:rFonts w:hint="cs"/>
          <w:sz w:val="28"/>
          <w:szCs w:val="28"/>
          <w:rtl/>
        </w:rPr>
        <w:t>,</w:t>
      </w:r>
      <w:r w:rsidRPr="00356C74">
        <w:rPr>
          <w:sz w:val="28"/>
          <w:szCs w:val="28"/>
          <w:rtl/>
        </w:rPr>
        <w:t>ובמקרה שהמדרכה מסומנת באדום אפור</w:t>
      </w:r>
      <w:r w:rsidR="00FE3770">
        <w:rPr>
          <w:rFonts w:hint="cs"/>
          <w:sz w:val="28"/>
          <w:szCs w:val="28"/>
          <w:rtl/>
        </w:rPr>
        <w:t>,</w:t>
      </w:r>
      <w:r w:rsidRPr="00356C74">
        <w:rPr>
          <w:sz w:val="28"/>
          <w:szCs w:val="28"/>
          <w:rtl/>
        </w:rPr>
        <w:t xml:space="preserve"> שאין לצבע אפור כל משמעות מבחינת תמרור </w:t>
      </w:r>
      <w:r w:rsidR="00FE3770">
        <w:rPr>
          <w:rFonts w:hint="cs"/>
          <w:sz w:val="28"/>
          <w:szCs w:val="28"/>
          <w:rtl/>
        </w:rPr>
        <w:t>,</w:t>
      </w:r>
      <w:r w:rsidRPr="00356C74">
        <w:rPr>
          <w:sz w:val="28"/>
          <w:szCs w:val="28"/>
          <w:rtl/>
        </w:rPr>
        <w:t xml:space="preserve">או שלא סומנה המדרכה בכלל </w:t>
      </w:r>
      <w:r w:rsidR="00FE3770">
        <w:rPr>
          <w:rFonts w:hint="cs"/>
          <w:sz w:val="28"/>
          <w:szCs w:val="28"/>
          <w:rtl/>
        </w:rPr>
        <w:t>,</w:t>
      </w:r>
      <w:r w:rsidRPr="00356C74">
        <w:rPr>
          <w:sz w:val="28"/>
          <w:szCs w:val="28"/>
          <w:rtl/>
        </w:rPr>
        <w:t xml:space="preserve">אין הצדקה לשלם פנגו </w:t>
      </w:r>
      <w:r w:rsidR="00FE3770">
        <w:rPr>
          <w:rFonts w:hint="cs"/>
          <w:sz w:val="28"/>
          <w:szCs w:val="28"/>
          <w:rtl/>
        </w:rPr>
        <w:t>.</w:t>
      </w:r>
    </w:p>
    <w:p w14:paraId="7231DDB1" w14:textId="77777777" w:rsidR="003C5A87" w:rsidRPr="00356C74" w:rsidRDefault="003C5A87" w:rsidP="003C5A87">
      <w:pPr>
        <w:rPr>
          <w:sz w:val="28"/>
          <w:szCs w:val="28"/>
          <w:rtl/>
        </w:rPr>
      </w:pPr>
      <w:r w:rsidRPr="00356C74">
        <w:rPr>
          <w:sz w:val="28"/>
          <w:szCs w:val="28"/>
          <w:rtl/>
        </w:rPr>
        <w:t>התריע על כך גם מבקר המדינה בשנת2013-תקנות התמרורים –פקודות התעבורה</w:t>
      </w:r>
    </w:p>
    <w:p w14:paraId="7E12CC21" w14:textId="77777777" w:rsidR="003C5A87" w:rsidRPr="00356C74" w:rsidRDefault="003C5A87" w:rsidP="003C5A87">
      <w:pPr>
        <w:rPr>
          <w:sz w:val="28"/>
          <w:szCs w:val="28"/>
          <w:u w:val="single"/>
          <w:rtl/>
        </w:rPr>
      </w:pPr>
      <w:r w:rsidRPr="00356C74">
        <w:rPr>
          <w:rFonts w:hint="cs"/>
          <w:sz w:val="28"/>
          <w:szCs w:val="28"/>
          <w:u w:val="single"/>
          <w:rtl/>
        </w:rPr>
        <w:t>מקומות בהם אין חובה על העירייה לסמן כחול לבן</w:t>
      </w:r>
    </w:p>
    <w:p w14:paraId="322DFF81" w14:textId="77777777" w:rsidR="003C5A87" w:rsidRPr="00356C74" w:rsidRDefault="00F157CB" w:rsidP="00F157CB">
      <w:pPr>
        <w:rPr>
          <w:rFonts w:ascii="Calibri" w:eastAsia="Times New Roman" w:hAnsi="Calibri" w:cs="Arial"/>
          <w:rtl/>
        </w:rPr>
      </w:pPr>
      <w:r w:rsidRPr="00356C74">
        <w:rPr>
          <w:rFonts w:ascii="Calibri" w:eastAsia="Times New Roman" w:hAnsi="Calibri" w:cs="Arial"/>
          <w:rtl/>
        </w:rPr>
        <w:t>1. אבני השפה עשויות מאבן מעוצב</w:t>
      </w:r>
      <w:r w:rsidRPr="00356C74">
        <w:rPr>
          <w:rFonts w:ascii="Calibri" w:eastAsia="Times New Roman" w:hAnsi="Calibri" w:cs="Arial" w:hint="cs"/>
          <w:rtl/>
        </w:rPr>
        <w:t>ת</w:t>
      </w:r>
    </w:p>
    <w:p w14:paraId="29AFD8E6" w14:textId="77777777" w:rsidR="003C5A87" w:rsidRPr="00356C74" w:rsidRDefault="003C5A87" w:rsidP="003C5A87">
      <w:pPr>
        <w:rPr>
          <w:rFonts w:ascii="Calibri" w:eastAsia="Times New Roman" w:hAnsi="Calibri" w:cs="Arial"/>
          <w:rtl/>
        </w:rPr>
      </w:pPr>
      <w:r w:rsidRPr="00356C74">
        <w:rPr>
          <w:rFonts w:ascii="Calibri" w:eastAsia="Times New Roman" w:hAnsi="Calibri" w:cs="Arial"/>
          <w:rtl/>
        </w:rPr>
        <w:t xml:space="preserve"> (2) מקום שבו מוצב אמצעי תשלום לצד כל מקום חניה; </w:t>
      </w:r>
    </w:p>
    <w:p w14:paraId="5A20ABA5" w14:textId="77777777" w:rsidR="003C5A87" w:rsidRPr="00356C74" w:rsidRDefault="003C5A87" w:rsidP="003C5A87">
      <w:pPr>
        <w:rPr>
          <w:rFonts w:ascii="Calibri" w:eastAsia="Times New Roman" w:hAnsi="Calibri" w:cs="Arial"/>
          <w:rtl/>
        </w:rPr>
      </w:pPr>
      <w:r w:rsidRPr="00356C74">
        <w:rPr>
          <w:rFonts w:ascii="Calibri" w:eastAsia="Times New Roman" w:hAnsi="Calibri" w:cs="Arial"/>
          <w:rtl/>
        </w:rPr>
        <w:t xml:space="preserve"> ‏(3) בדרך מתבצעות עבודות שאינן מאפשרות סימ</w:t>
      </w:r>
      <w:r w:rsidR="00F157CB" w:rsidRPr="00356C74">
        <w:rPr>
          <w:rFonts w:ascii="Calibri" w:eastAsia="Times New Roman" w:hAnsi="Calibri" w:cs="Arial"/>
          <w:rtl/>
        </w:rPr>
        <w:t>ון אבני השפה ומוצב בה תמרור 901</w:t>
      </w:r>
    </w:p>
    <w:p w14:paraId="3265CCB5" w14:textId="77777777" w:rsidR="00F157CB" w:rsidRPr="00356C74" w:rsidRDefault="00F157CB" w:rsidP="003C5A87">
      <w:pPr>
        <w:rPr>
          <w:rFonts w:ascii="Calibri" w:eastAsia="Times New Roman" w:hAnsi="Calibri" w:cs="Arial"/>
          <w:rtl/>
        </w:rPr>
      </w:pPr>
      <w:r w:rsidRPr="00356C74">
        <w:rPr>
          <w:rFonts w:cs="Arial"/>
          <w:rtl/>
        </w:rPr>
        <w:lastRenderedPageBreak/>
        <w:t xml:space="preserve">  יחול רק אם רשות התמרור המקומית הציבה תמרור 626 או 627 ותמרור 439 או תמרור 629, הכולל הודעה בדבר חובת התשלום וימי התשלום, או עמדת תשלום במרחק שאינו עולה על 60 מטרים".</w:t>
      </w:r>
    </w:p>
    <w:p w14:paraId="066B0796" w14:textId="77777777" w:rsidR="003C5A87" w:rsidRPr="00356C74" w:rsidRDefault="003C5A87" w:rsidP="003C5A87">
      <w:pPr>
        <w:rPr>
          <w:color w:val="FF0000"/>
          <w:sz w:val="28"/>
          <w:szCs w:val="28"/>
          <w:rtl/>
        </w:rPr>
      </w:pPr>
    </w:p>
    <w:p w14:paraId="530EB213" w14:textId="77777777" w:rsidR="003C5A87" w:rsidRPr="00356C74" w:rsidRDefault="003C5A87" w:rsidP="003C5A87">
      <w:pPr>
        <w:rPr>
          <w:rtl/>
        </w:rPr>
      </w:pPr>
    </w:p>
    <w:p w14:paraId="75D25FA9" w14:textId="02088766" w:rsidR="003C5A87" w:rsidRDefault="003C5A87" w:rsidP="00FE3770">
      <w:pPr>
        <w:rPr>
          <w:sz w:val="24"/>
          <w:szCs w:val="24"/>
          <w:u w:val="single"/>
          <w:rtl/>
        </w:rPr>
      </w:pPr>
      <w:r w:rsidRPr="00FE3770">
        <w:rPr>
          <w:b/>
          <w:bCs/>
          <w:sz w:val="36"/>
          <w:szCs w:val="36"/>
          <w:rtl/>
        </w:rPr>
        <w:t xml:space="preserve">תקדים נוסף שנפסק לזיכוי </w:t>
      </w:r>
    </w:p>
    <w:p w14:paraId="739A05E5" w14:textId="268168B5" w:rsidR="003C5A87" w:rsidRPr="00FE3770" w:rsidRDefault="00FE3770" w:rsidP="003C5A87">
      <w:pPr>
        <w:rPr>
          <w:rFonts w:asciiTheme="minorBidi" w:eastAsia="Times New Roman" w:hAnsiTheme="minorBidi"/>
          <w:color w:val="000000" w:themeColor="text1"/>
          <w:sz w:val="24"/>
          <w:szCs w:val="24"/>
          <w:u w:val="single"/>
          <w:rtl/>
        </w:rPr>
      </w:pPr>
      <w:r w:rsidRPr="00FE3770">
        <w:rPr>
          <w:rFonts w:asciiTheme="minorBidi" w:eastAsia="Times New Roman" w:hAnsiTheme="minorBidi"/>
          <w:color w:val="000000" w:themeColor="text1"/>
          <w:sz w:val="24"/>
          <w:szCs w:val="24"/>
          <w:u w:val="single"/>
          <w:rtl/>
        </w:rPr>
        <w:t>מ"י נ אריה רוט ביהמ"ש לעניינים מקומיים באר שבע</w:t>
      </w:r>
    </w:p>
    <w:p w14:paraId="4D9A9EFA" w14:textId="7D6AFBA5" w:rsidR="00FE3770" w:rsidRPr="00FE3770" w:rsidRDefault="00FE3770" w:rsidP="003C5A87">
      <w:pPr>
        <w:rPr>
          <w:rFonts w:asciiTheme="minorBidi" w:hAnsiTheme="minorBidi"/>
          <w:color w:val="000000" w:themeColor="text1"/>
          <w:sz w:val="24"/>
          <w:szCs w:val="24"/>
          <w:rtl/>
        </w:rPr>
      </w:pPr>
      <w:r w:rsidRPr="00FE3770">
        <w:rPr>
          <w:rFonts w:asciiTheme="minorBidi" w:eastAsia="Times New Roman" w:hAnsiTheme="minorBidi"/>
          <w:color w:val="000000" w:themeColor="text1"/>
          <w:sz w:val="24"/>
          <w:szCs w:val="24"/>
          <w:u w:val="single"/>
          <w:rtl/>
        </w:rPr>
        <w:t>מספר תיק 6098-06-19</w:t>
      </w:r>
      <w:r w:rsidRPr="00FE3770">
        <w:rPr>
          <w:rFonts w:asciiTheme="minorBidi" w:hAnsiTheme="minorBidi"/>
          <w:color w:val="000000" w:themeColor="text1"/>
          <w:sz w:val="24"/>
          <w:szCs w:val="24"/>
          <w:rtl/>
        </w:rPr>
        <w:t xml:space="preserve"> תאריך 19-1-2020</w:t>
      </w:r>
    </w:p>
    <w:p w14:paraId="0C44F609" w14:textId="724F584C" w:rsidR="00FE3770" w:rsidRPr="00FE3770" w:rsidRDefault="00FE3770" w:rsidP="003C5A87">
      <w:pPr>
        <w:rPr>
          <w:rFonts w:asciiTheme="minorBidi" w:hAnsiTheme="minorBidi"/>
          <w:color w:val="000000" w:themeColor="text1"/>
          <w:sz w:val="24"/>
          <w:szCs w:val="24"/>
          <w:rtl/>
        </w:rPr>
      </w:pPr>
      <w:r w:rsidRPr="00FE3770">
        <w:rPr>
          <w:rFonts w:asciiTheme="minorBidi" w:hAnsiTheme="minorBidi"/>
          <w:color w:val="000000" w:themeColor="text1"/>
          <w:sz w:val="24"/>
          <w:szCs w:val="24"/>
          <w:rtl/>
        </w:rPr>
        <w:t>בפני כבוד השופט -חיים פס</w:t>
      </w:r>
    </w:p>
    <w:p w14:paraId="76E12A2F" w14:textId="77777777" w:rsidR="003C5A87" w:rsidRPr="00356C74" w:rsidRDefault="003C5A87" w:rsidP="003C5A87">
      <w:pPr>
        <w:rPr>
          <w:sz w:val="32"/>
          <w:szCs w:val="32"/>
          <w:rtl/>
        </w:rPr>
      </w:pPr>
      <w:r w:rsidRPr="00356C74">
        <w:rPr>
          <w:sz w:val="32"/>
          <w:szCs w:val="32"/>
          <w:rtl/>
        </w:rPr>
        <w:t>הצעת החוק שהועברה בכנסת</w:t>
      </w:r>
    </w:p>
    <w:p w14:paraId="371C40FD" w14:textId="77777777" w:rsidR="003C5A87" w:rsidRPr="00356C74" w:rsidRDefault="003C5A87" w:rsidP="003C5A87">
      <w:pPr>
        <w:pStyle w:val="NormalWeb"/>
        <w:jc w:val="right"/>
        <w:rPr>
          <w:rFonts w:ascii="Arial" w:hAnsi="Arial" w:cs="Arial"/>
          <w:color w:val="000000"/>
          <w:rtl/>
        </w:rPr>
      </w:pPr>
      <w:r w:rsidRPr="00356C74">
        <w:rPr>
          <w:rFonts w:ascii="Arial" w:hAnsi="Arial" w:cs="Arial"/>
          <w:color w:val="000000"/>
          <w:rtl/>
        </w:rPr>
        <w:t>מליאת הכנסת אישרה  בקריאה שנייה ושלישית את הצעת חוק לתיקון פקודת התעבורה, של הח"כים ציפי חוטובלי (הליכוד) ואורי אורבך (הבית היהודי). ההצעה נדונה בוועדת הכלכלה</w:t>
      </w:r>
      <w:r w:rsidRPr="00356C74">
        <w:rPr>
          <w:rFonts w:ascii="Arial" w:hAnsi="Arial" w:cs="Arial"/>
          <w:color w:val="000000"/>
        </w:rPr>
        <w:t>.</w:t>
      </w:r>
    </w:p>
    <w:p w14:paraId="51F603C0" w14:textId="77777777" w:rsidR="003C5A87" w:rsidRPr="00356C74" w:rsidRDefault="003C5A87" w:rsidP="003C5A87">
      <w:pPr>
        <w:pStyle w:val="NormalWeb"/>
        <w:jc w:val="right"/>
        <w:rPr>
          <w:rFonts w:ascii="Arial" w:hAnsi="Arial" w:cs="Arial"/>
          <w:color w:val="000000"/>
        </w:rPr>
      </w:pPr>
      <w:r w:rsidRPr="00356C74">
        <w:rPr>
          <w:rFonts w:ascii="Arial" w:hAnsi="Arial" w:cs="Arial"/>
          <w:color w:val="000000"/>
          <w:rtl/>
        </w:rPr>
        <w:t>הצעת החוק שאושרה סופית, קובעת שעירייה או מועצה מקומית לא תהיה רשאית לקבוע הסדר חניה בתשלום באמצעות הצבת תמרורים על עמודים בלבד, והיא תחויב גם בסימון אבני השפה של המדרכה לסירוגין בצבע כחול</w:t>
      </w:r>
    </w:p>
    <w:p w14:paraId="65FAAE6B" w14:textId="77777777" w:rsidR="003C5A87" w:rsidRPr="00356C74" w:rsidRDefault="003C5A87" w:rsidP="003C5A87">
      <w:pPr>
        <w:pStyle w:val="NormalWeb"/>
        <w:jc w:val="right"/>
        <w:rPr>
          <w:rFonts w:ascii="Arial" w:hAnsi="Arial" w:cs="Arial"/>
          <w:color w:val="000000"/>
          <w:sz w:val="40"/>
          <w:szCs w:val="40"/>
          <w:rtl/>
        </w:rPr>
      </w:pPr>
      <w:r w:rsidRPr="00356C74">
        <w:rPr>
          <w:rFonts w:ascii="Arial" w:hAnsi="Arial" w:cs="Arial"/>
          <w:color w:val="000000"/>
          <w:sz w:val="40"/>
          <w:szCs w:val="40"/>
          <w:rtl/>
        </w:rPr>
        <w:t>השגה על הנאמר ודחייתה</w:t>
      </w:r>
    </w:p>
    <w:p w14:paraId="5D023E9F" w14:textId="77777777" w:rsidR="003C5A87" w:rsidRPr="00356C74" w:rsidRDefault="003C5A87" w:rsidP="003C5A87">
      <w:pPr>
        <w:pStyle w:val="NormalWeb"/>
        <w:jc w:val="right"/>
        <w:rPr>
          <w:rFonts w:ascii="Arial" w:hAnsi="Arial" w:cs="Arial"/>
          <w:color w:val="000000"/>
          <w:sz w:val="28"/>
          <w:szCs w:val="28"/>
          <w:rtl/>
        </w:rPr>
      </w:pPr>
      <w:r w:rsidRPr="00356C74">
        <w:rPr>
          <w:rFonts w:ascii="Arial" w:hAnsi="Arial" w:cs="Arial"/>
          <w:color w:val="000000"/>
          <w:sz w:val="28"/>
          <w:szCs w:val="28"/>
          <w:rtl/>
        </w:rPr>
        <w:t xml:space="preserve">ואם עמדת העירייה היא שבחוק העזר אין כל חובה לסמן את אבני השפה בכחול לבן חשוב לדעת שחוק עזר עירוני הוא חוק שתקף בתחומה של רשות מקומית הסמכות להתקנת חוקי עזר עירוניים ניתנת לכל סוגי הרשויות המקומיות, הן על פי החוקים הכלליים המתייחסים אליהם (פקודת העיריות, פקודת המועצות המקומיות, צו המועצות האזוריות) והן מהוראות חוק מפורטות לנושאים שונים (למשל פקודת התחבורה </w:t>
      </w:r>
    </w:p>
    <w:p w14:paraId="3A294E5A" w14:textId="77777777" w:rsidR="003C5A87" w:rsidRPr="00356C74" w:rsidRDefault="003C5A87" w:rsidP="003C5A87">
      <w:pPr>
        <w:pStyle w:val="NormalWeb"/>
        <w:jc w:val="right"/>
        <w:rPr>
          <w:rFonts w:ascii="Arial" w:hAnsi="Arial" w:cs="Arial"/>
          <w:color w:val="000000"/>
          <w:sz w:val="28"/>
          <w:szCs w:val="28"/>
          <w:rtl/>
        </w:rPr>
      </w:pPr>
      <w:r w:rsidRPr="00356C74">
        <w:rPr>
          <w:rFonts w:ascii="Arial" w:hAnsi="Arial" w:cs="Arial"/>
          <w:color w:val="000000"/>
          <w:sz w:val="28"/>
          <w:szCs w:val="28"/>
        </w:rPr>
        <w:t>.</w:t>
      </w:r>
      <w:r w:rsidRPr="00356C74">
        <w:rPr>
          <w:rFonts w:ascii="Arial" w:hAnsi="Arial" w:cs="Arial"/>
          <w:color w:val="000000"/>
          <w:sz w:val="28"/>
          <w:szCs w:val="28"/>
          <w:rtl/>
        </w:rPr>
        <w:t>הרשות המקומית המנסחת את חוקי העזר, אינה יכולה להוסיף על הכתוב בחקיקה הראשית ואם יעשו זאת, זה לא יעמוד בביקורת שיפוטית. מקרים מפורסמים שבית המשפט החליט שהרשות המקומית חרגה מסמכותה בחוקי העזר הם</w:t>
      </w:r>
      <w:r w:rsidRPr="00356C74">
        <w:rPr>
          <w:rFonts w:ascii="Arial" w:hAnsi="Arial" w:cs="Arial"/>
          <w:color w:val="000000"/>
          <w:sz w:val="28"/>
          <w:szCs w:val="28"/>
        </w:rPr>
        <w:t>:</w:t>
      </w:r>
      <w:r w:rsidRPr="00356C74">
        <w:rPr>
          <w:rFonts w:ascii="Arial" w:hAnsi="Arial" w:cs="Arial"/>
          <w:color w:val="000000"/>
          <w:sz w:val="28"/>
          <w:szCs w:val="28"/>
          <w:rtl/>
        </w:rPr>
        <w:t>חוקי עזר שאסרו על פתיחת עסקים במהלך יום שלם באמצע שבוע. בית המשפט קבע שמחוקק המשנה רשאי לקבוע שעות פתיחה וסגירה של עסקים, אך אינו מוסמך לקבוע סגירה מוחלטת ביום שאינו חג או שבת</w:t>
      </w:r>
      <w:r w:rsidRPr="00356C74">
        <w:rPr>
          <w:rFonts w:ascii="Arial" w:hAnsi="Arial" w:cs="Arial"/>
          <w:color w:val="000000"/>
          <w:sz w:val="28"/>
          <w:szCs w:val="28"/>
        </w:rPr>
        <w:t xml:space="preserve"> </w:t>
      </w:r>
      <w:r w:rsidRPr="00356C74">
        <w:rPr>
          <w:rFonts w:ascii="Arial" w:hAnsi="Arial" w:cs="Arial"/>
          <w:color w:val="000000"/>
          <w:sz w:val="28"/>
          <w:szCs w:val="28"/>
          <w:rtl/>
        </w:rPr>
        <w:t>חוקי עזר שאסרו מכירת בשר חזיר בתחומי יישובים. בית המשפט קבע שחקיקה כזאת מנוגדת לחוק יסוד "חופש העיסוק". מחוקק המשנה יכול לקבוע אזורים מותרים ואזורים אסורים, אך אינו יכול להטיל איסור כולל</w:t>
      </w:r>
      <w:r w:rsidRPr="00356C74">
        <w:rPr>
          <w:rFonts w:ascii="Arial" w:hAnsi="Arial" w:cs="Arial" w:hint="cs"/>
          <w:color w:val="000000"/>
          <w:sz w:val="28"/>
          <w:szCs w:val="28"/>
          <w:rtl/>
        </w:rPr>
        <w:t>.</w:t>
      </w:r>
    </w:p>
    <w:p w14:paraId="5DAF9E72" w14:textId="77777777" w:rsidR="003C5A87" w:rsidRPr="00356C74" w:rsidRDefault="003C5A87" w:rsidP="003C5A87">
      <w:pPr>
        <w:pStyle w:val="NormalWeb"/>
        <w:jc w:val="right"/>
        <w:rPr>
          <w:rFonts w:ascii="Arial" w:hAnsi="Arial" w:cs="Arial"/>
          <w:color w:val="000000"/>
          <w:sz w:val="28"/>
          <w:szCs w:val="28"/>
          <w:rtl/>
        </w:rPr>
      </w:pPr>
    </w:p>
    <w:p w14:paraId="02A56600" w14:textId="3F747853" w:rsidR="003C5A87" w:rsidRPr="00356C74" w:rsidRDefault="00E204A9" w:rsidP="003C5A87">
      <w:pPr>
        <w:rPr>
          <w:b/>
          <w:bCs/>
          <w:rtl/>
        </w:rPr>
      </w:pPr>
      <w:r>
        <w:rPr>
          <w:rFonts w:hint="cs"/>
          <w:b/>
          <w:bCs/>
          <w:sz w:val="40"/>
          <w:szCs w:val="40"/>
          <w:rtl/>
        </w:rPr>
        <w:t>לחצן-הפעלת פנגו בטעות על איזור אחר</w:t>
      </w:r>
    </w:p>
    <w:p w14:paraId="1E46BC29" w14:textId="77777777" w:rsidR="00457635" w:rsidRPr="00356C74" w:rsidRDefault="00457635" w:rsidP="003C5A87">
      <w:pPr>
        <w:rPr>
          <w:sz w:val="28"/>
          <w:szCs w:val="28"/>
          <w:rtl/>
        </w:rPr>
      </w:pPr>
    </w:p>
    <w:p w14:paraId="1AAD202E" w14:textId="77777777" w:rsidR="00457635" w:rsidRPr="00E204A9" w:rsidRDefault="00457635" w:rsidP="003C5A87">
      <w:pPr>
        <w:rPr>
          <w:i/>
          <w:iCs/>
          <w:sz w:val="24"/>
          <w:szCs w:val="24"/>
          <w:u w:val="single"/>
          <w:rtl/>
        </w:rPr>
      </w:pPr>
      <w:r w:rsidRPr="00E204A9">
        <w:rPr>
          <w:rFonts w:hint="cs"/>
          <w:i/>
          <w:iCs/>
          <w:sz w:val="24"/>
          <w:szCs w:val="24"/>
          <w:u w:val="single"/>
          <w:rtl/>
        </w:rPr>
        <w:t xml:space="preserve">בית המשפט לעניינים מקומיים בכפר סבא </w:t>
      </w:r>
    </w:p>
    <w:p w14:paraId="7EB8406D" w14:textId="77777777" w:rsidR="00457635" w:rsidRPr="00E204A9" w:rsidRDefault="00457635" w:rsidP="003C5A87">
      <w:pPr>
        <w:rPr>
          <w:i/>
          <w:iCs/>
          <w:sz w:val="24"/>
          <w:szCs w:val="24"/>
          <w:u w:val="single"/>
          <w:rtl/>
        </w:rPr>
      </w:pPr>
      <w:r w:rsidRPr="00E204A9">
        <w:rPr>
          <w:rFonts w:hint="cs"/>
          <w:i/>
          <w:iCs/>
          <w:sz w:val="24"/>
          <w:szCs w:val="24"/>
          <w:u w:val="single"/>
          <w:rtl/>
        </w:rPr>
        <w:t>ח"נ 977/06/19 עיריית כפר סבא נ" כורה דלית</w:t>
      </w:r>
    </w:p>
    <w:p w14:paraId="7D8C8CE1" w14:textId="77777777" w:rsidR="00457635" w:rsidRPr="00E204A9" w:rsidRDefault="00457635" w:rsidP="003C5A87">
      <w:pPr>
        <w:rPr>
          <w:i/>
          <w:iCs/>
          <w:sz w:val="24"/>
          <w:szCs w:val="24"/>
          <w:u w:val="single"/>
          <w:rtl/>
        </w:rPr>
      </w:pPr>
      <w:r w:rsidRPr="00E204A9">
        <w:rPr>
          <w:rFonts w:hint="cs"/>
          <w:i/>
          <w:iCs/>
          <w:sz w:val="24"/>
          <w:szCs w:val="24"/>
          <w:u w:val="single"/>
          <w:rtl/>
        </w:rPr>
        <w:t xml:space="preserve">בפני כבוד השופט אביב שרון ****נפסק לזיכוי </w:t>
      </w:r>
    </w:p>
    <w:p w14:paraId="14059A8A" w14:textId="77777777" w:rsidR="00457635" w:rsidRPr="00356C74" w:rsidRDefault="00457635" w:rsidP="003C5A87">
      <w:pPr>
        <w:rPr>
          <w:i/>
          <w:iCs/>
          <w:rtl/>
        </w:rPr>
      </w:pPr>
    </w:p>
    <w:p w14:paraId="36064AEB" w14:textId="77777777" w:rsidR="00457635" w:rsidRPr="00356C74" w:rsidRDefault="00457635" w:rsidP="003C5A87">
      <w:pPr>
        <w:rPr>
          <w:b/>
          <w:bCs/>
          <w:u w:val="single"/>
          <w:rtl/>
        </w:rPr>
      </w:pPr>
      <w:r w:rsidRPr="00356C74">
        <w:rPr>
          <w:rFonts w:hint="cs"/>
          <w:b/>
          <w:bCs/>
          <w:u w:val="single"/>
          <w:rtl/>
        </w:rPr>
        <w:t>תיאור המקרה</w:t>
      </w:r>
    </w:p>
    <w:p w14:paraId="2A74E859" w14:textId="77777777" w:rsidR="003C5A87" w:rsidRPr="00356C74" w:rsidRDefault="003C5A87" w:rsidP="003C5A87">
      <w:pPr>
        <w:shd w:val="clear" w:color="auto" w:fill="FFFFFF"/>
        <w:spacing w:after="0" w:line="360" w:lineRule="atLeast"/>
        <w:jc w:val="both"/>
        <w:rPr>
          <w:rFonts w:asciiTheme="minorBidi" w:eastAsia="Times New Roman" w:hAnsiTheme="minorBidi"/>
          <w:color w:val="000000"/>
          <w:sz w:val="27"/>
          <w:szCs w:val="27"/>
        </w:rPr>
      </w:pPr>
      <w:r w:rsidRPr="00356C74">
        <w:rPr>
          <w:rFonts w:asciiTheme="minorBidi" w:eastAsia="Times New Roman" w:hAnsiTheme="minorBidi"/>
          <w:color w:val="000000"/>
          <w:sz w:val="27"/>
          <w:szCs w:val="27"/>
          <w:rtl/>
        </w:rPr>
        <w:t>כנגד הנאשמת הוגש כתב אישום המייחס לה עבירה של חניה במקום חניה מוסדר באמצעות כרטיס חניה, מבל</w:t>
      </w:r>
      <w:r w:rsidR="00457635" w:rsidRPr="00356C74">
        <w:rPr>
          <w:rFonts w:asciiTheme="minorBidi" w:eastAsia="Times New Roman" w:hAnsiTheme="minorBidi"/>
          <w:color w:val="000000"/>
          <w:sz w:val="27"/>
          <w:szCs w:val="27"/>
          <w:rtl/>
        </w:rPr>
        <w:t>י לשלם את אגרת החניה.</w:t>
      </w:r>
    </w:p>
    <w:p w14:paraId="6202630A" w14:textId="77777777" w:rsidR="003C5A87" w:rsidRPr="00356C74" w:rsidRDefault="00457635" w:rsidP="003C5A87">
      <w:pPr>
        <w:shd w:val="clear" w:color="auto" w:fill="FFFFFF"/>
        <w:spacing w:after="0" w:line="360" w:lineRule="atLeast"/>
        <w:jc w:val="both"/>
        <w:rPr>
          <w:rFonts w:asciiTheme="minorBidi" w:eastAsia="Times New Roman" w:hAnsiTheme="minorBidi"/>
          <w:color w:val="000000"/>
          <w:sz w:val="27"/>
          <w:szCs w:val="27"/>
          <w:rtl/>
        </w:rPr>
      </w:pPr>
      <w:r w:rsidRPr="00356C74">
        <w:rPr>
          <w:rFonts w:asciiTheme="minorBidi" w:eastAsia="Times New Roman" w:hAnsiTheme="minorBidi"/>
          <w:color w:val="000000"/>
          <w:sz w:val="27"/>
          <w:szCs w:val="27"/>
          <w:rtl/>
        </w:rPr>
        <w:t>הנאשמת הודתה שחנתה במקום.</w:t>
      </w:r>
      <w:r w:rsidR="003C5A87" w:rsidRPr="00356C74">
        <w:rPr>
          <w:rFonts w:asciiTheme="minorBidi" w:eastAsia="Times New Roman" w:hAnsiTheme="minorBidi"/>
          <w:color w:val="000000"/>
          <w:sz w:val="27"/>
          <w:szCs w:val="27"/>
          <w:rtl/>
        </w:rPr>
        <w:t xml:space="preserve"> אך טענה שממילא על פי הסדר בין העירייה לבין התושבים זכאים התושבים להחנות רכבם למשך 3 שעות ראשונות מבלי לשלם אגרה, כך שלא נפגע האינטרס הציבורי. לטענ</w:t>
      </w:r>
      <w:r w:rsidRPr="00356C74">
        <w:rPr>
          <w:rFonts w:asciiTheme="minorBidi" w:eastAsia="Times New Roman" w:hAnsiTheme="minorBidi"/>
          <w:color w:val="000000"/>
          <w:sz w:val="27"/>
          <w:szCs w:val="27"/>
          <w:rtl/>
        </w:rPr>
        <w:t xml:space="preserve">ת הנאשמת, היות ובאפליקציית פנגו </w:t>
      </w:r>
      <w:r w:rsidR="003C5A87" w:rsidRPr="00356C74">
        <w:rPr>
          <w:rFonts w:asciiTheme="minorBidi" w:eastAsia="Times New Roman" w:hAnsiTheme="minorBidi"/>
          <w:color w:val="000000"/>
          <w:sz w:val="27"/>
          <w:szCs w:val="27"/>
          <w:rtl/>
        </w:rPr>
        <w:t xml:space="preserve"> קיימים מספר אזורי חניה, טעתה לחשוב שבחרה באיזור החניה הנכון. לראיה הציגה אישור מחברת פנגו כי בהפרשים של כחצי שעה באותו היום בוצעה כניסה לאפליקציה למטרת הזמנת חניה ללא לחיצה על אישור חניה.</w:t>
      </w:r>
    </w:p>
    <w:p w14:paraId="109E6621" w14:textId="77777777" w:rsidR="003C5A87" w:rsidRPr="00356C74" w:rsidRDefault="003C5A87" w:rsidP="003C5A87">
      <w:pPr>
        <w:shd w:val="clear" w:color="auto" w:fill="FFFFFF"/>
        <w:spacing w:after="0" w:line="360" w:lineRule="atLeast"/>
        <w:jc w:val="both"/>
        <w:rPr>
          <w:rFonts w:asciiTheme="minorBidi" w:eastAsia="Times New Roman" w:hAnsiTheme="minorBidi"/>
          <w:color w:val="000000"/>
          <w:sz w:val="27"/>
          <w:szCs w:val="27"/>
        </w:rPr>
      </w:pPr>
      <w:r w:rsidRPr="00356C74">
        <w:rPr>
          <w:rFonts w:asciiTheme="minorBidi" w:eastAsia="Times New Roman" w:hAnsiTheme="minorBidi"/>
          <w:color w:val="000000"/>
          <w:sz w:val="27"/>
          <w:szCs w:val="27"/>
          <w:rtl/>
        </w:rPr>
        <w:t>במצב דברים זה, נתתי אמון בדברי הנאשמת כי מדובר בטעות אנוש ולא בנסיון להתחמק </w:t>
      </w:r>
      <w:bookmarkStart w:id="0" w:name="ABSTRACT_END"/>
      <w:bookmarkEnd w:id="0"/>
      <w:r w:rsidRPr="00356C74">
        <w:rPr>
          <w:rFonts w:asciiTheme="minorBidi" w:eastAsia="Times New Roman" w:hAnsiTheme="minorBidi"/>
          <w:color w:val="000000"/>
          <w:sz w:val="27"/>
          <w:szCs w:val="27"/>
          <w:rtl/>
        </w:rPr>
        <w:t>מתשלום אגרת חניה.</w:t>
      </w:r>
    </w:p>
    <w:p w14:paraId="27C0BE41" w14:textId="77777777" w:rsidR="003C5A87" w:rsidRPr="00356C74" w:rsidRDefault="003C5A87" w:rsidP="003C5A87">
      <w:pPr>
        <w:shd w:val="clear" w:color="auto" w:fill="FFFFFF"/>
        <w:spacing w:after="0" w:line="360" w:lineRule="atLeast"/>
        <w:jc w:val="both"/>
        <w:rPr>
          <w:rFonts w:asciiTheme="minorBidi" w:eastAsia="Times New Roman" w:hAnsiTheme="minorBidi"/>
          <w:color w:val="000000"/>
          <w:sz w:val="27"/>
          <w:szCs w:val="27"/>
        </w:rPr>
      </w:pPr>
      <w:r w:rsidRPr="00356C74">
        <w:rPr>
          <w:rFonts w:asciiTheme="minorBidi" w:eastAsia="Times New Roman" w:hAnsiTheme="minorBidi"/>
          <w:color w:val="FFFFFF"/>
          <w:sz w:val="2"/>
          <w:szCs w:val="2"/>
          <w:rtl/>
        </w:rPr>
        <w:t>5129371</w:t>
      </w:r>
      <w:r w:rsidRPr="00356C74">
        <w:rPr>
          <w:rFonts w:asciiTheme="minorBidi" w:eastAsia="Times New Roman" w:hAnsiTheme="minorBidi"/>
          <w:color w:val="000000"/>
          <w:sz w:val="27"/>
          <w:szCs w:val="27"/>
          <w:rtl/>
        </w:rPr>
        <w:t>לאור האמור לעיל, אני מזכה את הנאשמת מהמיוחס לה בכתב האישום.</w:t>
      </w:r>
    </w:p>
    <w:p w14:paraId="284F9B48" w14:textId="77777777" w:rsidR="003C5A87" w:rsidRPr="00356C74" w:rsidRDefault="003C5A87" w:rsidP="003C5A87">
      <w:pPr>
        <w:shd w:val="clear" w:color="auto" w:fill="FFFFFF"/>
        <w:spacing w:after="0" w:line="360" w:lineRule="atLeast"/>
        <w:ind w:left="3600" w:firstLine="720"/>
        <w:rPr>
          <w:rFonts w:asciiTheme="minorBidi" w:eastAsia="Times New Roman" w:hAnsiTheme="minorBidi"/>
          <w:color w:val="000000"/>
          <w:sz w:val="27"/>
          <w:szCs w:val="27"/>
          <w:rtl/>
        </w:rPr>
      </w:pPr>
      <w:r w:rsidRPr="00356C74">
        <w:rPr>
          <w:rFonts w:asciiTheme="minorBidi" w:eastAsia="Times New Roman" w:hAnsiTheme="minorBidi"/>
          <w:color w:val="000000"/>
          <w:sz w:val="27"/>
          <w:szCs w:val="27"/>
          <w:rtl/>
        </w:rPr>
        <w:t> </w:t>
      </w:r>
    </w:p>
    <w:p w14:paraId="1104E091" w14:textId="77777777" w:rsidR="003C5A87" w:rsidRPr="00356C74" w:rsidRDefault="003C5A87" w:rsidP="003C5A87">
      <w:pPr>
        <w:shd w:val="clear" w:color="auto" w:fill="FFFFFF"/>
        <w:spacing w:after="0" w:line="240" w:lineRule="auto"/>
        <w:rPr>
          <w:rFonts w:asciiTheme="minorBidi" w:eastAsia="Times New Roman" w:hAnsiTheme="minorBidi"/>
          <w:color w:val="000000"/>
          <w:sz w:val="27"/>
          <w:szCs w:val="27"/>
          <w:rtl/>
        </w:rPr>
      </w:pPr>
      <w:r w:rsidRPr="00356C74">
        <w:rPr>
          <w:rFonts w:asciiTheme="minorBidi" w:eastAsia="Times New Roman" w:hAnsiTheme="minorBidi"/>
          <w:color w:val="000000"/>
          <w:rtl/>
        </w:rPr>
        <w:t> </w:t>
      </w:r>
    </w:p>
    <w:p w14:paraId="0327D220" w14:textId="77777777" w:rsidR="003C5A87" w:rsidRPr="00356C74" w:rsidRDefault="003C5A87" w:rsidP="003C5A87">
      <w:pPr>
        <w:rPr>
          <w:rtl/>
        </w:rPr>
      </w:pPr>
    </w:p>
    <w:p w14:paraId="29B4D8FD" w14:textId="77777777" w:rsidR="003C5A87" w:rsidRPr="00356C74" w:rsidRDefault="003C5A87" w:rsidP="003C5A87">
      <w:pPr>
        <w:pStyle w:val="NormalWeb"/>
        <w:jc w:val="right"/>
        <w:rPr>
          <w:rFonts w:ascii="Arial" w:hAnsi="Arial" w:cs="Arial"/>
          <w:color w:val="000000"/>
          <w:sz w:val="28"/>
          <w:szCs w:val="28"/>
          <w:rtl/>
        </w:rPr>
      </w:pPr>
      <w:r w:rsidRPr="00356C74">
        <w:rPr>
          <w:rFonts w:ascii="Arial" w:hAnsi="Arial" w:cs="Arial"/>
          <w:color w:val="000000"/>
          <w:sz w:val="28"/>
          <w:szCs w:val="28"/>
        </w:rPr>
        <w:t>.</w:t>
      </w:r>
    </w:p>
    <w:p w14:paraId="19F520B4" w14:textId="77777777" w:rsidR="003C5A87" w:rsidRPr="00356C74" w:rsidRDefault="003C5A87" w:rsidP="003C5A87">
      <w:pPr>
        <w:pStyle w:val="NormalWeb"/>
        <w:jc w:val="right"/>
        <w:rPr>
          <w:rFonts w:ascii="Arial" w:hAnsi="Arial" w:cs="Arial"/>
          <w:color w:val="000000"/>
          <w:sz w:val="28"/>
          <w:szCs w:val="28"/>
        </w:rPr>
      </w:pPr>
    </w:p>
    <w:p w14:paraId="6BF46C1C" w14:textId="77777777" w:rsidR="003C5A87" w:rsidRDefault="003C5A87" w:rsidP="003C5A87">
      <w:pPr>
        <w:pStyle w:val="NormalWeb"/>
        <w:jc w:val="center"/>
        <w:rPr>
          <w:rFonts w:ascii="Arial" w:hAnsi="Arial" w:cs="Arial"/>
          <w:color w:val="000000"/>
          <w:sz w:val="28"/>
          <w:szCs w:val="28"/>
        </w:rPr>
      </w:pPr>
      <w:r w:rsidRPr="00356C74">
        <w:rPr>
          <w:rFonts w:ascii="Arial" w:hAnsi="Arial" w:cs="Arial"/>
          <w:color w:val="000000"/>
          <w:sz w:val="28"/>
          <w:szCs w:val="28"/>
        </w:rPr>
        <w:t>.</w:t>
      </w:r>
    </w:p>
    <w:p w14:paraId="1AE45C65" w14:textId="77777777" w:rsidR="003C5A87" w:rsidRDefault="003C5A87" w:rsidP="003C5A87">
      <w:pPr>
        <w:rPr>
          <w:sz w:val="28"/>
          <w:szCs w:val="28"/>
        </w:rPr>
      </w:pPr>
    </w:p>
    <w:p w14:paraId="45B949A9" w14:textId="77777777" w:rsidR="00F34F99" w:rsidRDefault="00F34F99"/>
    <w:sectPr w:rsidR="00F34F99"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A87"/>
    <w:rsid w:val="00356C74"/>
    <w:rsid w:val="003C5A87"/>
    <w:rsid w:val="00457635"/>
    <w:rsid w:val="00CD4688"/>
    <w:rsid w:val="00E204A9"/>
    <w:rsid w:val="00F157CB"/>
    <w:rsid w:val="00F34F99"/>
    <w:rsid w:val="00FE37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9CB4"/>
  <w15:chartTrackingRefBased/>
  <w15:docId w15:val="{AEA5F8D6-3671-427C-B6E9-50A2CAF2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A87"/>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3C5A8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FE3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39275">
      <w:bodyDiv w:val="1"/>
      <w:marLeft w:val="0"/>
      <w:marRight w:val="0"/>
      <w:marTop w:val="0"/>
      <w:marBottom w:val="0"/>
      <w:divBdr>
        <w:top w:val="none" w:sz="0" w:space="0" w:color="auto"/>
        <w:left w:val="none" w:sz="0" w:space="0" w:color="auto"/>
        <w:bottom w:val="none" w:sz="0" w:space="0" w:color="auto"/>
        <w:right w:val="none" w:sz="0" w:space="0" w:color="auto"/>
      </w:divBdr>
    </w:div>
    <w:div w:id="1278172739">
      <w:bodyDiv w:val="1"/>
      <w:marLeft w:val="0"/>
      <w:marRight w:val="0"/>
      <w:marTop w:val="0"/>
      <w:marBottom w:val="0"/>
      <w:divBdr>
        <w:top w:val="none" w:sz="0" w:space="0" w:color="auto"/>
        <w:left w:val="none" w:sz="0" w:space="0" w:color="auto"/>
        <w:bottom w:val="none" w:sz="0" w:space="0" w:color="auto"/>
        <w:right w:val="none" w:sz="0" w:space="0" w:color="auto"/>
      </w:divBdr>
    </w:div>
    <w:div w:id="1671906308">
      <w:bodyDiv w:val="1"/>
      <w:marLeft w:val="0"/>
      <w:marRight w:val="0"/>
      <w:marTop w:val="0"/>
      <w:marBottom w:val="0"/>
      <w:divBdr>
        <w:top w:val="none" w:sz="0" w:space="0" w:color="auto"/>
        <w:left w:val="none" w:sz="0" w:space="0" w:color="auto"/>
        <w:bottom w:val="none" w:sz="0" w:space="0" w:color="auto"/>
        <w:right w:val="none" w:sz="0" w:space="0" w:color="auto"/>
      </w:divBdr>
    </w:div>
    <w:div w:id="190390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818</Words>
  <Characters>4092</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8</cp:revision>
  <dcterms:created xsi:type="dcterms:W3CDTF">2021-01-19T16:51:00Z</dcterms:created>
  <dcterms:modified xsi:type="dcterms:W3CDTF">2023-02-26T02:01:00Z</dcterms:modified>
</cp:coreProperties>
</file>