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8C4" w:rsidRDefault="005F38C4" w:rsidP="00404BF9">
      <w:pPr>
        <w:rPr>
          <w:sz w:val="40"/>
          <w:szCs w:val="40"/>
          <w:rtl/>
        </w:rPr>
      </w:pPr>
      <w:r w:rsidRPr="00FA72C8">
        <w:rPr>
          <w:rFonts w:hint="cs"/>
          <w:sz w:val="40"/>
          <w:szCs w:val="40"/>
          <w:highlight w:val="red"/>
          <w:rtl/>
        </w:rPr>
        <w:t>לא מצורף צילום לדו"ח</w:t>
      </w:r>
      <w:r w:rsidRPr="00FA72C8">
        <w:rPr>
          <w:rFonts w:hint="cs"/>
          <w:sz w:val="40"/>
          <w:szCs w:val="40"/>
          <w:rtl/>
        </w:rPr>
        <w:t xml:space="preserve"> </w:t>
      </w:r>
    </w:p>
    <w:p w:rsidR="005F38C4" w:rsidRDefault="005F38C4" w:rsidP="00404BF9">
      <w:pPr>
        <w:rPr>
          <w:sz w:val="40"/>
          <w:szCs w:val="40"/>
          <w:rtl/>
        </w:rPr>
      </w:pPr>
    </w:p>
    <w:p w:rsidR="005F38C4" w:rsidRPr="00FA72C8" w:rsidRDefault="005F38C4" w:rsidP="00404BF9">
      <w:pPr>
        <w:rPr>
          <w:color w:val="FF0000"/>
          <w:sz w:val="28"/>
          <w:szCs w:val="28"/>
          <w:rtl/>
        </w:rPr>
      </w:pPr>
      <w:r w:rsidRPr="00FA72C8">
        <w:rPr>
          <w:rFonts w:hint="cs"/>
          <w:color w:val="FF0000"/>
          <w:sz w:val="28"/>
          <w:szCs w:val="28"/>
          <w:rtl/>
        </w:rPr>
        <w:t xml:space="preserve">ניתן לוודא זאת בצורה פשוטה למדי </w:t>
      </w:r>
    </w:p>
    <w:p w:rsidR="005F38C4" w:rsidRDefault="005F38C4" w:rsidP="00404BF9">
      <w:pPr>
        <w:rPr>
          <w:sz w:val="40"/>
          <w:szCs w:val="40"/>
          <w:rtl/>
        </w:rPr>
      </w:pPr>
      <w:r w:rsidRPr="00FA72C8">
        <w:rPr>
          <w:rFonts w:hint="cs"/>
          <w:color w:val="FF0000"/>
          <w:sz w:val="28"/>
          <w:szCs w:val="28"/>
          <w:rtl/>
        </w:rPr>
        <w:t xml:space="preserve">נכנסים לגוגל ורושמים איתור דוח </w:t>
      </w:r>
      <w:proofErr w:type="spellStart"/>
      <w:r w:rsidRPr="00FA72C8">
        <w:rPr>
          <w:rFonts w:hint="cs"/>
          <w:color w:val="FF0000"/>
          <w:sz w:val="28"/>
          <w:szCs w:val="28"/>
          <w:rtl/>
        </w:rPr>
        <w:t>חניה+העיר</w:t>
      </w:r>
      <w:proofErr w:type="spellEnd"/>
      <w:r w:rsidRPr="00FA72C8">
        <w:rPr>
          <w:rFonts w:hint="cs"/>
          <w:color w:val="FF0000"/>
          <w:sz w:val="28"/>
          <w:szCs w:val="28"/>
          <w:rtl/>
        </w:rPr>
        <w:t xml:space="preserve"> בה </w:t>
      </w:r>
      <w:proofErr w:type="spellStart"/>
      <w:r w:rsidRPr="00FA72C8">
        <w:rPr>
          <w:rFonts w:hint="cs"/>
          <w:color w:val="FF0000"/>
          <w:sz w:val="28"/>
          <w:szCs w:val="28"/>
          <w:rtl/>
        </w:rPr>
        <w:t>קיבלתפ</w:t>
      </w:r>
      <w:proofErr w:type="spellEnd"/>
      <w:r w:rsidRPr="00FA72C8">
        <w:rPr>
          <w:rFonts w:hint="cs"/>
          <w:color w:val="FF0000"/>
          <w:sz w:val="28"/>
          <w:szCs w:val="28"/>
          <w:rtl/>
        </w:rPr>
        <w:t xml:space="preserve"> את הדו"ח מזינים את פרטי הדו"ח ואזי ניתן לצפות בתמונות במידה והן קיימות</w:t>
      </w:r>
      <w:r w:rsidRPr="00FA72C8">
        <w:rPr>
          <w:rFonts w:hint="cs"/>
          <w:color w:val="FF0000"/>
          <w:sz w:val="40"/>
          <w:szCs w:val="40"/>
          <w:rtl/>
        </w:rPr>
        <w:t xml:space="preserve"> </w:t>
      </w:r>
    </w:p>
    <w:p w:rsidR="005F38C4" w:rsidRPr="00FA72C8" w:rsidRDefault="005F38C4" w:rsidP="00404BF9">
      <w:pPr>
        <w:rPr>
          <w:sz w:val="40"/>
          <w:szCs w:val="40"/>
          <w:rtl/>
        </w:rPr>
      </w:pPr>
    </w:p>
    <w:p w:rsidR="005F38C4" w:rsidRPr="00FA72C8" w:rsidRDefault="005F38C4" w:rsidP="00404BF9">
      <w:pPr>
        <w:rPr>
          <w:sz w:val="32"/>
          <w:szCs w:val="32"/>
          <w:rtl/>
        </w:rPr>
      </w:pPr>
      <w:r w:rsidRPr="00FA72C8">
        <w:rPr>
          <w:rFonts w:hint="cs"/>
          <w:sz w:val="32"/>
          <w:szCs w:val="32"/>
          <w:highlight w:val="yellow"/>
          <w:rtl/>
        </w:rPr>
        <w:t xml:space="preserve">דוחות שאינם ברי </w:t>
      </w:r>
      <w:proofErr w:type="spellStart"/>
      <w:r w:rsidRPr="00FA72C8">
        <w:rPr>
          <w:rFonts w:hint="cs"/>
          <w:sz w:val="32"/>
          <w:szCs w:val="32"/>
          <w:highlight w:val="yellow"/>
          <w:rtl/>
        </w:rPr>
        <w:t>גביייה</w:t>
      </w:r>
      <w:proofErr w:type="spellEnd"/>
    </w:p>
    <w:p w:rsidR="005F38C4" w:rsidRDefault="005F38C4" w:rsidP="00404BF9">
      <w:pPr>
        <w:rPr>
          <w:sz w:val="32"/>
          <w:szCs w:val="32"/>
          <w:rtl/>
        </w:rPr>
      </w:pPr>
      <w:r>
        <w:rPr>
          <w:rFonts w:hint="cs"/>
          <w:sz w:val="32"/>
          <w:szCs w:val="32"/>
          <w:rtl/>
        </w:rPr>
        <w:t xml:space="preserve">מבוסס על דוח ביקורת של יחידת החניה העירונית בעיריית אשקלון האחראית על אכיפת חוק העזר העמדת רכב וחנייתו 1998 הביקורת נערכה במהלך החודשים אוקטובר </w:t>
      </w:r>
      <w:r>
        <w:rPr>
          <w:sz w:val="32"/>
          <w:szCs w:val="32"/>
          <w:rtl/>
        </w:rPr>
        <w:t>–</w:t>
      </w:r>
      <w:r>
        <w:rPr>
          <w:rFonts w:hint="cs"/>
          <w:sz w:val="32"/>
          <w:szCs w:val="32"/>
          <w:rtl/>
        </w:rPr>
        <w:t>נובמבר 2016</w:t>
      </w:r>
    </w:p>
    <w:p w:rsidR="005F38C4" w:rsidRDefault="005F38C4" w:rsidP="00404BF9">
      <w:pPr>
        <w:rPr>
          <w:sz w:val="32"/>
          <w:szCs w:val="32"/>
          <w:rtl/>
        </w:rPr>
      </w:pPr>
    </w:p>
    <w:p w:rsidR="005F38C4" w:rsidRDefault="005F38C4" w:rsidP="00404BF9">
      <w:pPr>
        <w:rPr>
          <w:sz w:val="32"/>
          <w:szCs w:val="32"/>
          <w:rtl/>
        </w:rPr>
      </w:pPr>
      <w:r>
        <w:rPr>
          <w:rFonts w:hint="cs"/>
          <w:sz w:val="32"/>
          <w:szCs w:val="32"/>
          <w:rtl/>
        </w:rPr>
        <w:t>סעיף 7.7.4</w:t>
      </w:r>
    </w:p>
    <w:p w:rsidR="005F38C4" w:rsidRDefault="005F38C4" w:rsidP="00404BF9">
      <w:pPr>
        <w:rPr>
          <w:sz w:val="32"/>
          <w:szCs w:val="32"/>
          <w:rtl/>
        </w:rPr>
      </w:pPr>
      <w:r>
        <w:rPr>
          <w:rFonts w:hint="cs"/>
          <w:sz w:val="32"/>
          <w:szCs w:val="32"/>
          <w:highlight w:val="yellow"/>
          <w:rtl/>
        </w:rPr>
        <w:t>דוחות שאינם ברי גביי</w:t>
      </w:r>
      <w:r>
        <w:rPr>
          <w:rFonts w:hint="cs"/>
          <w:sz w:val="32"/>
          <w:szCs w:val="32"/>
          <w:rtl/>
        </w:rPr>
        <w:t>ה</w:t>
      </w:r>
    </w:p>
    <w:p w:rsidR="005F38C4" w:rsidRPr="00424325" w:rsidRDefault="005F38C4" w:rsidP="00404BF9">
      <w:pPr>
        <w:rPr>
          <w:sz w:val="32"/>
          <w:szCs w:val="32"/>
          <w:rtl/>
        </w:rPr>
      </w:pPr>
      <w:r w:rsidRPr="00424325">
        <w:rPr>
          <w:rFonts w:hint="cs"/>
          <w:sz w:val="32"/>
          <w:szCs w:val="32"/>
          <w:rtl/>
        </w:rPr>
        <w:t>דוחות שלא מכילים פרטים מלאים של מקום או סעיף העבירה</w:t>
      </w:r>
    </w:p>
    <w:p w:rsidR="005F38C4" w:rsidRPr="00424325" w:rsidRDefault="005F38C4" w:rsidP="00404BF9">
      <w:pPr>
        <w:rPr>
          <w:sz w:val="32"/>
          <w:szCs w:val="32"/>
          <w:rtl/>
        </w:rPr>
      </w:pPr>
      <w:r w:rsidRPr="00424325">
        <w:rPr>
          <w:rFonts w:hint="cs"/>
          <w:sz w:val="32"/>
          <w:szCs w:val="32"/>
          <w:rtl/>
        </w:rPr>
        <w:t xml:space="preserve">דוחות שמכילות טעויות במספר </w:t>
      </w:r>
      <w:proofErr w:type="spellStart"/>
      <w:r w:rsidRPr="00424325">
        <w:rPr>
          <w:rFonts w:hint="cs"/>
          <w:sz w:val="32"/>
          <w:szCs w:val="32"/>
          <w:rtl/>
        </w:rPr>
        <w:t>רכב.צבע</w:t>
      </w:r>
      <w:proofErr w:type="spellEnd"/>
      <w:r w:rsidRPr="00424325">
        <w:rPr>
          <w:rFonts w:hint="cs"/>
          <w:sz w:val="32"/>
          <w:szCs w:val="32"/>
          <w:rtl/>
        </w:rPr>
        <w:t xml:space="preserve"> או דגם </w:t>
      </w:r>
    </w:p>
    <w:p w:rsidR="005F38C4" w:rsidRPr="00424325" w:rsidRDefault="005F38C4" w:rsidP="00404BF9">
      <w:pPr>
        <w:rPr>
          <w:sz w:val="32"/>
          <w:szCs w:val="32"/>
          <w:rtl/>
        </w:rPr>
      </w:pPr>
      <w:r w:rsidRPr="00237FB5">
        <w:rPr>
          <w:rFonts w:hint="cs"/>
          <w:sz w:val="32"/>
          <w:szCs w:val="32"/>
          <w:highlight w:val="yellow"/>
          <w:rtl/>
        </w:rPr>
        <w:t>דוחות שבגינם לא הופק צילום איכותי או שלא הופק צילום כלל כלומר לרשות לא קיימת הוכחה כלל לביצוע העבירה</w:t>
      </w:r>
    </w:p>
    <w:p w:rsidR="005F38C4" w:rsidRDefault="005F38C4" w:rsidP="00404BF9">
      <w:pPr>
        <w:rPr>
          <w:sz w:val="32"/>
          <w:szCs w:val="32"/>
          <w:rtl/>
        </w:rPr>
      </w:pPr>
      <w:r w:rsidRPr="00424325">
        <w:rPr>
          <w:rFonts w:hint="cs"/>
          <w:sz w:val="32"/>
          <w:szCs w:val="32"/>
          <w:rtl/>
        </w:rPr>
        <w:t>דוחות שהופקו בתנאים סביבתיים לא תקינים או שלטים לא תקינים / מוסתרים</w:t>
      </w:r>
      <w:r>
        <w:rPr>
          <w:rFonts w:hint="cs"/>
          <w:sz w:val="32"/>
          <w:szCs w:val="32"/>
          <w:rtl/>
        </w:rPr>
        <w:t xml:space="preserve"> </w:t>
      </w:r>
    </w:p>
    <w:p w:rsidR="005F38C4" w:rsidRPr="00BD3701" w:rsidRDefault="005F38C4" w:rsidP="00404BF9">
      <w:pPr>
        <w:rPr>
          <w:color w:val="FF0000"/>
          <w:sz w:val="32"/>
          <w:szCs w:val="32"/>
          <w:rtl/>
        </w:rPr>
      </w:pPr>
      <w:r w:rsidRPr="00BD3701">
        <w:rPr>
          <w:rFonts w:cs="Arial"/>
          <w:color w:val="FF0000"/>
          <w:sz w:val="32"/>
          <w:szCs w:val="32"/>
          <w:rtl/>
        </w:rPr>
        <w:t>דוח מבקרת העירייה -תל אביב</w:t>
      </w:r>
    </w:p>
    <w:p w:rsidR="005F38C4" w:rsidRPr="00507B11" w:rsidRDefault="005F38C4" w:rsidP="00404BF9">
      <w:pPr>
        <w:rPr>
          <w:sz w:val="32"/>
          <w:szCs w:val="32"/>
          <w:rtl/>
        </w:rPr>
      </w:pPr>
      <w:r w:rsidRPr="00507B11">
        <w:rPr>
          <w:rFonts w:cs="Arial"/>
          <w:sz w:val="32"/>
          <w:szCs w:val="32"/>
          <w:rtl/>
        </w:rPr>
        <w:t xml:space="preserve">סגנית בכירה ליועמ"ש לעירייה ומנהלת תחום תביעות אכיפה סביבתית מסרה בהתייחסותה  לממצא, כי: </w:t>
      </w:r>
    </w:p>
    <w:p w:rsidR="005F38C4" w:rsidRPr="00507B11" w:rsidRDefault="005F38C4" w:rsidP="00404BF9">
      <w:pPr>
        <w:rPr>
          <w:sz w:val="32"/>
          <w:szCs w:val="32"/>
          <w:rtl/>
        </w:rPr>
      </w:pPr>
      <w:r w:rsidRPr="00507B11">
        <w:rPr>
          <w:rFonts w:cs="Arial"/>
          <w:sz w:val="32"/>
          <w:szCs w:val="32"/>
          <w:rtl/>
        </w:rPr>
        <w:t xml:space="preserve">"מנהלת התחום ותובעי התחום הצביעו, לא אחת, בפני הגורמים וגם בפני הביקורת על האיכות  </w:t>
      </w:r>
    </w:p>
    <w:p w:rsidR="005F38C4" w:rsidRPr="00507B11" w:rsidRDefault="005F38C4" w:rsidP="00404BF9">
      <w:pPr>
        <w:rPr>
          <w:sz w:val="32"/>
          <w:szCs w:val="32"/>
          <w:rtl/>
        </w:rPr>
      </w:pPr>
      <w:r w:rsidRPr="00507B11">
        <w:rPr>
          <w:rFonts w:cs="Arial"/>
          <w:sz w:val="32"/>
          <w:szCs w:val="32"/>
          <w:rtl/>
        </w:rPr>
        <w:t xml:space="preserve">הירודה של התמונות המתקבלות </w:t>
      </w:r>
      <w:proofErr w:type="spellStart"/>
      <w:r w:rsidRPr="00507B11">
        <w:rPr>
          <w:rFonts w:cs="Arial"/>
          <w:sz w:val="32"/>
          <w:szCs w:val="32"/>
          <w:rtl/>
        </w:rPr>
        <w:t>במסופון</w:t>
      </w:r>
      <w:proofErr w:type="spellEnd"/>
      <w:r w:rsidRPr="00507B11">
        <w:rPr>
          <w:rFonts w:cs="Arial"/>
          <w:sz w:val="32"/>
          <w:szCs w:val="32"/>
          <w:rtl/>
        </w:rPr>
        <w:t xml:space="preserve">. בהיות התמונה ראיה מהותית לביסוס האשמה  </w:t>
      </w:r>
    </w:p>
    <w:p w:rsidR="005F38C4" w:rsidRPr="00BD3701" w:rsidRDefault="005F38C4" w:rsidP="00404BF9">
      <w:pPr>
        <w:rPr>
          <w:sz w:val="28"/>
          <w:szCs w:val="28"/>
          <w:rtl/>
        </w:rPr>
      </w:pPr>
      <w:proofErr w:type="spellStart"/>
      <w:r w:rsidRPr="00BD3701">
        <w:rPr>
          <w:rFonts w:cs="Arial"/>
          <w:sz w:val="28"/>
          <w:szCs w:val="28"/>
          <w:rtl/>
        </w:rPr>
        <w:t>ומשעסקינן</w:t>
      </w:r>
      <w:proofErr w:type="spellEnd"/>
      <w:r w:rsidRPr="00BD3701">
        <w:rPr>
          <w:rFonts w:cs="Arial"/>
          <w:sz w:val="28"/>
          <w:szCs w:val="28"/>
          <w:rtl/>
        </w:rPr>
        <w:t xml:space="preserve"> בהליך פלילי, יש להבטיח את איכותן ללא פשרות.</w:t>
      </w:r>
    </w:p>
    <w:p w:rsidR="005F38C4" w:rsidRPr="00BD3701" w:rsidRDefault="005F38C4" w:rsidP="00404BF9">
      <w:pPr>
        <w:rPr>
          <w:sz w:val="28"/>
          <w:szCs w:val="28"/>
          <w:rtl/>
        </w:rPr>
      </w:pPr>
      <w:r w:rsidRPr="00BD3701">
        <w:rPr>
          <w:sz w:val="28"/>
          <w:szCs w:val="28"/>
        </w:rPr>
        <w:t xml:space="preserve">. </w:t>
      </w:r>
    </w:p>
    <w:p w:rsidR="005F38C4" w:rsidRDefault="005F38C4" w:rsidP="00404BF9">
      <w:pPr>
        <w:rPr>
          <w:sz w:val="32"/>
          <w:szCs w:val="32"/>
          <w:rtl/>
        </w:rPr>
      </w:pPr>
      <w:r w:rsidRPr="00424325">
        <w:rPr>
          <w:rFonts w:hint="cs"/>
          <w:sz w:val="32"/>
          <w:szCs w:val="32"/>
          <w:highlight w:val="green"/>
          <w:rtl/>
        </w:rPr>
        <w:t>מבוסס על דוח המחלקה הפלילית ברירות משפט עיריית תל אביב</w:t>
      </w:r>
    </w:p>
    <w:p w:rsidR="005F38C4" w:rsidRPr="00424325" w:rsidRDefault="005F38C4" w:rsidP="00404BF9">
      <w:pPr>
        <w:rPr>
          <w:sz w:val="32"/>
          <w:szCs w:val="32"/>
          <w:rtl/>
        </w:rPr>
      </w:pPr>
      <w:r w:rsidRPr="00424325">
        <w:rPr>
          <w:sz w:val="28"/>
          <w:szCs w:val="28"/>
          <w:rtl/>
        </w:rPr>
        <w:t xml:space="preserve">בהתאם לאמור בסדר הדין הפלילי והנחיות היועץ המשפטי לממשלה, התובעים </w:t>
      </w:r>
      <w:proofErr w:type="spellStart"/>
      <w:r w:rsidRPr="00424325">
        <w:rPr>
          <w:sz w:val="28"/>
          <w:szCs w:val="28"/>
          <w:rtl/>
        </w:rPr>
        <w:t>רשאיים</w:t>
      </w:r>
      <w:proofErr w:type="spellEnd"/>
      <w:r w:rsidRPr="00424325">
        <w:rPr>
          <w:sz w:val="28"/>
          <w:szCs w:val="28"/>
          <w:rtl/>
        </w:rPr>
        <w:t xml:space="preserve"> לבטל דוחות מהעילות שלהלן</w:t>
      </w:r>
      <w:r w:rsidRPr="00424325">
        <w:rPr>
          <w:sz w:val="28"/>
          <w:szCs w:val="28"/>
        </w:rPr>
        <w:t xml:space="preserve">: </w:t>
      </w:r>
      <w:r w:rsidRPr="00424325">
        <w:rPr>
          <w:sz w:val="28"/>
          <w:szCs w:val="28"/>
        </w:rPr>
        <w:sym w:font="Symbol" w:char="F0B7"/>
      </w:r>
      <w:r w:rsidRPr="00424325">
        <w:rPr>
          <w:sz w:val="28"/>
          <w:szCs w:val="28"/>
        </w:rPr>
        <w:t xml:space="preserve"> </w:t>
      </w:r>
      <w:r w:rsidRPr="00424325">
        <w:rPr>
          <w:sz w:val="28"/>
          <w:szCs w:val="28"/>
          <w:rtl/>
        </w:rPr>
        <w:t>לא נעשתה עבירה - הנחיות היועץ המשפטי לממשלה קובעות, כי ביטול דוחות מעילה זו יבוצעו במקרים בהם הדוח נרשם בניגוד להוראות החוק בשל טעות פקח, כאשר אין ראיות מספקות להוכחת העבירה ועוד</w:t>
      </w:r>
      <w:r w:rsidRPr="00424325">
        <w:rPr>
          <w:sz w:val="28"/>
          <w:szCs w:val="28"/>
        </w:rPr>
        <w:t>.</w:t>
      </w:r>
    </w:p>
    <w:p w:rsidR="005F38C4" w:rsidRDefault="005F38C4" w:rsidP="00404BF9">
      <w:pPr>
        <w:rPr>
          <w:sz w:val="32"/>
          <w:szCs w:val="32"/>
          <w:rtl/>
        </w:rPr>
      </w:pPr>
    </w:p>
    <w:p w:rsidR="005F38C4" w:rsidRDefault="005F38C4" w:rsidP="00404BF9">
      <w:pPr>
        <w:rPr>
          <w:sz w:val="32"/>
          <w:szCs w:val="32"/>
          <w:rtl/>
        </w:rPr>
      </w:pPr>
      <w:r w:rsidRPr="006E73F1">
        <w:rPr>
          <w:rFonts w:hint="cs"/>
          <w:sz w:val="32"/>
          <w:szCs w:val="32"/>
          <w:highlight w:val="blue"/>
          <w:rtl/>
        </w:rPr>
        <w:t>השגה על הנאמר ותשובה כנגד</w:t>
      </w:r>
    </w:p>
    <w:p w:rsidR="005F38C4" w:rsidRPr="00B30CB0" w:rsidRDefault="005F38C4" w:rsidP="00404BF9">
      <w:pPr>
        <w:rPr>
          <w:sz w:val="32"/>
          <w:szCs w:val="32"/>
          <w:rtl/>
        </w:rPr>
      </w:pPr>
      <w:r w:rsidRPr="00B30CB0">
        <w:rPr>
          <w:rFonts w:cs="Arial"/>
          <w:sz w:val="32"/>
          <w:szCs w:val="32"/>
          <w:rtl/>
        </w:rPr>
        <w:t xml:space="preserve">ולא ניתן לומר שבמקרה זה עומדת לה לעירייה חזקת התקינות המנהלית  משום שאין כאן קורטוב לא של תקינות מוסרית ולא מנהליות בשום צורה שהיא משום שזה שרירותי ומעבר לכל הגיון </w:t>
      </w:r>
      <w:proofErr w:type="spellStart"/>
      <w:r w:rsidRPr="00B30CB0">
        <w:rPr>
          <w:rFonts w:cs="Arial"/>
          <w:sz w:val="32"/>
          <w:szCs w:val="32"/>
          <w:rtl/>
        </w:rPr>
        <w:t>ובתהתחשב</w:t>
      </w:r>
      <w:proofErr w:type="spellEnd"/>
      <w:r w:rsidRPr="00B30CB0">
        <w:rPr>
          <w:rFonts w:cs="Arial"/>
          <w:sz w:val="32"/>
          <w:szCs w:val="32"/>
          <w:rtl/>
        </w:rPr>
        <w:t xml:space="preserve"> בכך שהראיה היחידה הקיימת לעירייה על עבירות חניה היא תצלום מבצע העבירה .</w:t>
      </w:r>
    </w:p>
    <w:p w:rsidR="005F38C4" w:rsidRPr="00B30CB0" w:rsidRDefault="005F38C4" w:rsidP="00404BF9">
      <w:pPr>
        <w:rPr>
          <w:sz w:val="32"/>
          <w:szCs w:val="32"/>
          <w:rtl/>
        </w:rPr>
      </w:pPr>
      <w:r w:rsidRPr="00B30CB0">
        <w:rPr>
          <w:rFonts w:cs="Arial"/>
          <w:sz w:val="32"/>
          <w:szCs w:val="32"/>
          <w:rtl/>
        </w:rPr>
        <w:t>ואם זה לא ק</w:t>
      </w:r>
      <w:r>
        <w:rPr>
          <w:rFonts w:cs="Arial"/>
          <w:sz w:val="32"/>
          <w:szCs w:val="32"/>
          <w:rtl/>
        </w:rPr>
        <w:t>יים מניין לנו שבמקרה הנ</w:t>
      </w:r>
      <w:r>
        <w:rPr>
          <w:rFonts w:cs="Arial" w:hint="cs"/>
          <w:sz w:val="32"/>
          <w:szCs w:val="32"/>
          <w:rtl/>
        </w:rPr>
        <w:t>"</w:t>
      </w:r>
      <w:r w:rsidRPr="00B30CB0">
        <w:rPr>
          <w:rFonts w:cs="Arial"/>
          <w:sz w:val="32"/>
          <w:szCs w:val="32"/>
          <w:rtl/>
        </w:rPr>
        <w:t xml:space="preserve">ל לא ניתן דוח שיש בו משום אכיפה בררנית /שיקולים אישיים /שלא לפי ההנחיות ותקנות התעבורה ולכן נמנע הפקח מצלם כדי לא לתת לאזרח את הסיבה </w:t>
      </w:r>
      <w:proofErr w:type="spellStart"/>
      <w:r w:rsidRPr="00B30CB0">
        <w:rPr>
          <w:rFonts w:cs="Arial"/>
          <w:sz w:val="32"/>
          <w:szCs w:val="32"/>
          <w:rtl/>
        </w:rPr>
        <w:t>האמיתית</w:t>
      </w:r>
      <w:proofErr w:type="spellEnd"/>
      <w:r w:rsidRPr="00B30CB0">
        <w:rPr>
          <w:rFonts w:cs="Arial"/>
          <w:sz w:val="32"/>
          <w:szCs w:val="32"/>
          <w:rtl/>
        </w:rPr>
        <w:t xml:space="preserve"> לכאורה שיש לו לערעור צודק במידה וקיימת אחת כזאת .</w:t>
      </w:r>
    </w:p>
    <w:p w:rsidR="005F38C4" w:rsidRPr="007B54E9" w:rsidRDefault="005F38C4" w:rsidP="00404BF9">
      <w:pPr>
        <w:rPr>
          <w:sz w:val="32"/>
          <w:szCs w:val="32"/>
        </w:rPr>
      </w:pPr>
      <w:r w:rsidRPr="00B30CB0">
        <w:rPr>
          <w:rFonts w:cs="Arial"/>
          <w:sz w:val="32"/>
          <w:szCs w:val="32"/>
          <w:rtl/>
        </w:rPr>
        <w:t>ועוד במקרים כאלו בדרך כלל  שאין צילום מצורף כנדרש בחוק זה שהפקח עובר על אופנוע ורק מצלם לוחית רישוי ולאחר מכן ממלא את כל הדוח לפני שנחשף באופן מלא למבצע העבירה ומילוי פרטני של הדוח .כולל סעיף האיסור בגינו נכתב הדוח זוהי אכיפה שרירותית וניצול סמכויות מוגזם של העירייה והתנהלות בחוסר תום לב .בזמן שישנו מצב שבעל הרכב עצר את רכבו בגלל שקיבל התקף לב או התקף חרדה והפקח במקום לעזור לו ואולי להציל אותו ממצב מסכן חיים .מתנהג באופן שרירותי שאין מטרתו אלא להעשיר את קופת העירייה מבלי להתחשב בצרכי יסוד ובסיס של אזרחים .ולא התחלתי להזכיר את חובת העירייה לא פחות מחלוקת דוחות 24/7 היא גם לדאוג למינוף העיר ויציאת פתרונות חניה הוגנים שמשרתים את תושבי העיר הנאנקים תחניה והדוחות</w:t>
      </w:r>
    </w:p>
    <w:p w:rsidR="005F38C4" w:rsidRDefault="005F38C4"/>
    <w:sectPr w:rsidR="005F38C4" w:rsidSect="00C225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C4"/>
    <w:rsid w:val="005F38C4"/>
    <w:rsid w:val="00C22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42AC02-205E-674D-9B4A-A82DBD6F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2080</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2</cp:revision>
  <dcterms:created xsi:type="dcterms:W3CDTF">2021-12-13T15:28:00Z</dcterms:created>
  <dcterms:modified xsi:type="dcterms:W3CDTF">2021-12-13T15:28:00Z</dcterms:modified>
</cp:coreProperties>
</file>