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DA9ED" w14:textId="359FDEE2" w:rsidR="001A3B6A" w:rsidRDefault="00901FF5">
      <w:pPr>
        <w:rPr>
          <w:b/>
          <w:bCs/>
          <w:sz w:val="44"/>
          <w:szCs w:val="44"/>
          <w:rtl/>
        </w:rPr>
      </w:pPr>
      <w:r w:rsidRPr="00901FF5">
        <w:rPr>
          <w:rFonts w:hint="cs"/>
          <w:b/>
          <w:bCs/>
          <w:sz w:val="44"/>
          <w:szCs w:val="44"/>
          <w:rtl/>
        </w:rPr>
        <w:t xml:space="preserve">נסיעה ממושכת בשמאל </w:t>
      </w:r>
    </w:p>
    <w:p w14:paraId="51364883" w14:textId="77777777" w:rsidR="00901FF5" w:rsidRPr="00DE0959" w:rsidRDefault="00901FF5" w:rsidP="00DE0959">
      <w:pPr>
        <w:pStyle w:val="2"/>
        <w:rPr>
          <w:sz w:val="28"/>
          <w:szCs w:val="28"/>
          <w:rtl/>
        </w:rPr>
      </w:pPr>
    </w:p>
    <w:p w14:paraId="671EF8C7" w14:textId="77777777" w:rsidR="00901FF5" w:rsidRPr="00DE0959" w:rsidRDefault="00901FF5" w:rsidP="00DE0959">
      <w:pPr>
        <w:pStyle w:val="2"/>
        <w:rPr>
          <w:rFonts w:asciiTheme="minorBidi" w:hAnsiTheme="minorBidi"/>
          <w:i/>
          <w:iCs/>
          <w:sz w:val="28"/>
          <w:szCs w:val="28"/>
          <w:u w:val="single"/>
          <w:shd w:val="clear" w:color="auto" w:fill="FFFFFF"/>
          <w:rtl/>
        </w:rPr>
      </w:pPr>
      <w:proofErr w:type="spellStart"/>
      <w:r w:rsidRPr="00DE0959">
        <w:rPr>
          <w:rFonts w:asciiTheme="minorBidi" w:hAnsiTheme="minorBidi"/>
          <w:i/>
          <w:iCs/>
          <w:sz w:val="28"/>
          <w:szCs w:val="28"/>
          <w:u w:val="single"/>
          <w:shd w:val="clear" w:color="auto" w:fill="FFFFFF"/>
          <w:rtl/>
        </w:rPr>
        <w:t>תתע</w:t>
      </w:r>
      <w:proofErr w:type="spellEnd"/>
      <w:r w:rsidRPr="00DE0959">
        <w:rPr>
          <w:rFonts w:asciiTheme="minorBidi" w:hAnsiTheme="minorBidi"/>
          <w:i/>
          <w:iCs/>
          <w:sz w:val="28"/>
          <w:szCs w:val="28"/>
          <w:u w:val="single"/>
          <w:shd w:val="clear" w:color="auto" w:fill="FFFFFF"/>
          <w:rtl/>
        </w:rPr>
        <w:t xml:space="preserve"> (עכו) 4988-07-19  </w:t>
      </w:r>
    </w:p>
    <w:p w14:paraId="17BE63F2" w14:textId="7F186D1D" w:rsidR="00901FF5" w:rsidRPr="00DE0959" w:rsidRDefault="00901FF5" w:rsidP="00DE0959">
      <w:pPr>
        <w:pStyle w:val="2"/>
        <w:rPr>
          <w:rFonts w:asciiTheme="minorBidi" w:hAnsiTheme="minorBidi"/>
          <w:i/>
          <w:iCs/>
          <w:sz w:val="28"/>
          <w:szCs w:val="28"/>
          <w:u w:val="single"/>
          <w:rtl/>
        </w:rPr>
      </w:pPr>
      <w:r w:rsidRPr="00DE0959">
        <w:rPr>
          <w:rFonts w:asciiTheme="minorBidi" w:hAnsiTheme="minorBidi"/>
          <w:i/>
          <w:iCs/>
          <w:sz w:val="28"/>
          <w:szCs w:val="28"/>
          <w:u w:val="single"/>
          <w:shd w:val="clear" w:color="auto" w:fill="FFFFFF"/>
          <w:rtl/>
        </w:rPr>
        <w:t>מדינת ישראל נ' עלי בקרי</w:t>
      </w:r>
    </w:p>
    <w:p w14:paraId="49CAFB15" w14:textId="2BA300ED" w:rsidR="00901FF5" w:rsidRPr="00DE0959" w:rsidRDefault="00901FF5" w:rsidP="00DE0959">
      <w:pPr>
        <w:pStyle w:val="2"/>
        <w:rPr>
          <w:rFonts w:asciiTheme="minorBidi" w:hAnsiTheme="minorBidi"/>
          <w:i/>
          <w:iCs/>
          <w:sz w:val="28"/>
          <w:szCs w:val="28"/>
          <w:u w:val="single"/>
          <w:rtl/>
        </w:rPr>
      </w:pPr>
      <w:r w:rsidRPr="00DE0959">
        <w:rPr>
          <w:rFonts w:asciiTheme="minorBidi" w:hAnsiTheme="minorBidi"/>
          <w:i/>
          <w:iCs/>
          <w:sz w:val="28"/>
          <w:szCs w:val="28"/>
          <w:u w:val="single"/>
          <w:shd w:val="clear" w:color="auto" w:fill="FFFFFF"/>
          <w:rtl/>
        </w:rPr>
        <w:t>בפני כב' השופט יעקב בכר, שופט בכיר</w:t>
      </w:r>
    </w:p>
    <w:p w14:paraId="276745D0" w14:textId="77777777" w:rsidR="00901FF5" w:rsidRPr="00DE0959" w:rsidRDefault="00901FF5">
      <w:pPr>
        <w:rPr>
          <w:rFonts w:asciiTheme="minorBidi" w:hAnsiTheme="minorBidi"/>
          <w:i/>
          <w:iCs/>
          <w:sz w:val="32"/>
          <w:szCs w:val="32"/>
          <w:u w:val="single"/>
          <w:rtl/>
        </w:rPr>
      </w:pPr>
    </w:p>
    <w:p w14:paraId="50D7875D" w14:textId="1EF63E98" w:rsidR="00901FF5" w:rsidRPr="00DE0959" w:rsidRDefault="00901FF5">
      <w:pPr>
        <w:rPr>
          <w:rFonts w:asciiTheme="minorBidi" w:hAnsiTheme="minorBidi"/>
          <w:i/>
          <w:iCs/>
          <w:sz w:val="28"/>
          <w:szCs w:val="28"/>
          <w:rtl/>
        </w:rPr>
      </w:pPr>
      <w:r w:rsidRPr="00DE0959">
        <w:rPr>
          <w:rFonts w:asciiTheme="minorBidi" w:hAnsiTheme="minorBidi"/>
          <w:i/>
          <w:iCs/>
          <w:sz w:val="28"/>
          <w:szCs w:val="28"/>
          <w:u w:val="single"/>
          <w:rtl/>
        </w:rPr>
        <w:t xml:space="preserve">טענת הנהג </w:t>
      </w:r>
      <w:proofErr w:type="spellStart"/>
      <w:r w:rsidRPr="00DE0959">
        <w:rPr>
          <w:rFonts w:asciiTheme="minorBidi" w:hAnsiTheme="minorBidi"/>
          <w:i/>
          <w:iCs/>
          <w:sz w:val="28"/>
          <w:szCs w:val="28"/>
          <w:u w:val="single"/>
          <w:rtl/>
        </w:rPr>
        <w:t>הייתה</w:t>
      </w:r>
      <w:r w:rsidR="00DE0959" w:rsidRPr="00DE0959">
        <w:rPr>
          <w:rFonts w:asciiTheme="minorBidi" w:hAnsiTheme="minorBidi"/>
          <w:i/>
          <w:iCs/>
          <w:sz w:val="28"/>
          <w:szCs w:val="28"/>
          <w:rtl/>
        </w:rPr>
        <w:t>,</w:t>
      </w:r>
      <w:r w:rsidRPr="00DE0959">
        <w:rPr>
          <w:rFonts w:asciiTheme="minorBidi" w:hAnsiTheme="minorBidi"/>
          <w:i/>
          <w:iCs/>
          <w:sz w:val="28"/>
          <w:szCs w:val="28"/>
          <w:rtl/>
        </w:rPr>
        <w:t>שלא</w:t>
      </w:r>
      <w:proofErr w:type="spellEnd"/>
      <w:r w:rsidRPr="00DE0959">
        <w:rPr>
          <w:rFonts w:asciiTheme="minorBidi" w:hAnsiTheme="minorBidi"/>
          <w:i/>
          <w:iCs/>
          <w:sz w:val="28"/>
          <w:szCs w:val="28"/>
          <w:rtl/>
        </w:rPr>
        <w:t xml:space="preserve"> </w:t>
      </w:r>
      <w:proofErr w:type="spellStart"/>
      <w:r w:rsidRPr="00DE0959">
        <w:rPr>
          <w:rFonts w:asciiTheme="minorBidi" w:hAnsiTheme="minorBidi"/>
          <w:i/>
          <w:iCs/>
          <w:sz w:val="28"/>
          <w:szCs w:val="28"/>
          <w:rtl/>
        </w:rPr>
        <w:t>יכל</w:t>
      </w:r>
      <w:proofErr w:type="spellEnd"/>
      <w:r w:rsidRPr="00DE0959">
        <w:rPr>
          <w:rFonts w:asciiTheme="minorBidi" w:hAnsiTheme="minorBidi"/>
          <w:i/>
          <w:iCs/>
          <w:sz w:val="28"/>
          <w:szCs w:val="28"/>
          <w:rtl/>
        </w:rPr>
        <w:t xml:space="preserve"> לעבור לנתיב </w:t>
      </w:r>
      <w:proofErr w:type="spellStart"/>
      <w:r w:rsidRPr="00DE0959">
        <w:rPr>
          <w:rFonts w:asciiTheme="minorBidi" w:hAnsiTheme="minorBidi"/>
          <w:i/>
          <w:iCs/>
          <w:sz w:val="28"/>
          <w:szCs w:val="28"/>
          <w:rtl/>
        </w:rPr>
        <w:t>הימני</w:t>
      </w:r>
      <w:r w:rsidR="00DE0959" w:rsidRPr="00DE0959">
        <w:rPr>
          <w:rFonts w:asciiTheme="minorBidi" w:hAnsiTheme="minorBidi"/>
          <w:i/>
          <w:iCs/>
          <w:sz w:val="28"/>
          <w:szCs w:val="28"/>
          <w:rtl/>
        </w:rPr>
        <w:t>,</w:t>
      </w:r>
      <w:r w:rsidRPr="00DE0959">
        <w:rPr>
          <w:rFonts w:asciiTheme="minorBidi" w:hAnsiTheme="minorBidi"/>
          <w:i/>
          <w:iCs/>
          <w:sz w:val="28"/>
          <w:szCs w:val="28"/>
          <w:rtl/>
        </w:rPr>
        <w:t>מאחר</w:t>
      </w:r>
      <w:proofErr w:type="spellEnd"/>
      <w:r w:rsidRPr="00DE0959">
        <w:rPr>
          <w:rFonts w:asciiTheme="minorBidi" w:hAnsiTheme="minorBidi"/>
          <w:i/>
          <w:iCs/>
          <w:sz w:val="28"/>
          <w:szCs w:val="28"/>
          <w:rtl/>
        </w:rPr>
        <w:t xml:space="preserve"> והיה שם רכב מסוג איביזה שהאיץ ולא רצה לפגוע בו </w:t>
      </w:r>
      <w:r w:rsidRPr="00DE0959">
        <w:rPr>
          <w:rFonts w:asciiTheme="minorBidi" w:hAnsiTheme="minorBidi"/>
          <w:i/>
          <w:iCs/>
          <w:color w:val="000000"/>
          <w:sz w:val="28"/>
          <w:szCs w:val="28"/>
          <w:shd w:val="clear" w:color="auto" w:fill="FFFFFF"/>
          <w:rtl/>
        </w:rPr>
        <w:t>ולכן אף נאלץ לפספס הנאשם לטענתו את הפניה ימינה בה רצה לפנות</w:t>
      </w:r>
      <w:r w:rsidRPr="00DE0959">
        <w:rPr>
          <w:rFonts w:asciiTheme="minorBidi" w:hAnsiTheme="minorBidi"/>
          <w:i/>
          <w:iCs/>
          <w:color w:val="000000"/>
          <w:sz w:val="28"/>
          <w:szCs w:val="28"/>
          <w:shd w:val="clear" w:color="auto" w:fill="FFFFFF"/>
        </w:rPr>
        <w:t>.</w:t>
      </w:r>
    </w:p>
    <w:p w14:paraId="6CE22587" w14:textId="3AC69BCD" w:rsidR="00901FF5" w:rsidRPr="00901FF5" w:rsidRDefault="00901FF5">
      <w:pPr>
        <w:rPr>
          <w:sz w:val="28"/>
          <w:szCs w:val="28"/>
          <w:rtl/>
        </w:rPr>
      </w:pPr>
    </w:p>
    <w:p w14:paraId="019377FD" w14:textId="31F07E84" w:rsidR="00901FF5" w:rsidRDefault="00901FF5" w:rsidP="00901FF5">
      <w:pPr>
        <w:shd w:val="clear" w:color="auto" w:fill="FFFFFF"/>
        <w:spacing w:after="0" w:line="360" w:lineRule="atLeast"/>
        <w:ind w:left="720" w:hanging="720"/>
        <w:jc w:val="both"/>
        <w:rPr>
          <w:rFonts w:ascii="Arial" w:eastAsia="Times New Roman" w:hAnsi="Arial" w:cs="Arial"/>
          <w:color w:val="000000"/>
          <w:sz w:val="28"/>
          <w:szCs w:val="28"/>
          <w:rtl/>
        </w:rPr>
      </w:pPr>
      <w:r w:rsidRPr="00901FF5">
        <w:rPr>
          <w:rFonts w:ascii="David" w:eastAsia="Times New Roman" w:hAnsi="David" w:cs="David"/>
          <w:b/>
          <w:bCs/>
          <w:color w:val="000000"/>
          <w:sz w:val="28"/>
          <w:szCs w:val="28"/>
          <w:u w:val="single"/>
          <w:rtl/>
        </w:rPr>
        <w:t>סיכומו של דבר:</w:t>
      </w:r>
    </w:p>
    <w:p w14:paraId="72326DB5" w14:textId="77777777" w:rsidR="00DE0959" w:rsidRPr="00901FF5" w:rsidRDefault="00DE0959" w:rsidP="00901FF5">
      <w:pPr>
        <w:shd w:val="clear" w:color="auto" w:fill="FFFFFF"/>
        <w:spacing w:after="0" w:line="360" w:lineRule="atLeast"/>
        <w:ind w:left="720" w:hanging="720"/>
        <w:jc w:val="both"/>
        <w:rPr>
          <w:rFonts w:ascii="Arial" w:eastAsia="Times New Roman" w:hAnsi="Arial" w:cs="Arial"/>
          <w:color w:val="000000"/>
          <w:sz w:val="28"/>
          <w:szCs w:val="28"/>
        </w:rPr>
      </w:pPr>
    </w:p>
    <w:p w14:paraId="116ED312" w14:textId="77777777" w:rsidR="00901FF5" w:rsidRPr="00901FF5" w:rsidRDefault="00901FF5" w:rsidP="00901FF5">
      <w:pPr>
        <w:shd w:val="clear" w:color="auto" w:fill="FFFFFF"/>
        <w:spacing w:after="0" w:line="360" w:lineRule="atLeast"/>
        <w:ind w:left="720"/>
        <w:jc w:val="both"/>
        <w:rPr>
          <w:rFonts w:ascii="Arial" w:eastAsia="Times New Roman" w:hAnsi="Arial" w:cs="Arial"/>
          <w:color w:val="000000"/>
          <w:sz w:val="28"/>
          <w:szCs w:val="28"/>
          <w:rtl/>
        </w:rPr>
      </w:pPr>
      <w:r w:rsidRPr="00901FF5">
        <w:rPr>
          <w:rFonts w:ascii="David" w:eastAsia="Times New Roman" w:hAnsi="David" w:cs="David"/>
          <w:color w:val="000000"/>
          <w:sz w:val="28"/>
          <w:szCs w:val="28"/>
          <w:rtl/>
        </w:rPr>
        <w:t xml:space="preserve">מאחר ונטל השכנוע רובץ לאורך כל הדרך על כתבי המאשימה, וזו נתמכת ע"י גרסת המתנדב כעדות יחידה בלבד, ומאחר ולא ניתן לשלול את גרסת הנאשם לפיה היה לו קשה להשתלב בנתיב הימני בשל הימצאותו של רכב </w:t>
      </w:r>
      <w:proofErr w:type="spellStart"/>
      <w:r w:rsidRPr="00901FF5">
        <w:rPr>
          <w:rFonts w:ascii="David" w:eastAsia="Times New Roman" w:hAnsi="David" w:cs="David"/>
          <w:color w:val="000000"/>
          <w:sz w:val="28"/>
          <w:szCs w:val="28"/>
          <w:rtl/>
        </w:rPr>
        <w:t>האביזה</w:t>
      </w:r>
      <w:proofErr w:type="spellEnd"/>
      <w:r w:rsidRPr="00901FF5">
        <w:rPr>
          <w:rFonts w:ascii="David" w:eastAsia="Times New Roman" w:hAnsi="David" w:cs="David"/>
          <w:color w:val="000000"/>
          <w:sz w:val="28"/>
          <w:szCs w:val="28"/>
          <w:rtl/>
        </w:rPr>
        <w:t xml:space="preserve"> לו היה ער גם המתנדב, הגעתי למסקנה כי אין מקום להעדיף גרסה על פני רעותה ויש מקום במקרה דנן לזכות את הנאשם מחמת הספק.</w:t>
      </w:r>
    </w:p>
    <w:p w14:paraId="7053CAFB" w14:textId="77777777" w:rsidR="00901FF5" w:rsidRPr="00901FF5" w:rsidRDefault="00901FF5">
      <w:pPr>
        <w:rPr>
          <w:rtl/>
        </w:rPr>
      </w:pPr>
    </w:p>
    <w:p w14:paraId="27D64D85" w14:textId="77777777" w:rsidR="00901FF5" w:rsidRDefault="00901FF5">
      <w:pPr>
        <w:rPr>
          <w:rtl/>
        </w:rPr>
      </w:pPr>
    </w:p>
    <w:sectPr w:rsidR="00901FF5" w:rsidSect="00343F25">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FF5"/>
    <w:rsid w:val="001A3B6A"/>
    <w:rsid w:val="00343F25"/>
    <w:rsid w:val="00901FF5"/>
    <w:rsid w:val="00DE095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879CF"/>
  <w15:chartTrackingRefBased/>
  <w15:docId w15:val="{537F0F72-DD24-4396-9D18-03CFDF31F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2">
    <w:name w:val="heading 2"/>
    <w:basedOn w:val="a"/>
    <w:next w:val="a"/>
    <w:link w:val="20"/>
    <w:uiPriority w:val="9"/>
    <w:unhideWhenUsed/>
    <w:qFormat/>
    <w:rsid w:val="00DE09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uiPriority w:val="9"/>
    <w:rsid w:val="00DE095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0780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98</Words>
  <Characters>490</Characters>
  <Application>Microsoft Office Word</Application>
  <DocSecurity>0</DocSecurity>
  <Lines>4</Lines>
  <Paragraphs>1</Paragraphs>
  <ScaleCrop>false</ScaleCrop>
  <Company/>
  <LinksUpToDate>false</LinksUpToDate>
  <CharactersWithSpaces>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משה שניאור</dc:creator>
  <cp:keywords/>
  <dc:description/>
  <cp:lastModifiedBy>משה שניאור</cp:lastModifiedBy>
  <cp:revision>3</cp:revision>
  <dcterms:created xsi:type="dcterms:W3CDTF">2022-02-28T15:58:00Z</dcterms:created>
  <dcterms:modified xsi:type="dcterms:W3CDTF">2023-03-04T20:36:00Z</dcterms:modified>
</cp:coreProperties>
</file>