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3B345" w14:textId="225D652C" w:rsidR="007300FA" w:rsidRPr="00EA760E" w:rsidRDefault="007300FA" w:rsidP="007300FA">
      <w:pPr>
        <w:rPr>
          <w:b/>
          <w:bCs/>
          <w:sz w:val="48"/>
          <w:szCs w:val="48"/>
          <w:u w:val="single"/>
          <w:rtl/>
        </w:rPr>
      </w:pPr>
      <w:r w:rsidRPr="00EA760E">
        <w:rPr>
          <w:rFonts w:hint="cs"/>
          <w:b/>
          <w:bCs/>
          <w:sz w:val="48"/>
          <w:szCs w:val="48"/>
          <w:u w:val="single"/>
          <w:rtl/>
        </w:rPr>
        <w:t>פריקה וטעינה</w:t>
      </w:r>
      <w:r w:rsidRPr="00EA760E">
        <w:rPr>
          <w:rFonts w:cs="Arial"/>
          <w:b/>
          <w:bCs/>
          <w:sz w:val="32"/>
          <w:szCs w:val="32"/>
          <w:u w:val="single"/>
          <w:rtl/>
        </w:rPr>
        <w:t xml:space="preserve"> </w:t>
      </w:r>
      <w:r w:rsidR="00890946">
        <w:rPr>
          <w:b/>
          <w:bCs/>
          <w:noProof/>
          <w:sz w:val="48"/>
          <w:szCs w:val="48"/>
          <w:u w:val="single"/>
          <w:rtl/>
          <w:lang w:val="he-IL"/>
        </w:rPr>
        <w:drawing>
          <wp:inline distT="0" distB="0" distL="0" distR="0" wp14:anchorId="73FF011A" wp14:editId="28A04D08">
            <wp:extent cx="1079500" cy="659765"/>
            <wp:effectExtent l="0" t="0" r="635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01611" cy="673279"/>
                    </a:xfrm>
                    <a:prstGeom prst="rect">
                      <a:avLst/>
                    </a:prstGeom>
                  </pic:spPr>
                </pic:pic>
              </a:graphicData>
            </a:graphic>
          </wp:inline>
        </w:drawing>
      </w:r>
    </w:p>
    <w:p w14:paraId="67610D1F" w14:textId="77777777" w:rsidR="00747944" w:rsidRDefault="00747944" w:rsidP="007300FA">
      <w:pPr>
        <w:rPr>
          <w:sz w:val="48"/>
          <w:szCs w:val="48"/>
          <w:rtl/>
        </w:rPr>
      </w:pPr>
    </w:p>
    <w:p w14:paraId="114151CE" w14:textId="77777777" w:rsidR="00747944" w:rsidRPr="00EA760E" w:rsidRDefault="00747944" w:rsidP="007300FA">
      <w:pPr>
        <w:rPr>
          <w:b/>
          <w:bCs/>
          <w:sz w:val="48"/>
          <w:szCs w:val="48"/>
          <w:rtl/>
        </w:rPr>
      </w:pPr>
      <w:r w:rsidRPr="00EA760E">
        <w:rPr>
          <w:rFonts w:hint="cs"/>
          <w:b/>
          <w:bCs/>
          <w:sz w:val="48"/>
          <w:szCs w:val="48"/>
          <w:rtl/>
        </w:rPr>
        <w:t>מבוא</w:t>
      </w:r>
    </w:p>
    <w:p w14:paraId="11EC02C3" w14:textId="7023DECE" w:rsidR="00747944" w:rsidRPr="00390F76" w:rsidRDefault="00747944" w:rsidP="007300FA">
      <w:pPr>
        <w:rPr>
          <w:b/>
          <w:bCs/>
          <w:sz w:val="36"/>
          <w:szCs w:val="36"/>
          <w:rtl/>
        </w:rPr>
      </w:pPr>
      <w:r w:rsidRPr="00390F76">
        <w:rPr>
          <w:rFonts w:hint="cs"/>
          <w:b/>
          <w:bCs/>
          <w:sz w:val="36"/>
          <w:szCs w:val="36"/>
          <w:rtl/>
        </w:rPr>
        <w:t xml:space="preserve">במקרה שחניתם לצורף פריקה וטעינה צרפו לערעור הוכחות לכך כגון תעודת משלוח מחנות /עסק / באותו </w:t>
      </w:r>
      <w:proofErr w:type="spellStart"/>
      <w:r w:rsidRPr="00390F76">
        <w:rPr>
          <w:rFonts w:hint="cs"/>
          <w:b/>
          <w:bCs/>
          <w:sz w:val="36"/>
          <w:szCs w:val="36"/>
          <w:rtl/>
        </w:rPr>
        <w:t>איזור</w:t>
      </w:r>
      <w:proofErr w:type="spellEnd"/>
      <w:r w:rsidRPr="00390F76">
        <w:rPr>
          <w:rFonts w:hint="cs"/>
          <w:b/>
          <w:bCs/>
          <w:sz w:val="36"/>
          <w:szCs w:val="36"/>
          <w:rtl/>
        </w:rPr>
        <w:t xml:space="preserve"> </w:t>
      </w:r>
      <w:r w:rsidR="00EA760E">
        <w:rPr>
          <w:rFonts w:hint="cs"/>
          <w:b/>
          <w:bCs/>
          <w:sz w:val="36"/>
          <w:szCs w:val="36"/>
          <w:rtl/>
        </w:rPr>
        <w:t>.</w:t>
      </w:r>
      <w:r w:rsidRPr="00390F76">
        <w:rPr>
          <w:rFonts w:hint="cs"/>
          <w:b/>
          <w:bCs/>
          <w:sz w:val="36"/>
          <w:szCs w:val="36"/>
          <w:rtl/>
        </w:rPr>
        <w:t>או קבלה וצרפו אותם לערעור</w:t>
      </w:r>
      <w:r w:rsidR="00EA760E">
        <w:rPr>
          <w:rFonts w:hint="cs"/>
          <w:b/>
          <w:bCs/>
          <w:sz w:val="36"/>
          <w:szCs w:val="36"/>
          <w:rtl/>
        </w:rPr>
        <w:t>.</w:t>
      </w:r>
      <w:r w:rsidRPr="00390F76">
        <w:rPr>
          <w:rFonts w:hint="cs"/>
          <w:b/>
          <w:bCs/>
          <w:sz w:val="36"/>
          <w:szCs w:val="36"/>
          <w:rtl/>
        </w:rPr>
        <w:t xml:space="preserve"> מבוסס על ת"פ 191/14 כבוד השופט- נמרוד אשכול</w:t>
      </w:r>
    </w:p>
    <w:p w14:paraId="2632ABCA" w14:textId="77777777" w:rsidR="007300FA" w:rsidRDefault="007300FA" w:rsidP="007300FA">
      <w:pPr>
        <w:rPr>
          <w:sz w:val="32"/>
          <w:szCs w:val="32"/>
          <w:rtl/>
        </w:rPr>
      </w:pPr>
    </w:p>
    <w:p w14:paraId="00F519A9" w14:textId="3FBE83AF" w:rsidR="007300FA" w:rsidRPr="00EA760E" w:rsidRDefault="007300FA" w:rsidP="007300FA">
      <w:pPr>
        <w:rPr>
          <w:b/>
          <w:bCs/>
          <w:sz w:val="48"/>
          <w:szCs w:val="48"/>
          <w:rtl/>
        </w:rPr>
      </w:pPr>
      <w:r w:rsidRPr="00EA760E">
        <w:rPr>
          <w:rFonts w:hint="cs"/>
          <w:b/>
          <w:bCs/>
          <w:sz w:val="48"/>
          <w:szCs w:val="48"/>
          <w:rtl/>
        </w:rPr>
        <w:t>פריקה וטעינה-</w:t>
      </w:r>
      <w:r w:rsidR="00EA760E">
        <w:rPr>
          <w:rFonts w:hint="cs"/>
          <w:b/>
          <w:bCs/>
          <w:sz w:val="48"/>
          <w:szCs w:val="48"/>
          <w:rtl/>
        </w:rPr>
        <w:t>10 דקות</w:t>
      </w:r>
    </w:p>
    <w:p w14:paraId="55E6217D" w14:textId="77777777" w:rsidR="007300FA" w:rsidRDefault="007300FA" w:rsidP="007300FA">
      <w:pPr>
        <w:rPr>
          <w:sz w:val="32"/>
          <w:szCs w:val="32"/>
          <w:rtl/>
        </w:rPr>
      </w:pPr>
    </w:p>
    <w:p w14:paraId="789FA1FB" w14:textId="77777777" w:rsidR="00747944" w:rsidRPr="00890946" w:rsidRDefault="00747944" w:rsidP="00747944">
      <w:pPr>
        <w:rPr>
          <w:sz w:val="28"/>
          <w:szCs w:val="28"/>
          <w:u w:val="single"/>
          <w:rtl/>
        </w:rPr>
      </w:pPr>
      <w:proofErr w:type="spellStart"/>
      <w:r w:rsidRPr="00890946">
        <w:rPr>
          <w:rFonts w:cs="Arial"/>
          <w:sz w:val="28"/>
          <w:szCs w:val="28"/>
          <w:u w:val="single"/>
          <w:rtl/>
        </w:rPr>
        <w:t>עפ"א</w:t>
      </w:r>
      <w:proofErr w:type="spellEnd"/>
      <w:r w:rsidRPr="00890946">
        <w:rPr>
          <w:rFonts w:cs="Arial"/>
          <w:sz w:val="28"/>
          <w:szCs w:val="28"/>
          <w:u w:val="single"/>
          <w:rtl/>
        </w:rPr>
        <w:t xml:space="preserve"> 80083/06</w:t>
      </w:r>
    </w:p>
    <w:p w14:paraId="1F16233B" w14:textId="77777777" w:rsidR="00747944" w:rsidRPr="00890946" w:rsidRDefault="00747944" w:rsidP="00747944">
      <w:pPr>
        <w:rPr>
          <w:rFonts w:cs="Arial"/>
          <w:sz w:val="28"/>
          <w:szCs w:val="28"/>
          <w:rtl/>
        </w:rPr>
      </w:pPr>
    </w:p>
    <w:p w14:paraId="25500C02" w14:textId="6929EB4D" w:rsidR="00EA760E" w:rsidRPr="00890946" w:rsidRDefault="00F178D4" w:rsidP="00747944">
      <w:pPr>
        <w:rPr>
          <w:rFonts w:cs="Arial"/>
          <w:sz w:val="28"/>
          <w:szCs w:val="28"/>
          <w:rtl/>
        </w:rPr>
      </w:pPr>
      <w:r w:rsidRPr="00890946">
        <w:rPr>
          <w:rFonts w:cs="Arial" w:hint="cs"/>
          <w:sz w:val="28"/>
          <w:szCs w:val="28"/>
          <w:rtl/>
        </w:rPr>
        <w:t>המדיניות היא</w:t>
      </w:r>
      <w:r w:rsidR="00EA760E" w:rsidRPr="00890946">
        <w:rPr>
          <w:rFonts w:cs="Arial" w:hint="cs"/>
          <w:sz w:val="28"/>
          <w:szCs w:val="28"/>
          <w:rtl/>
        </w:rPr>
        <w:t>,,,</w:t>
      </w:r>
      <w:r w:rsidRPr="00890946">
        <w:rPr>
          <w:rFonts w:cs="Arial" w:hint="cs"/>
          <w:sz w:val="28"/>
          <w:szCs w:val="28"/>
          <w:rtl/>
        </w:rPr>
        <w:t xml:space="preserve"> במקומות המיועדים לפריקה וטעינה</w:t>
      </w:r>
      <w:r w:rsidR="00EA760E" w:rsidRPr="00890946">
        <w:rPr>
          <w:rFonts w:cs="Arial" w:hint="cs"/>
          <w:sz w:val="28"/>
          <w:szCs w:val="28"/>
          <w:rtl/>
        </w:rPr>
        <w:t>,</w:t>
      </w:r>
      <w:r w:rsidRPr="00890946">
        <w:rPr>
          <w:rFonts w:cs="Arial" w:hint="cs"/>
          <w:sz w:val="28"/>
          <w:szCs w:val="28"/>
          <w:rtl/>
        </w:rPr>
        <w:t xml:space="preserve"> להמתין 10 דקות לרכב פרטי</w:t>
      </w:r>
      <w:r w:rsidR="00EA760E" w:rsidRPr="00890946">
        <w:rPr>
          <w:rFonts w:cs="Arial" w:hint="cs"/>
          <w:sz w:val="28"/>
          <w:szCs w:val="28"/>
          <w:rtl/>
        </w:rPr>
        <w:t>,</w:t>
      </w:r>
      <w:r w:rsidRPr="00890946">
        <w:rPr>
          <w:rFonts w:cs="Arial" w:hint="cs"/>
          <w:sz w:val="28"/>
          <w:szCs w:val="28"/>
          <w:rtl/>
        </w:rPr>
        <w:t xml:space="preserve"> במקרה שהרכב סגור</w:t>
      </w:r>
      <w:r w:rsidR="00EA760E" w:rsidRPr="00890946">
        <w:rPr>
          <w:rFonts w:cs="Arial" w:hint="cs"/>
          <w:sz w:val="28"/>
          <w:szCs w:val="28"/>
          <w:rtl/>
        </w:rPr>
        <w:t>.</w:t>
      </w:r>
    </w:p>
    <w:p w14:paraId="2F524A74" w14:textId="3B943762" w:rsidR="00F178D4" w:rsidRPr="00890946" w:rsidRDefault="00F178D4" w:rsidP="00747944">
      <w:pPr>
        <w:rPr>
          <w:rFonts w:cs="Arial"/>
          <w:sz w:val="28"/>
          <w:szCs w:val="28"/>
          <w:rtl/>
        </w:rPr>
      </w:pPr>
      <w:r w:rsidRPr="00890946">
        <w:rPr>
          <w:rFonts w:cs="Arial" w:hint="cs"/>
          <w:sz w:val="28"/>
          <w:szCs w:val="28"/>
          <w:rtl/>
        </w:rPr>
        <w:t xml:space="preserve"> רכב מסחרי סגור </w:t>
      </w:r>
      <w:r w:rsidRPr="00890946">
        <w:rPr>
          <w:rFonts w:cs="Arial"/>
          <w:sz w:val="28"/>
          <w:szCs w:val="28"/>
          <w:rtl/>
        </w:rPr>
        <w:t>–</w:t>
      </w:r>
      <w:r w:rsidRPr="00890946">
        <w:rPr>
          <w:rFonts w:cs="Arial" w:hint="cs"/>
          <w:sz w:val="28"/>
          <w:szCs w:val="28"/>
          <w:rtl/>
        </w:rPr>
        <w:t xml:space="preserve">לצלם </w:t>
      </w:r>
      <w:r w:rsidR="00EA760E" w:rsidRPr="00890946">
        <w:rPr>
          <w:rFonts w:cs="Arial" w:hint="cs"/>
          <w:sz w:val="28"/>
          <w:szCs w:val="28"/>
          <w:rtl/>
        </w:rPr>
        <w:t>,</w:t>
      </w:r>
      <w:r w:rsidRPr="00890946">
        <w:rPr>
          <w:rFonts w:cs="Arial" w:hint="cs"/>
          <w:sz w:val="28"/>
          <w:szCs w:val="28"/>
          <w:rtl/>
        </w:rPr>
        <w:t>ולאחר כ30 דקות ניתן לתת דוח</w:t>
      </w:r>
      <w:r w:rsidR="00EA760E" w:rsidRPr="00890946">
        <w:rPr>
          <w:rFonts w:cs="Arial" w:hint="cs"/>
          <w:sz w:val="28"/>
          <w:szCs w:val="28"/>
          <w:rtl/>
        </w:rPr>
        <w:t>.</w:t>
      </w:r>
      <w:r w:rsidRPr="00890946">
        <w:rPr>
          <w:rFonts w:cs="Arial" w:hint="cs"/>
          <w:sz w:val="28"/>
          <w:szCs w:val="28"/>
          <w:rtl/>
        </w:rPr>
        <w:t xml:space="preserve"> </w:t>
      </w:r>
    </w:p>
    <w:p w14:paraId="02FF0A94" w14:textId="43DC9DD9" w:rsidR="007300FA" w:rsidRPr="00890946" w:rsidRDefault="007300FA" w:rsidP="007300FA">
      <w:pPr>
        <w:rPr>
          <w:sz w:val="28"/>
          <w:szCs w:val="28"/>
          <w:rtl/>
        </w:rPr>
      </w:pPr>
      <w:r w:rsidRPr="00890946">
        <w:rPr>
          <w:rFonts w:cs="Arial"/>
          <w:sz w:val="28"/>
          <w:szCs w:val="28"/>
          <w:rtl/>
        </w:rPr>
        <w:t>בית המשפט המחוזי בתל-אביב קבע</w:t>
      </w:r>
      <w:r w:rsidR="00EA760E" w:rsidRPr="00890946">
        <w:rPr>
          <w:rFonts w:cs="Arial" w:hint="cs"/>
          <w:sz w:val="28"/>
          <w:szCs w:val="28"/>
          <w:rtl/>
        </w:rPr>
        <w:t>,</w:t>
      </w:r>
      <w:r w:rsidRPr="00890946">
        <w:rPr>
          <w:rFonts w:cs="Arial"/>
          <w:sz w:val="28"/>
          <w:szCs w:val="28"/>
          <w:rtl/>
        </w:rPr>
        <w:t xml:space="preserve"> כי פקח חניה אינו רשאי לתת דו"ח לנהג שעצר את רכבו </w:t>
      </w:r>
      <w:r w:rsidR="00EA760E" w:rsidRPr="00890946">
        <w:rPr>
          <w:rFonts w:cs="Arial" w:hint="cs"/>
          <w:sz w:val="28"/>
          <w:szCs w:val="28"/>
          <w:rtl/>
        </w:rPr>
        <w:t>,</w:t>
      </w:r>
      <w:r w:rsidRPr="00890946">
        <w:rPr>
          <w:rFonts w:cs="Arial"/>
          <w:sz w:val="28"/>
          <w:szCs w:val="28"/>
          <w:rtl/>
        </w:rPr>
        <w:t>במקום המותר לפריקה וטעינה, בטרם חלפו 10 דקות שבהן הנהג לא שב לרכב.</w:t>
      </w:r>
    </w:p>
    <w:p w14:paraId="0D45795B" w14:textId="77777777" w:rsidR="007300FA" w:rsidRPr="00890946" w:rsidRDefault="007300FA" w:rsidP="007300FA">
      <w:pPr>
        <w:rPr>
          <w:sz w:val="28"/>
          <w:szCs w:val="28"/>
          <w:rtl/>
        </w:rPr>
      </w:pPr>
      <w:r w:rsidRPr="00890946">
        <w:rPr>
          <w:rFonts w:cs="Arial"/>
          <w:sz w:val="28"/>
          <w:szCs w:val="28"/>
          <w:rtl/>
        </w:rPr>
        <w:t>"כדי לתת דו"ח על חניה אסורה במקום שמותר לחנות בו לצורך פריקה וטעינה", קבעה השופטת ד"ר מיכל אגמון-גונן, "יש להמתין לפחות 10 דקות, כדי לבחון האם הנהג חוזר, ואז לשאול אותו לאיזה צורך החנה את הרכב. אז, אם יטען שעסק בפריקה וטעינה, ניתן לשאול לאן או מאין הביא את הסחורה, ולבדוק זאת בו במקום".</w:t>
      </w:r>
    </w:p>
    <w:p w14:paraId="3D4D4445" w14:textId="77777777" w:rsidR="00747944" w:rsidRPr="00890946" w:rsidRDefault="007300FA" w:rsidP="007300FA">
      <w:pPr>
        <w:rPr>
          <w:rFonts w:cs="Arial"/>
          <w:sz w:val="28"/>
          <w:szCs w:val="28"/>
          <w:u w:val="single"/>
          <w:rtl/>
        </w:rPr>
      </w:pPr>
      <w:r w:rsidRPr="00890946">
        <w:rPr>
          <w:rFonts w:cs="Arial"/>
          <w:b/>
          <w:bCs/>
          <w:sz w:val="28"/>
          <w:szCs w:val="28"/>
          <w:u w:val="single"/>
          <w:rtl/>
        </w:rPr>
        <w:t>השופטת קיבלה ערעור של דוד גואטה</w:t>
      </w:r>
      <w:r w:rsidRPr="00890946">
        <w:rPr>
          <w:rFonts w:cs="Arial"/>
          <w:sz w:val="28"/>
          <w:szCs w:val="28"/>
          <w:u w:val="single"/>
          <w:rtl/>
        </w:rPr>
        <w:t xml:space="preserve">, </w:t>
      </w:r>
    </w:p>
    <w:p w14:paraId="4B43FD55" w14:textId="2CB97CDF" w:rsidR="007300FA" w:rsidRPr="00890946" w:rsidRDefault="007300FA" w:rsidP="00EA760E">
      <w:pPr>
        <w:rPr>
          <w:sz w:val="28"/>
          <w:szCs w:val="28"/>
          <w:rtl/>
        </w:rPr>
      </w:pPr>
      <w:r w:rsidRPr="00890946">
        <w:rPr>
          <w:rFonts w:cs="Arial"/>
          <w:sz w:val="28"/>
          <w:szCs w:val="28"/>
          <w:rtl/>
        </w:rPr>
        <w:t xml:space="preserve">שב-2003 קיבל דו"ח בגין חניה בשטח כיכר דיזנגוף, שלטענת העירייה נחשבת ל"מדרכה". הוא הורשע בבית המשפט לעניינים מקומיים ובערעורו טען שחנה ליד מלון "סנטר" במקום שאינו נחשב למדרכה ובכל מקרה חנה לצורך פריקה </w:t>
      </w:r>
      <w:r w:rsidRPr="00890946">
        <w:rPr>
          <w:rFonts w:cs="Arial"/>
          <w:sz w:val="28"/>
          <w:szCs w:val="28"/>
          <w:rtl/>
        </w:rPr>
        <w:lastRenderedPageBreak/>
        <w:t>וטעינה, המותרת במקום, לזמן קצר ביותר</w:t>
      </w:r>
      <w:r w:rsidR="00EA760E" w:rsidRPr="00890946">
        <w:rPr>
          <w:rFonts w:cs="Arial" w:hint="cs"/>
          <w:sz w:val="28"/>
          <w:szCs w:val="28"/>
          <w:rtl/>
        </w:rPr>
        <w:t>.</w:t>
      </w:r>
      <w:r w:rsidRPr="00890946">
        <w:rPr>
          <w:rFonts w:cs="Arial"/>
          <w:sz w:val="28"/>
          <w:szCs w:val="28"/>
          <w:rtl/>
        </w:rPr>
        <w:t xml:space="preserve"> </w:t>
      </w:r>
      <w:r w:rsidR="00EA760E" w:rsidRPr="00890946">
        <w:rPr>
          <w:rFonts w:cs="Arial" w:hint="cs"/>
          <w:sz w:val="28"/>
          <w:szCs w:val="28"/>
          <w:rtl/>
        </w:rPr>
        <w:t>נ</w:t>
      </w:r>
      <w:r w:rsidRPr="00890946">
        <w:rPr>
          <w:rFonts w:cs="Arial"/>
          <w:sz w:val="28"/>
          <w:szCs w:val="28"/>
          <w:rtl/>
        </w:rPr>
        <w:t>קבע כי קיים ספק אם המקום בו חנה גואטה נחשב ל"מדרכה", ומאחר שהמחוקק העירוני בחר שלא להגדיר מהי "מדרכה", הרי ש"במקרים בהם יש ספק אם מדובר במדרכה, על הספק לפעול לטובת הנאשם".</w:t>
      </w:r>
    </w:p>
    <w:p w14:paraId="4B41BA44" w14:textId="62F83B6B" w:rsidR="007300FA" w:rsidRPr="00890946" w:rsidRDefault="007300FA" w:rsidP="00EA760E">
      <w:pPr>
        <w:rPr>
          <w:sz w:val="28"/>
          <w:szCs w:val="28"/>
          <w:rtl/>
        </w:rPr>
      </w:pPr>
      <w:r w:rsidRPr="00890946">
        <w:rPr>
          <w:rFonts w:cs="Arial"/>
          <w:sz w:val="28"/>
          <w:szCs w:val="28"/>
          <w:rtl/>
        </w:rPr>
        <w:t xml:space="preserve">סיבה נוספת לקבלת הערעור ולזיכויו של גואטה </w:t>
      </w:r>
      <w:proofErr w:type="spellStart"/>
      <w:r w:rsidRPr="00890946">
        <w:rPr>
          <w:rFonts w:cs="Arial"/>
          <w:sz w:val="28"/>
          <w:szCs w:val="28"/>
          <w:rtl/>
        </w:rPr>
        <w:t>היתה</w:t>
      </w:r>
      <w:proofErr w:type="spellEnd"/>
      <w:r w:rsidRPr="00890946">
        <w:rPr>
          <w:rFonts w:cs="Arial"/>
          <w:sz w:val="28"/>
          <w:szCs w:val="28"/>
          <w:rtl/>
        </w:rPr>
        <w:t xml:space="preserve"> שהוא עסק בפריקת סחורה מותרת. "סביר להניח כי אם הפקחית </w:t>
      </w:r>
      <w:proofErr w:type="spellStart"/>
      <w:r w:rsidRPr="00890946">
        <w:rPr>
          <w:rFonts w:cs="Arial"/>
          <w:sz w:val="28"/>
          <w:szCs w:val="28"/>
          <w:rtl/>
        </w:rPr>
        <w:t>היתה</w:t>
      </w:r>
      <w:proofErr w:type="spellEnd"/>
      <w:r w:rsidRPr="00890946">
        <w:rPr>
          <w:rFonts w:cs="Arial"/>
          <w:sz w:val="28"/>
          <w:szCs w:val="28"/>
          <w:rtl/>
        </w:rPr>
        <w:t xml:space="preserve"> רואה את המערער פורק בפועל סחורה ממכוניתו, לא </w:t>
      </w:r>
      <w:proofErr w:type="spellStart"/>
      <w:r w:rsidRPr="00890946">
        <w:rPr>
          <w:rFonts w:cs="Arial"/>
          <w:sz w:val="28"/>
          <w:szCs w:val="28"/>
          <w:rtl/>
        </w:rPr>
        <w:t>היתה</w:t>
      </w:r>
      <w:proofErr w:type="spellEnd"/>
      <w:r w:rsidRPr="00890946">
        <w:rPr>
          <w:rFonts w:cs="Arial"/>
          <w:sz w:val="28"/>
          <w:szCs w:val="28"/>
          <w:rtl/>
        </w:rPr>
        <w:t xml:space="preserve"> רושמת לו דו"ח", ציינה השופטת. "אולם, כאשר הפריקה היא למקום מרוחק ולו במעט, הרי שסביר כי בעל רכב הפורק ממנו או אמור להעמיס עליו סחורה, יחנה, ייקח את הסחורה, או יסור למקום ממנו עליו להעמיס סחורה ואז יחזור לרכבו. בפרק זמן זה, שאמור לארוך לא יותר ממספר דקות, הרכב חונה ולא ניכרים בו 'סימני פריקה וטעינה'".</w:t>
      </w:r>
    </w:p>
    <w:p w14:paraId="3393B233" w14:textId="77777777" w:rsidR="007300FA" w:rsidRPr="00890946" w:rsidRDefault="007300FA" w:rsidP="00747944">
      <w:pPr>
        <w:rPr>
          <w:sz w:val="28"/>
          <w:szCs w:val="28"/>
          <w:u w:val="single"/>
          <w:rtl/>
        </w:rPr>
      </w:pPr>
      <w:r w:rsidRPr="00890946">
        <w:rPr>
          <w:rFonts w:cs="Arial"/>
          <w:sz w:val="28"/>
          <w:szCs w:val="28"/>
          <w:u w:val="single"/>
          <w:rtl/>
        </w:rPr>
        <w:t xml:space="preserve">לכן, קבעה השופטת, כי רישום דו"ח מבלי להמתין לפחות 10 דקות, מרוקן למעשה מתוכן את ההיתר לחנות לצורך פריקה וטעינה". </w:t>
      </w:r>
    </w:p>
    <w:p w14:paraId="44280CCB" w14:textId="77777777" w:rsidR="007300FA" w:rsidRPr="00890946" w:rsidRDefault="007300FA" w:rsidP="007300FA">
      <w:pPr>
        <w:rPr>
          <w:sz w:val="28"/>
          <w:szCs w:val="28"/>
          <w:rtl/>
        </w:rPr>
      </w:pPr>
    </w:p>
    <w:p w14:paraId="4F7F9F69" w14:textId="77777777" w:rsidR="007300FA" w:rsidRPr="00890946" w:rsidRDefault="007300FA" w:rsidP="007300FA">
      <w:pPr>
        <w:rPr>
          <w:b/>
          <w:bCs/>
          <w:sz w:val="28"/>
          <w:szCs w:val="28"/>
          <w:rtl/>
        </w:rPr>
      </w:pPr>
    </w:p>
    <w:p w14:paraId="7A462AD1" w14:textId="1124B63D" w:rsidR="007300FA" w:rsidRPr="00890946" w:rsidRDefault="00EA760E" w:rsidP="007300FA">
      <w:pPr>
        <w:rPr>
          <w:b/>
          <w:bCs/>
          <w:sz w:val="32"/>
          <w:szCs w:val="32"/>
          <w:u w:val="single"/>
          <w:rtl/>
        </w:rPr>
      </w:pPr>
      <w:r w:rsidRPr="00890946">
        <w:rPr>
          <w:rFonts w:cs="Arial" w:hint="cs"/>
          <w:b/>
          <w:bCs/>
          <w:sz w:val="32"/>
          <w:szCs w:val="32"/>
          <w:u w:val="single"/>
          <w:rtl/>
        </w:rPr>
        <w:t>לחצן-תמרור</w:t>
      </w:r>
      <w:r w:rsidR="00890946">
        <w:rPr>
          <w:rFonts w:cs="Arial" w:hint="cs"/>
          <w:b/>
          <w:bCs/>
          <w:sz w:val="32"/>
          <w:szCs w:val="32"/>
          <w:u w:val="single"/>
          <w:rtl/>
        </w:rPr>
        <w:t xml:space="preserve"> הנתון לפרשנות</w:t>
      </w:r>
      <w:r w:rsidRPr="00890946">
        <w:rPr>
          <w:rFonts w:hint="cs"/>
          <w:b/>
          <w:bCs/>
          <w:sz w:val="32"/>
          <w:szCs w:val="32"/>
          <w:u w:val="single"/>
          <w:rtl/>
        </w:rPr>
        <w:t xml:space="preserve"> </w:t>
      </w:r>
      <w:r w:rsidR="00890946">
        <w:rPr>
          <w:rFonts w:hint="cs"/>
          <w:b/>
          <w:bCs/>
          <w:sz w:val="32"/>
          <w:szCs w:val="32"/>
          <w:u w:val="single"/>
          <w:rtl/>
        </w:rPr>
        <w:t>בלי תמרור</w:t>
      </w:r>
      <w:r w:rsidR="00890946">
        <w:rPr>
          <w:b/>
          <w:bCs/>
          <w:noProof/>
          <w:sz w:val="32"/>
          <w:szCs w:val="32"/>
          <w:u w:val="single"/>
          <w:rtl/>
          <w:lang w:val="he-IL"/>
        </w:rPr>
        <w:drawing>
          <wp:inline distT="0" distB="0" distL="0" distR="0" wp14:anchorId="6661F371" wp14:editId="3E4FD327">
            <wp:extent cx="320675" cy="320675"/>
            <wp:effectExtent l="0" t="0" r="3175"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 cstate="print">
                      <a:extLst>
                        <a:ext uri="{28A0092B-C50C-407E-A947-70E740481C1C}">
                          <a14:useLocalDpi xmlns:a14="http://schemas.microsoft.com/office/drawing/2010/main" val="0"/>
                        </a:ext>
                      </a:extLst>
                    </a:blip>
                    <a:stretch>
                      <a:fillRect/>
                    </a:stretch>
                  </pic:blipFill>
                  <pic:spPr>
                    <a:xfrm flipH="1">
                      <a:off x="0" y="0"/>
                      <a:ext cx="320675" cy="320675"/>
                    </a:xfrm>
                    <a:prstGeom prst="rect">
                      <a:avLst/>
                    </a:prstGeom>
                  </pic:spPr>
                </pic:pic>
              </a:graphicData>
            </a:graphic>
          </wp:inline>
        </w:drawing>
      </w:r>
    </w:p>
    <w:p w14:paraId="7DB44C66" w14:textId="72D17CEC" w:rsidR="00EA760E" w:rsidRPr="00EA760E" w:rsidRDefault="007300FA" w:rsidP="00EA760E">
      <w:pPr>
        <w:rPr>
          <w:sz w:val="32"/>
          <w:szCs w:val="32"/>
          <w:rtl/>
        </w:rPr>
      </w:pPr>
      <w:r w:rsidRPr="00B975F7">
        <w:rPr>
          <w:rFonts w:cs="Arial"/>
          <w:sz w:val="32"/>
          <w:szCs w:val="32"/>
          <w:rtl/>
        </w:rPr>
        <w:t xml:space="preserve">להביא תמונות התומכות בטענתך ולהביא כתקדים את הפסק דין הרשום מטה </w:t>
      </w:r>
    </w:p>
    <w:p w14:paraId="67900087" w14:textId="77777777" w:rsidR="007300FA" w:rsidRPr="00EA760E" w:rsidRDefault="007300FA" w:rsidP="007300FA">
      <w:pPr>
        <w:rPr>
          <w:sz w:val="24"/>
          <w:szCs w:val="24"/>
          <w:u w:val="single"/>
          <w:rtl/>
        </w:rPr>
      </w:pPr>
      <w:r w:rsidRPr="00EA760E">
        <w:rPr>
          <w:rFonts w:cs="Arial"/>
          <w:sz w:val="24"/>
          <w:szCs w:val="24"/>
          <w:u w:val="single"/>
          <w:rtl/>
        </w:rPr>
        <w:t>ח"נ -65567-05-16</w:t>
      </w:r>
    </w:p>
    <w:p w14:paraId="1A71352E" w14:textId="77777777" w:rsidR="007300FA" w:rsidRPr="00EA760E" w:rsidRDefault="007300FA" w:rsidP="007300FA">
      <w:pPr>
        <w:rPr>
          <w:sz w:val="24"/>
          <w:szCs w:val="24"/>
          <w:u w:val="single"/>
          <w:rtl/>
        </w:rPr>
      </w:pPr>
      <w:r w:rsidRPr="00EA760E">
        <w:rPr>
          <w:rFonts w:cs="Arial"/>
          <w:sz w:val="24"/>
          <w:szCs w:val="24"/>
          <w:u w:val="single"/>
          <w:rtl/>
        </w:rPr>
        <w:t xml:space="preserve">מדינת ישראל נ' </w:t>
      </w:r>
      <w:proofErr w:type="spellStart"/>
      <w:r w:rsidRPr="00EA760E">
        <w:rPr>
          <w:rFonts w:cs="Arial"/>
          <w:sz w:val="24"/>
          <w:szCs w:val="24"/>
          <w:u w:val="single"/>
          <w:rtl/>
        </w:rPr>
        <w:t>רוטמן</w:t>
      </w:r>
      <w:proofErr w:type="spellEnd"/>
      <w:r w:rsidRPr="00EA760E">
        <w:rPr>
          <w:rFonts w:cs="Arial"/>
          <w:sz w:val="24"/>
          <w:szCs w:val="24"/>
          <w:u w:val="single"/>
          <w:rtl/>
        </w:rPr>
        <w:t xml:space="preserve"> שמחה </w:t>
      </w:r>
    </w:p>
    <w:p w14:paraId="0411DC0A" w14:textId="77777777" w:rsidR="007300FA" w:rsidRPr="00EA760E" w:rsidRDefault="007300FA" w:rsidP="007300FA">
      <w:pPr>
        <w:rPr>
          <w:sz w:val="24"/>
          <w:szCs w:val="24"/>
          <w:u w:val="single"/>
          <w:rtl/>
        </w:rPr>
      </w:pPr>
      <w:r w:rsidRPr="00EA760E">
        <w:rPr>
          <w:rFonts w:cs="Arial"/>
          <w:sz w:val="24"/>
          <w:szCs w:val="24"/>
          <w:u w:val="single"/>
          <w:rtl/>
        </w:rPr>
        <w:t xml:space="preserve">השופטת :סיגל אלבו </w:t>
      </w:r>
    </w:p>
    <w:p w14:paraId="3C331332" w14:textId="03054F2D" w:rsidR="007300FA" w:rsidRDefault="007300FA" w:rsidP="007300FA">
      <w:pPr>
        <w:rPr>
          <w:sz w:val="24"/>
          <w:szCs w:val="24"/>
          <w:u w:val="single"/>
          <w:rtl/>
        </w:rPr>
      </w:pPr>
      <w:r w:rsidRPr="00EA760E">
        <w:rPr>
          <w:rFonts w:cs="Arial"/>
          <w:sz w:val="24"/>
          <w:szCs w:val="24"/>
          <w:u w:val="single"/>
          <w:rtl/>
        </w:rPr>
        <w:t xml:space="preserve">נפסק לזיכוי הנאשם מעבירה שעניינה חניה במקום אסור </w:t>
      </w:r>
    </w:p>
    <w:p w14:paraId="7DBB238C" w14:textId="77777777" w:rsidR="00EA760E" w:rsidRPr="00EA760E" w:rsidRDefault="00EA760E" w:rsidP="007300FA">
      <w:pPr>
        <w:rPr>
          <w:sz w:val="24"/>
          <w:szCs w:val="24"/>
          <w:u w:val="single"/>
          <w:rtl/>
        </w:rPr>
      </w:pPr>
    </w:p>
    <w:p w14:paraId="0E743B69" w14:textId="7C4B5FC4" w:rsidR="007300FA" w:rsidRPr="00B975F7" w:rsidRDefault="007300FA" w:rsidP="007300FA">
      <w:pPr>
        <w:rPr>
          <w:sz w:val="32"/>
          <w:szCs w:val="32"/>
          <w:rtl/>
        </w:rPr>
      </w:pPr>
      <w:r w:rsidRPr="00B975F7">
        <w:rPr>
          <w:rFonts w:cs="Arial"/>
          <w:sz w:val="32"/>
          <w:szCs w:val="32"/>
          <w:rtl/>
        </w:rPr>
        <w:t xml:space="preserve">מדובר במקום בו הוצב תמרור הנתון לפרשנויות </w:t>
      </w:r>
      <w:proofErr w:type="spellStart"/>
      <w:r w:rsidRPr="00B975F7">
        <w:rPr>
          <w:rFonts w:cs="Arial"/>
          <w:sz w:val="32"/>
          <w:szCs w:val="32"/>
          <w:rtl/>
        </w:rPr>
        <w:t>שונות</w:t>
      </w:r>
      <w:r w:rsidR="00EA760E">
        <w:rPr>
          <w:rFonts w:cs="Arial" w:hint="cs"/>
          <w:sz w:val="32"/>
          <w:szCs w:val="32"/>
          <w:rtl/>
        </w:rPr>
        <w:t>,</w:t>
      </w:r>
      <w:r w:rsidRPr="00B975F7">
        <w:rPr>
          <w:rFonts w:cs="Arial"/>
          <w:sz w:val="32"/>
          <w:szCs w:val="32"/>
          <w:rtl/>
        </w:rPr>
        <w:t>וההוראה</w:t>
      </w:r>
      <w:proofErr w:type="spellEnd"/>
      <w:r w:rsidRPr="00B975F7">
        <w:rPr>
          <w:rFonts w:cs="Arial"/>
          <w:sz w:val="32"/>
          <w:szCs w:val="32"/>
          <w:rtl/>
        </w:rPr>
        <w:t xml:space="preserve"> העולה ממנו</w:t>
      </w:r>
      <w:r w:rsidR="00EA760E">
        <w:rPr>
          <w:rFonts w:cs="Arial" w:hint="cs"/>
          <w:sz w:val="32"/>
          <w:szCs w:val="32"/>
          <w:rtl/>
        </w:rPr>
        <w:t>,</w:t>
      </w:r>
      <w:r w:rsidRPr="00B975F7">
        <w:rPr>
          <w:rFonts w:cs="Arial"/>
          <w:sz w:val="32"/>
          <w:szCs w:val="32"/>
          <w:rtl/>
        </w:rPr>
        <w:t xml:space="preserve"> אינה חד משמעית </w:t>
      </w:r>
      <w:r w:rsidR="00EA760E">
        <w:rPr>
          <w:rFonts w:cs="Arial" w:hint="cs"/>
          <w:sz w:val="32"/>
          <w:szCs w:val="32"/>
          <w:rtl/>
        </w:rPr>
        <w:t>,</w:t>
      </w:r>
      <w:r w:rsidRPr="00B975F7">
        <w:rPr>
          <w:rFonts w:cs="Arial"/>
          <w:sz w:val="32"/>
          <w:szCs w:val="32"/>
          <w:rtl/>
        </w:rPr>
        <w:t xml:space="preserve">או מותירה ספק בעניין האיסור עליו מורה התמרור </w:t>
      </w:r>
      <w:r w:rsidR="00EA760E">
        <w:rPr>
          <w:rFonts w:cs="Arial" w:hint="cs"/>
          <w:sz w:val="32"/>
          <w:szCs w:val="32"/>
          <w:rtl/>
        </w:rPr>
        <w:t>,</w:t>
      </w:r>
      <w:r w:rsidRPr="00B975F7">
        <w:rPr>
          <w:rFonts w:cs="Arial"/>
          <w:sz w:val="32"/>
          <w:szCs w:val="32"/>
          <w:rtl/>
        </w:rPr>
        <w:t>והספק פועל לטובת הנאשם</w:t>
      </w:r>
      <w:r w:rsidR="00EA760E">
        <w:rPr>
          <w:rFonts w:cs="Arial" w:hint="cs"/>
          <w:sz w:val="32"/>
          <w:szCs w:val="32"/>
          <w:rtl/>
        </w:rPr>
        <w:t>.</w:t>
      </w:r>
      <w:r w:rsidRPr="00B975F7">
        <w:rPr>
          <w:rFonts w:cs="Arial"/>
          <w:sz w:val="32"/>
          <w:szCs w:val="32"/>
          <w:rtl/>
        </w:rPr>
        <w:t xml:space="preserve"> </w:t>
      </w:r>
    </w:p>
    <w:p w14:paraId="1C17E13F" w14:textId="48FFD7C8" w:rsidR="007300FA" w:rsidRPr="00B975F7" w:rsidRDefault="007300FA" w:rsidP="007300FA">
      <w:pPr>
        <w:rPr>
          <w:sz w:val="32"/>
          <w:szCs w:val="32"/>
          <w:rtl/>
        </w:rPr>
      </w:pPr>
      <w:r w:rsidRPr="00B975F7">
        <w:rPr>
          <w:rFonts w:cs="Arial"/>
          <w:sz w:val="32"/>
          <w:szCs w:val="32"/>
          <w:rtl/>
        </w:rPr>
        <w:t>כ</w:t>
      </w:r>
      <w:r w:rsidR="00EA760E">
        <w:rPr>
          <w:rFonts w:cs="Arial" w:hint="cs"/>
          <w:sz w:val="32"/>
          <w:szCs w:val="32"/>
          <w:rtl/>
        </w:rPr>
        <w:t>אשר</w:t>
      </w:r>
      <w:r w:rsidRPr="00B975F7">
        <w:rPr>
          <w:rFonts w:cs="Arial"/>
          <w:sz w:val="32"/>
          <w:szCs w:val="32"/>
          <w:rtl/>
        </w:rPr>
        <w:t xml:space="preserve"> מוצב לבדו תמרור 439 המגביל פריקה </w:t>
      </w:r>
      <w:proofErr w:type="spellStart"/>
      <w:r w:rsidRPr="00B975F7">
        <w:rPr>
          <w:rFonts w:cs="Arial"/>
          <w:sz w:val="32"/>
          <w:szCs w:val="32"/>
          <w:rtl/>
        </w:rPr>
        <w:t>וטעינה</w:t>
      </w:r>
      <w:r w:rsidR="00EA760E">
        <w:rPr>
          <w:rFonts w:cs="Arial" w:hint="cs"/>
          <w:sz w:val="32"/>
          <w:szCs w:val="32"/>
          <w:rtl/>
        </w:rPr>
        <w:t>,,</w:t>
      </w:r>
      <w:r w:rsidRPr="00B975F7">
        <w:rPr>
          <w:rFonts w:cs="Arial"/>
          <w:sz w:val="32"/>
          <w:szCs w:val="32"/>
          <w:rtl/>
        </w:rPr>
        <w:t>לשעות</w:t>
      </w:r>
      <w:proofErr w:type="spellEnd"/>
      <w:r w:rsidRPr="00B975F7">
        <w:rPr>
          <w:rFonts w:cs="Arial"/>
          <w:sz w:val="32"/>
          <w:szCs w:val="32"/>
          <w:rtl/>
        </w:rPr>
        <w:t xml:space="preserve"> מסוימות של </w:t>
      </w:r>
      <w:proofErr w:type="spellStart"/>
      <w:r w:rsidRPr="00B975F7">
        <w:rPr>
          <w:rFonts w:cs="Arial"/>
          <w:sz w:val="32"/>
          <w:szCs w:val="32"/>
          <w:rtl/>
        </w:rPr>
        <w:t>היום</w:t>
      </w:r>
      <w:r w:rsidR="00EA760E">
        <w:rPr>
          <w:rFonts w:cs="Arial" w:hint="cs"/>
          <w:sz w:val="32"/>
          <w:szCs w:val="32"/>
          <w:rtl/>
        </w:rPr>
        <w:t>,</w:t>
      </w:r>
      <w:r w:rsidRPr="00B975F7">
        <w:rPr>
          <w:rFonts w:cs="Arial"/>
          <w:sz w:val="32"/>
          <w:szCs w:val="32"/>
          <w:rtl/>
        </w:rPr>
        <w:t>ניתן</w:t>
      </w:r>
      <w:proofErr w:type="spellEnd"/>
      <w:r w:rsidRPr="00B975F7">
        <w:rPr>
          <w:rFonts w:cs="Arial"/>
          <w:sz w:val="32"/>
          <w:szCs w:val="32"/>
          <w:rtl/>
        </w:rPr>
        <w:t xml:space="preserve"> להבין כי המקום מותר בחניה משך כל שעות היום</w:t>
      </w:r>
      <w:r w:rsidR="00EA760E">
        <w:rPr>
          <w:rFonts w:cs="Arial" w:hint="cs"/>
          <w:sz w:val="32"/>
          <w:szCs w:val="32"/>
          <w:rtl/>
        </w:rPr>
        <w:t>,</w:t>
      </w:r>
      <w:r w:rsidRPr="00B975F7">
        <w:rPr>
          <w:rFonts w:cs="Arial"/>
          <w:sz w:val="32"/>
          <w:szCs w:val="32"/>
          <w:rtl/>
        </w:rPr>
        <w:t xml:space="preserve"> והתמרור נועד להגביל את איסור הפריקה לשעות מסוימות אלו</w:t>
      </w:r>
      <w:r w:rsidR="00EA760E">
        <w:rPr>
          <w:rFonts w:cs="Arial" w:hint="cs"/>
          <w:sz w:val="32"/>
          <w:szCs w:val="32"/>
          <w:rtl/>
        </w:rPr>
        <w:t>,</w:t>
      </w:r>
      <w:r w:rsidRPr="00B975F7">
        <w:rPr>
          <w:rFonts w:cs="Arial"/>
          <w:sz w:val="32"/>
          <w:szCs w:val="32"/>
          <w:rtl/>
        </w:rPr>
        <w:t xml:space="preserve"> שרק בשעות אלו תהיה מותרת פריקה וטעינה </w:t>
      </w:r>
      <w:r w:rsidR="00EA760E">
        <w:rPr>
          <w:rFonts w:cs="Arial" w:hint="cs"/>
          <w:sz w:val="32"/>
          <w:szCs w:val="32"/>
          <w:rtl/>
        </w:rPr>
        <w:t>,</w:t>
      </w:r>
    </w:p>
    <w:p w14:paraId="5B28E6E8" w14:textId="1A05F8E3" w:rsidR="007300FA" w:rsidRPr="00B975F7" w:rsidRDefault="007300FA" w:rsidP="007300FA">
      <w:pPr>
        <w:rPr>
          <w:sz w:val="32"/>
          <w:szCs w:val="32"/>
          <w:rtl/>
        </w:rPr>
      </w:pPr>
      <w:r w:rsidRPr="00B975F7">
        <w:rPr>
          <w:rFonts w:cs="Arial"/>
          <w:sz w:val="32"/>
          <w:szCs w:val="32"/>
          <w:rtl/>
        </w:rPr>
        <w:t xml:space="preserve">אך חניה רגילה למשך כל היום מותרת </w:t>
      </w:r>
      <w:r w:rsidR="00EA760E">
        <w:rPr>
          <w:rFonts w:cs="Arial" w:hint="cs"/>
          <w:sz w:val="32"/>
          <w:szCs w:val="32"/>
          <w:rtl/>
        </w:rPr>
        <w:t>,</w:t>
      </w:r>
    </w:p>
    <w:p w14:paraId="4B62A7F8" w14:textId="77777777" w:rsidR="00EA760E" w:rsidRDefault="007300FA" w:rsidP="007300FA">
      <w:pPr>
        <w:rPr>
          <w:rFonts w:cs="Arial"/>
          <w:sz w:val="32"/>
          <w:szCs w:val="32"/>
          <w:rtl/>
        </w:rPr>
      </w:pPr>
      <w:r w:rsidRPr="00B975F7">
        <w:rPr>
          <w:rFonts w:cs="Arial"/>
          <w:sz w:val="32"/>
          <w:szCs w:val="32"/>
          <w:rtl/>
        </w:rPr>
        <w:lastRenderedPageBreak/>
        <w:t xml:space="preserve">לשון התמרור מותרת פריקה וטעינה בין השעות </w:t>
      </w:r>
    </w:p>
    <w:p w14:paraId="4B2F34E3" w14:textId="7229DF26" w:rsidR="007300FA" w:rsidRPr="00B975F7" w:rsidRDefault="007300FA" w:rsidP="007300FA">
      <w:pPr>
        <w:rPr>
          <w:sz w:val="32"/>
          <w:szCs w:val="32"/>
          <w:rtl/>
        </w:rPr>
      </w:pPr>
      <w:r w:rsidRPr="00B975F7">
        <w:rPr>
          <w:rFonts w:cs="Arial"/>
          <w:sz w:val="32"/>
          <w:szCs w:val="32"/>
          <w:rtl/>
        </w:rPr>
        <w:t xml:space="preserve">08:00-10:00וניתן לפרשו בשני אופנים </w:t>
      </w:r>
    </w:p>
    <w:p w14:paraId="6D0CC3CD" w14:textId="77777777" w:rsidR="007300FA" w:rsidRPr="00B975F7" w:rsidRDefault="007300FA" w:rsidP="007300FA">
      <w:pPr>
        <w:rPr>
          <w:sz w:val="32"/>
          <w:szCs w:val="32"/>
          <w:rtl/>
        </w:rPr>
      </w:pPr>
      <w:r w:rsidRPr="00B975F7">
        <w:rPr>
          <w:rFonts w:cs="Arial"/>
          <w:sz w:val="32"/>
          <w:szCs w:val="32"/>
          <w:rtl/>
        </w:rPr>
        <w:t xml:space="preserve">1.בין השעות האלו המקום מותר </w:t>
      </w:r>
      <w:proofErr w:type="spellStart"/>
      <w:r w:rsidRPr="00B975F7">
        <w:rPr>
          <w:rFonts w:cs="Arial"/>
          <w:sz w:val="32"/>
          <w:szCs w:val="32"/>
          <w:rtl/>
        </w:rPr>
        <w:t>בפ"ו</w:t>
      </w:r>
      <w:proofErr w:type="spellEnd"/>
      <w:r w:rsidRPr="00B975F7">
        <w:rPr>
          <w:rFonts w:cs="Arial"/>
          <w:sz w:val="32"/>
          <w:szCs w:val="32"/>
          <w:rtl/>
        </w:rPr>
        <w:t xml:space="preserve"> בלבד אך אסור בחניה</w:t>
      </w:r>
    </w:p>
    <w:p w14:paraId="1DC0796C" w14:textId="77777777" w:rsidR="007300FA" w:rsidRPr="00B975F7" w:rsidRDefault="007300FA" w:rsidP="007300FA">
      <w:pPr>
        <w:rPr>
          <w:sz w:val="32"/>
          <w:szCs w:val="32"/>
          <w:rtl/>
        </w:rPr>
      </w:pPr>
      <w:r w:rsidRPr="00B975F7">
        <w:rPr>
          <w:rFonts w:cs="Arial"/>
          <w:sz w:val="32"/>
          <w:szCs w:val="32"/>
          <w:rtl/>
        </w:rPr>
        <w:t xml:space="preserve">2.שהמילה בלבד מתייחסת רק </w:t>
      </w:r>
      <w:proofErr w:type="spellStart"/>
      <w:r w:rsidRPr="00B975F7">
        <w:rPr>
          <w:rFonts w:cs="Arial"/>
          <w:sz w:val="32"/>
          <w:szCs w:val="32"/>
          <w:rtl/>
        </w:rPr>
        <w:t>לפ"ו</w:t>
      </w:r>
      <w:proofErr w:type="spellEnd"/>
      <w:r w:rsidRPr="00B975F7">
        <w:rPr>
          <w:rFonts w:cs="Arial"/>
          <w:sz w:val="32"/>
          <w:szCs w:val="32"/>
          <w:rtl/>
        </w:rPr>
        <w:t xml:space="preserve"> כך שהאיסור הקבוע בתמרור הוא שפ"ו מותרת בין השעות 8-10 אך המקום מותר לחניה משך כל שעות היממה</w:t>
      </w:r>
    </w:p>
    <w:p w14:paraId="7BFEF813" w14:textId="77777777" w:rsidR="007300FA" w:rsidRPr="00B975F7" w:rsidRDefault="007300FA" w:rsidP="007300FA">
      <w:pPr>
        <w:rPr>
          <w:sz w:val="32"/>
          <w:szCs w:val="32"/>
          <w:rtl/>
        </w:rPr>
      </w:pPr>
      <w:r w:rsidRPr="00B975F7">
        <w:rPr>
          <w:rFonts w:cs="Arial"/>
          <w:sz w:val="32"/>
          <w:szCs w:val="32"/>
          <w:rtl/>
        </w:rPr>
        <w:t xml:space="preserve">עוד הנאשם טען כי התמרור הוצב בניגוד להנחיות להצבת תמרורים שכן הוצב ללא תמרור הקובע בצידו איסור </w:t>
      </w:r>
      <w:proofErr w:type="spellStart"/>
      <w:r w:rsidRPr="00B975F7">
        <w:rPr>
          <w:rFonts w:cs="Arial"/>
          <w:sz w:val="32"/>
          <w:szCs w:val="32"/>
          <w:rtl/>
        </w:rPr>
        <w:t>חניה.אלא</w:t>
      </w:r>
      <w:proofErr w:type="spellEnd"/>
      <w:r w:rsidRPr="00B975F7">
        <w:rPr>
          <w:rFonts w:cs="Arial"/>
          <w:sz w:val="32"/>
          <w:szCs w:val="32"/>
          <w:rtl/>
        </w:rPr>
        <w:t xml:space="preserve"> הוצג רק תמרור מסר </w:t>
      </w:r>
    </w:p>
    <w:p w14:paraId="7F7FFAEB" w14:textId="77777777" w:rsidR="007300FA" w:rsidRPr="00B975F7" w:rsidRDefault="007300FA" w:rsidP="007300FA">
      <w:pPr>
        <w:rPr>
          <w:sz w:val="32"/>
          <w:szCs w:val="32"/>
          <w:rtl/>
        </w:rPr>
      </w:pPr>
      <w:r w:rsidRPr="00B975F7">
        <w:rPr>
          <w:rFonts w:cs="Arial"/>
          <w:sz w:val="32"/>
          <w:szCs w:val="32"/>
          <w:rtl/>
        </w:rPr>
        <w:t>ועל כן נפסק לזיכוי</w:t>
      </w:r>
    </w:p>
    <w:p w14:paraId="6BC9F9B0" w14:textId="77777777" w:rsidR="007300FA" w:rsidRPr="006924F8" w:rsidRDefault="007300FA" w:rsidP="007300FA">
      <w:pPr>
        <w:rPr>
          <w:sz w:val="32"/>
          <w:szCs w:val="32"/>
          <w:rtl/>
        </w:rPr>
      </w:pPr>
    </w:p>
    <w:p w14:paraId="3E7CB991" w14:textId="77777777" w:rsidR="007300FA" w:rsidRDefault="007300FA" w:rsidP="007300FA">
      <w:pPr>
        <w:rPr>
          <w:sz w:val="32"/>
          <w:szCs w:val="32"/>
          <w:rtl/>
        </w:rPr>
      </w:pPr>
    </w:p>
    <w:p w14:paraId="51E7C76B" w14:textId="3DC23CD0" w:rsidR="007300FA" w:rsidRPr="000229AD" w:rsidRDefault="00EA760E" w:rsidP="007300FA">
      <w:pPr>
        <w:rPr>
          <w:b/>
          <w:bCs/>
          <w:sz w:val="40"/>
          <w:szCs w:val="40"/>
          <w:rtl/>
        </w:rPr>
      </w:pPr>
      <w:r>
        <w:rPr>
          <w:rFonts w:cs="Arial" w:hint="cs"/>
          <w:b/>
          <w:bCs/>
          <w:sz w:val="40"/>
          <w:szCs w:val="40"/>
          <w:rtl/>
        </w:rPr>
        <w:t>לחצן</w:t>
      </w:r>
      <w:r w:rsidR="00890946">
        <w:rPr>
          <w:rFonts w:cs="Arial" w:hint="cs"/>
          <w:b/>
          <w:bCs/>
          <w:sz w:val="40"/>
          <w:szCs w:val="40"/>
          <w:rtl/>
        </w:rPr>
        <w:t>-</w:t>
      </w:r>
      <w:r w:rsidR="007300FA" w:rsidRPr="000229AD">
        <w:rPr>
          <w:rFonts w:cs="Arial"/>
          <w:b/>
          <w:bCs/>
          <w:sz w:val="40"/>
          <w:szCs w:val="40"/>
          <w:rtl/>
        </w:rPr>
        <w:t>תמרור</w:t>
      </w:r>
      <w:r w:rsidR="00890946">
        <w:rPr>
          <w:rFonts w:cs="Arial"/>
          <w:b/>
          <w:bCs/>
          <w:noProof/>
          <w:sz w:val="40"/>
          <w:szCs w:val="40"/>
          <w:rtl/>
          <w:lang w:val="he-IL"/>
        </w:rPr>
        <w:drawing>
          <wp:inline distT="0" distB="0" distL="0" distR="0" wp14:anchorId="672D7177" wp14:editId="3BE3F4F8">
            <wp:extent cx="469265" cy="355376"/>
            <wp:effectExtent l="0" t="0" r="6985"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144" cy="389363"/>
                    </a:xfrm>
                    <a:prstGeom prst="rect">
                      <a:avLst/>
                    </a:prstGeom>
                  </pic:spPr>
                </pic:pic>
              </a:graphicData>
            </a:graphic>
          </wp:inline>
        </w:drawing>
      </w:r>
      <w:r w:rsidR="007300FA" w:rsidRPr="000229AD">
        <w:rPr>
          <w:rFonts w:cs="Arial"/>
          <w:b/>
          <w:bCs/>
          <w:sz w:val="40"/>
          <w:szCs w:val="40"/>
          <w:rtl/>
        </w:rPr>
        <w:t xml:space="preserve"> </w:t>
      </w:r>
      <w:r w:rsidR="007300FA" w:rsidRPr="000229AD">
        <w:rPr>
          <w:rFonts w:hint="cs"/>
          <w:b/>
          <w:bCs/>
          <w:sz w:val="40"/>
          <w:szCs w:val="40"/>
          <w:rtl/>
        </w:rPr>
        <w:t>ומתחתיו תמרור מסר</w:t>
      </w:r>
    </w:p>
    <w:p w14:paraId="43DA223F" w14:textId="77777777" w:rsidR="007300FA" w:rsidRPr="00AB2054" w:rsidRDefault="007300FA" w:rsidP="007300FA">
      <w:pPr>
        <w:rPr>
          <w:sz w:val="32"/>
          <w:szCs w:val="32"/>
          <w:rtl/>
        </w:rPr>
      </w:pPr>
    </w:p>
    <w:p w14:paraId="38BA1DCF" w14:textId="77777777" w:rsidR="00EA760E" w:rsidRPr="00EA760E" w:rsidRDefault="000229AD" w:rsidP="007300FA">
      <w:pPr>
        <w:rPr>
          <w:rFonts w:cs="Arial"/>
          <w:sz w:val="28"/>
          <w:szCs w:val="28"/>
          <w:rtl/>
        </w:rPr>
      </w:pPr>
      <w:r w:rsidRPr="00EA760E">
        <w:rPr>
          <w:rFonts w:cs="Arial" w:hint="cs"/>
          <w:sz w:val="28"/>
          <w:szCs w:val="28"/>
          <w:rtl/>
        </w:rPr>
        <w:t xml:space="preserve">אם יש </w:t>
      </w:r>
      <w:r w:rsidR="007300FA" w:rsidRPr="00EA760E">
        <w:rPr>
          <w:rFonts w:cs="Arial"/>
          <w:sz w:val="28"/>
          <w:szCs w:val="28"/>
          <w:rtl/>
        </w:rPr>
        <w:t>תמרור האוסר על חניה ומתחתיו תמרור שרשום</w:t>
      </w:r>
      <w:r w:rsidR="00EA760E" w:rsidRPr="00EA760E">
        <w:rPr>
          <w:rFonts w:cs="Arial" w:hint="cs"/>
          <w:sz w:val="28"/>
          <w:szCs w:val="28"/>
          <w:rtl/>
        </w:rPr>
        <w:t>,,,</w:t>
      </w:r>
    </w:p>
    <w:p w14:paraId="2260A494" w14:textId="0F3AF4FC" w:rsidR="007300FA" w:rsidRPr="00EA760E" w:rsidRDefault="00EA760E" w:rsidP="007300FA">
      <w:pPr>
        <w:rPr>
          <w:sz w:val="28"/>
          <w:szCs w:val="28"/>
          <w:rtl/>
        </w:rPr>
      </w:pPr>
      <w:r w:rsidRPr="00EA760E">
        <w:rPr>
          <w:rFonts w:cs="Arial" w:hint="cs"/>
          <w:sz w:val="28"/>
          <w:szCs w:val="28"/>
          <w:rtl/>
        </w:rPr>
        <w:t>"</w:t>
      </w:r>
      <w:r w:rsidR="007300FA" w:rsidRPr="00EA760E">
        <w:rPr>
          <w:rFonts w:cs="Arial"/>
          <w:sz w:val="28"/>
          <w:szCs w:val="28"/>
          <w:rtl/>
        </w:rPr>
        <w:t>לרכב מעל 4 טון פרט לפריקה וטעינה משעה 8:00 עד 9:00</w:t>
      </w:r>
      <w:r w:rsidRPr="00EA760E">
        <w:rPr>
          <w:rFonts w:hint="cs"/>
          <w:sz w:val="28"/>
          <w:szCs w:val="28"/>
          <w:rtl/>
        </w:rPr>
        <w:t>"</w:t>
      </w:r>
    </w:p>
    <w:p w14:paraId="70968580" w14:textId="155D9D86" w:rsidR="007300FA" w:rsidRPr="00EA760E" w:rsidRDefault="007300FA" w:rsidP="007300FA">
      <w:pPr>
        <w:rPr>
          <w:sz w:val="28"/>
          <w:szCs w:val="28"/>
          <w:rtl/>
        </w:rPr>
      </w:pPr>
      <w:r w:rsidRPr="00EA760E">
        <w:rPr>
          <w:rFonts w:cs="Arial"/>
          <w:sz w:val="28"/>
          <w:szCs w:val="28"/>
          <w:rtl/>
        </w:rPr>
        <w:t xml:space="preserve">ניתן להגיש ערעור </w:t>
      </w:r>
      <w:r w:rsidR="00EA760E" w:rsidRPr="00EA760E">
        <w:rPr>
          <w:rFonts w:cs="Arial" w:hint="cs"/>
          <w:sz w:val="28"/>
          <w:szCs w:val="28"/>
          <w:rtl/>
        </w:rPr>
        <w:t>,</w:t>
      </w:r>
      <w:r w:rsidRPr="00EA760E">
        <w:rPr>
          <w:rFonts w:cs="Arial"/>
          <w:sz w:val="28"/>
          <w:szCs w:val="28"/>
          <w:rtl/>
        </w:rPr>
        <w:t>ואז אפשר לומר</w:t>
      </w:r>
      <w:r w:rsidR="00EA760E" w:rsidRPr="00EA760E">
        <w:rPr>
          <w:rFonts w:cs="Arial" w:hint="cs"/>
          <w:sz w:val="28"/>
          <w:szCs w:val="28"/>
          <w:rtl/>
        </w:rPr>
        <w:t>,</w:t>
      </w:r>
      <w:r w:rsidRPr="00EA760E">
        <w:rPr>
          <w:rFonts w:cs="Arial"/>
          <w:sz w:val="28"/>
          <w:szCs w:val="28"/>
          <w:rtl/>
        </w:rPr>
        <w:t xml:space="preserve"> שניתן להבין שהתמרור העליון </w:t>
      </w:r>
      <w:r w:rsidR="00EA760E" w:rsidRPr="00EA760E">
        <w:rPr>
          <w:rFonts w:cs="Arial" w:hint="cs"/>
          <w:sz w:val="28"/>
          <w:szCs w:val="28"/>
          <w:rtl/>
        </w:rPr>
        <w:t xml:space="preserve">שאוסר את החנייה מדבר </w:t>
      </w:r>
      <w:r w:rsidRPr="00EA760E">
        <w:rPr>
          <w:rFonts w:cs="Arial"/>
          <w:sz w:val="28"/>
          <w:szCs w:val="28"/>
          <w:rtl/>
        </w:rPr>
        <w:t xml:space="preserve">רק על רכבים כבדים מעל 4 טון </w:t>
      </w:r>
      <w:r w:rsidR="00EA760E" w:rsidRPr="00EA760E">
        <w:rPr>
          <w:rFonts w:cs="Arial" w:hint="cs"/>
          <w:sz w:val="28"/>
          <w:szCs w:val="28"/>
          <w:rtl/>
        </w:rPr>
        <w:t>,</w:t>
      </w:r>
      <w:r w:rsidRPr="00EA760E">
        <w:rPr>
          <w:rFonts w:cs="Arial"/>
          <w:sz w:val="28"/>
          <w:szCs w:val="28"/>
          <w:rtl/>
        </w:rPr>
        <w:t>וזה לא ברור ונתון לפרשנות</w:t>
      </w:r>
      <w:r w:rsidR="00EA760E" w:rsidRPr="00EA760E">
        <w:rPr>
          <w:rFonts w:cs="Arial" w:hint="cs"/>
          <w:sz w:val="28"/>
          <w:szCs w:val="28"/>
          <w:rtl/>
        </w:rPr>
        <w:t>,</w:t>
      </w:r>
      <w:r w:rsidRPr="00EA760E">
        <w:rPr>
          <w:rFonts w:cs="Arial"/>
          <w:sz w:val="28"/>
          <w:szCs w:val="28"/>
          <w:rtl/>
        </w:rPr>
        <w:t xml:space="preserve"> דבר שלא יכול לקרות במקרה של תמרור האמור להראות לנהגים איך להתנהג בכביש וזה השפה של הנהגים בכביש </w:t>
      </w:r>
      <w:r w:rsidR="00EA760E" w:rsidRPr="00EA760E">
        <w:rPr>
          <w:rFonts w:cs="Arial" w:hint="cs"/>
          <w:sz w:val="28"/>
          <w:szCs w:val="28"/>
          <w:rtl/>
        </w:rPr>
        <w:t>,</w:t>
      </w:r>
      <w:r w:rsidRPr="00EA760E">
        <w:rPr>
          <w:rFonts w:cs="Arial"/>
          <w:sz w:val="28"/>
          <w:szCs w:val="28"/>
          <w:rtl/>
        </w:rPr>
        <w:t>אי לכך ובהתאם לזאת הדבר מהווה עילה לביטול</w:t>
      </w:r>
    </w:p>
    <w:p w14:paraId="598C6121" w14:textId="77777777" w:rsidR="000B150E" w:rsidRPr="00EA760E" w:rsidRDefault="000B150E">
      <w:pPr>
        <w:rPr>
          <w:sz w:val="28"/>
          <w:szCs w:val="28"/>
          <w:rtl/>
        </w:rPr>
      </w:pPr>
    </w:p>
    <w:p w14:paraId="6A82D1AE" w14:textId="7CDF9B8A" w:rsidR="00E1129D" w:rsidRPr="000229AD" w:rsidRDefault="00EA760E">
      <w:pPr>
        <w:rPr>
          <w:b/>
          <w:bCs/>
          <w:sz w:val="40"/>
          <w:szCs w:val="40"/>
          <w:rtl/>
        </w:rPr>
      </w:pPr>
      <w:r>
        <w:rPr>
          <w:rFonts w:hint="cs"/>
          <w:b/>
          <w:bCs/>
          <w:sz w:val="40"/>
          <w:szCs w:val="40"/>
          <w:rtl/>
        </w:rPr>
        <w:t>לחצן-תמרור יחידי ,,,</w:t>
      </w:r>
      <w:r w:rsidR="00E1129D" w:rsidRPr="000229AD">
        <w:rPr>
          <w:rFonts w:hint="cs"/>
          <w:b/>
          <w:bCs/>
          <w:sz w:val="40"/>
          <w:szCs w:val="40"/>
          <w:rtl/>
        </w:rPr>
        <w:t>פרט לפריקה וטעינה</w:t>
      </w:r>
      <w:r>
        <w:rPr>
          <w:rFonts w:hint="cs"/>
          <w:b/>
          <w:bCs/>
          <w:sz w:val="40"/>
          <w:szCs w:val="40"/>
          <w:rtl/>
        </w:rPr>
        <w:t>,</w:t>
      </w:r>
    </w:p>
    <w:p w14:paraId="37B2F16E" w14:textId="159AE353" w:rsidR="00E1129D" w:rsidRDefault="00E1129D">
      <w:pPr>
        <w:rPr>
          <w:sz w:val="36"/>
          <w:szCs w:val="36"/>
          <w:rtl/>
        </w:rPr>
      </w:pPr>
      <w:r w:rsidRPr="00EA760E">
        <w:rPr>
          <w:rFonts w:hint="cs"/>
          <w:sz w:val="28"/>
          <w:szCs w:val="28"/>
          <w:rtl/>
        </w:rPr>
        <w:t xml:space="preserve">במקרה שיש רק תמרור מסר </w:t>
      </w:r>
      <w:proofErr w:type="spellStart"/>
      <w:r w:rsidRPr="00EA760E">
        <w:rPr>
          <w:rFonts w:hint="cs"/>
          <w:sz w:val="28"/>
          <w:szCs w:val="28"/>
          <w:rtl/>
        </w:rPr>
        <w:t>יחידי</w:t>
      </w:r>
      <w:r w:rsidR="00EA760E" w:rsidRPr="00EA760E">
        <w:rPr>
          <w:rFonts w:hint="cs"/>
          <w:sz w:val="28"/>
          <w:szCs w:val="28"/>
          <w:rtl/>
        </w:rPr>
        <w:t>,</w:t>
      </w:r>
      <w:r w:rsidRPr="00EA760E">
        <w:rPr>
          <w:rFonts w:hint="cs"/>
          <w:sz w:val="28"/>
          <w:szCs w:val="28"/>
          <w:rtl/>
        </w:rPr>
        <w:t>הרשום</w:t>
      </w:r>
      <w:proofErr w:type="spellEnd"/>
      <w:r w:rsidRPr="00EA760E">
        <w:rPr>
          <w:rFonts w:hint="cs"/>
          <w:sz w:val="28"/>
          <w:szCs w:val="28"/>
          <w:rtl/>
        </w:rPr>
        <w:t xml:space="preserve"> בו פרט לפריקה וטעינה</w:t>
      </w:r>
      <w:r w:rsidR="00EA760E" w:rsidRPr="00EA760E">
        <w:rPr>
          <w:rFonts w:hint="cs"/>
          <w:sz w:val="28"/>
          <w:szCs w:val="28"/>
          <w:rtl/>
        </w:rPr>
        <w:t>,</w:t>
      </w:r>
      <w:r w:rsidRPr="00EA760E">
        <w:rPr>
          <w:rFonts w:hint="cs"/>
          <w:sz w:val="28"/>
          <w:szCs w:val="28"/>
          <w:rtl/>
        </w:rPr>
        <w:t xml:space="preserve"> ללא תמרור איסור מעליו </w:t>
      </w:r>
      <w:r w:rsidR="00EA760E" w:rsidRPr="00EA760E">
        <w:rPr>
          <w:rFonts w:hint="cs"/>
          <w:sz w:val="28"/>
          <w:szCs w:val="28"/>
          <w:rtl/>
        </w:rPr>
        <w:t>,</w:t>
      </w:r>
      <w:r w:rsidRPr="00EA760E">
        <w:rPr>
          <w:rFonts w:hint="cs"/>
          <w:sz w:val="28"/>
          <w:szCs w:val="28"/>
          <w:rtl/>
        </w:rPr>
        <w:t>אז אין משמעות לכך שהמקום אסור לחניה ומותר רק לצורך פריקה וטעינה</w:t>
      </w:r>
      <w:r>
        <w:rPr>
          <w:rFonts w:hint="cs"/>
          <w:sz w:val="36"/>
          <w:szCs w:val="36"/>
          <w:rtl/>
        </w:rPr>
        <w:t xml:space="preserve"> </w:t>
      </w:r>
      <w:r w:rsidR="00EA760E">
        <w:rPr>
          <w:rFonts w:hint="cs"/>
          <w:sz w:val="36"/>
          <w:szCs w:val="36"/>
          <w:rtl/>
        </w:rPr>
        <w:t>.</w:t>
      </w:r>
    </w:p>
    <w:p w14:paraId="66E4CE0B" w14:textId="77777777" w:rsidR="00E1129D" w:rsidRPr="000229AD" w:rsidRDefault="00E1129D">
      <w:pPr>
        <w:rPr>
          <w:rFonts w:cstheme="minorHAnsi"/>
          <w:b/>
          <w:bCs/>
          <w:i/>
          <w:iCs/>
          <w:sz w:val="32"/>
          <w:szCs w:val="32"/>
          <w:u w:val="single"/>
          <w:rtl/>
        </w:rPr>
      </w:pPr>
      <w:r w:rsidRPr="000229AD">
        <w:rPr>
          <w:rFonts w:cstheme="minorHAnsi"/>
          <w:b/>
          <w:bCs/>
          <w:i/>
          <w:iCs/>
          <w:sz w:val="32"/>
          <w:szCs w:val="32"/>
          <w:u w:val="single"/>
          <w:rtl/>
        </w:rPr>
        <w:t xml:space="preserve">מבוסס על כבוד השופט דניאל מרדכי </w:t>
      </w:r>
      <w:proofErr w:type="spellStart"/>
      <w:r w:rsidRPr="000229AD">
        <w:rPr>
          <w:rFonts w:cstheme="minorHAnsi"/>
          <w:b/>
          <w:bCs/>
          <w:i/>
          <w:iCs/>
          <w:sz w:val="32"/>
          <w:szCs w:val="32"/>
          <w:u w:val="single"/>
          <w:rtl/>
        </w:rPr>
        <w:t>דמביץ</w:t>
      </w:r>
      <w:proofErr w:type="spellEnd"/>
      <w:r w:rsidRPr="000229AD">
        <w:rPr>
          <w:rFonts w:cstheme="minorHAnsi"/>
          <w:b/>
          <w:bCs/>
          <w:i/>
          <w:iCs/>
          <w:sz w:val="32"/>
          <w:szCs w:val="32"/>
          <w:u w:val="single"/>
          <w:rtl/>
        </w:rPr>
        <w:t xml:space="preserve"> </w:t>
      </w:r>
    </w:p>
    <w:p w14:paraId="72C167F7" w14:textId="77777777" w:rsidR="00E1129D" w:rsidRPr="000229AD" w:rsidRDefault="00E1129D">
      <w:pPr>
        <w:rPr>
          <w:rFonts w:cstheme="minorHAnsi"/>
          <w:b/>
          <w:bCs/>
          <w:i/>
          <w:iCs/>
          <w:sz w:val="32"/>
          <w:szCs w:val="32"/>
          <w:u w:val="single"/>
          <w:rtl/>
        </w:rPr>
      </w:pPr>
      <w:r w:rsidRPr="000229AD">
        <w:rPr>
          <w:rFonts w:eastAsia="Times New Roman" w:cstheme="minorHAnsi"/>
          <w:b/>
          <w:bCs/>
          <w:i/>
          <w:iCs/>
          <w:sz w:val="32"/>
          <w:szCs w:val="32"/>
          <w:u w:val="single"/>
          <w:rtl/>
        </w:rPr>
        <w:t xml:space="preserve">ח"נ 64276-07-17 מדינת ישראל נ' </w:t>
      </w:r>
      <w:proofErr w:type="spellStart"/>
      <w:r w:rsidRPr="000229AD">
        <w:rPr>
          <w:rFonts w:eastAsia="Times New Roman" w:cstheme="minorHAnsi"/>
          <w:b/>
          <w:bCs/>
          <w:i/>
          <w:iCs/>
          <w:sz w:val="32"/>
          <w:szCs w:val="32"/>
          <w:u w:val="single"/>
          <w:rtl/>
        </w:rPr>
        <w:t>ניקאין</w:t>
      </w:r>
      <w:proofErr w:type="spellEnd"/>
    </w:p>
    <w:p w14:paraId="00BE651F" w14:textId="77777777" w:rsidR="00E1129D" w:rsidRPr="000229AD" w:rsidRDefault="00E1129D">
      <w:pPr>
        <w:rPr>
          <w:rFonts w:cstheme="minorHAnsi"/>
          <w:b/>
          <w:bCs/>
          <w:i/>
          <w:iCs/>
          <w:sz w:val="32"/>
          <w:szCs w:val="32"/>
          <w:u w:val="single"/>
          <w:rtl/>
        </w:rPr>
      </w:pPr>
      <w:r w:rsidRPr="000229AD">
        <w:rPr>
          <w:rFonts w:cstheme="minorHAnsi"/>
          <w:b/>
          <w:bCs/>
          <w:i/>
          <w:iCs/>
          <w:sz w:val="32"/>
          <w:szCs w:val="32"/>
          <w:u w:val="single"/>
          <w:rtl/>
        </w:rPr>
        <w:lastRenderedPageBreak/>
        <w:t>לשון השופט –</w:t>
      </w:r>
    </w:p>
    <w:p w14:paraId="233A0971" w14:textId="4CE11360" w:rsidR="00E1129D" w:rsidRPr="00EA760E" w:rsidRDefault="00E1129D" w:rsidP="00E1129D">
      <w:pPr>
        <w:rPr>
          <w:rFonts w:asciiTheme="minorBidi" w:hAnsiTheme="minorBidi"/>
          <w:sz w:val="28"/>
          <w:szCs w:val="28"/>
          <w:rtl/>
        </w:rPr>
      </w:pPr>
      <w:r w:rsidRPr="00EA760E">
        <w:rPr>
          <w:rFonts w:asciiTheme="minorBidi" w:eastAsia="Times New Roman" w:hAnsiTheme="minorBidi"/>
          <w:color w:val="000000"/>
          <w:sz w:val="28"/>
          <w:szCs w:val="28"/>
          <w:rtl/>
        </w:rPr>
        <w:t>אין משמעות לתמרור 439 המוצב בפני עצמו ובו כתוב "פרט לטעינה ופריקה" אלא כצמוד לתמרור העליון</w:t>
      </w:r>
      <w:r w:rsidR="00EA760E" w:rsidRPr="00EA760E">
        <w:rPr>
          <w:rFonts w:asciiTheme="minorBidi" w:eastAsia="Times New Roman" w:hAnsiTheme="minorBidi"/>
          <w:color w:val="000000"/>
          <w:sz w:val="28"/>
          <w:szCs w:val="28"/>
          <w:rtl/>
        </w:rPr>
        <w:t>-תמרור איסור עצירה מספר 433</w:t>
      </w:r>
      <w:r w:rsidR="00EA760E">
        <w:rPr>
          <w:rFonts w:asciiTheme="minorBidi" w:hAnsiTheme="minorBidi" w:hint="cs"/>
          <w:sz w:val="28"/>
          <w:szCs w:val="28"/>
          <w:rtl/>
        </w:rPr>
        <w:t>.</w:t>
      </w:r>
    </w:p>
    <w:p w14:paraId="79CA6DF1" w14:textId="65E8BCF8" w:rsidR="000229AD" w:rsidRDefault="000229AD" w:rsidP="00E1129D">
      <w:pPr>
        <w:rPr>
          <w:rFonts w:asciiTheme="majorHAnsi" w:hAnsiTheme="majorHAnsi" w:cstheme="majorHAnsi"/>
          <w:sz w:val="32"/>
          <w:szCs w:val="32"/>
          <w:rtl/>
        </w:rPr>
      </w:pPr>
    </w:p>
    <w:p w14:paraId="2CA67134" w14:textId="2FB62AEE" w:rsidR="000229AD" w:rsidRDefault="00EA760E" w:rsidP="00E1129D">
      <w:pPr>
        <w:rPr>
          <w:rFonts w:asciiTheme="minorBidi" w:hAnsiTheme="minorBidi"/>
          <w:b/>
          <w:bCs/>
          <w:sz w:val="32"/>
          <w:szCs w:val="32"/>
          <w:rtl/>
        </w:rPr>
      </w:pPr>
      <w:r>
        <w:rPr>
          <w:rFonts w:asciiTheme="minorBidi" w:hAnsiTheme="minorBidi" w:hint="cs"/>
          <w:b/>
          <w:bCs/>
          <w:sz w:val="32"/>
          <w:szCs w:val="32"/>
          <w:rtl/>
        </w:rPr>
        <w:t>לחצן-</w:t>
      </w:r>
      <w:r w:rsidR="000229AD" w:rsidRPr="000229AD">
        <w:rPr>
          <w:rFonts w:asciiTheme="minorBidi" w:hAnsiTheme="minorBidi"/>
          <w:b/>
          <w:bCs/>
          <w:sz w:val="32"/>
          <w:szCs w:val="32"/>
          <w:rtl/>
        </w:rPr>
        <w:t xml:space="preserve">מדרכה צבועה בכחול לבן </w:t>
      </w:r>
      <w:r>
        <w:rPr>
          <w:rFonts w:asciiTheme="minorBidi" w:hAnsiTheme="minorBidi" w:hint="cs"/>
          <w:b/>
          <w:bCs/>
          <w:sz w:val="32"/>
          <w:szCs w:val="32"/>
          <w:rtl/>
        </w:rPr>
        <w:t xml:space="preserve">+ </w:t>
      </w:r>
      <w:r w:rsidR="000229AD" w:rsidRPr="000229AD">
        <w:rPr>
          <w:rFonts w:asciiTheme="minorBidi" w:hAnsiTheme="minorBidi"/>
          <w:b/>
          <w:bCs/>
          <w:sz w:val="32"/>
          <w:szCs w:val="32"/>
          <w:rtl/>
        </w:rPr>
        <w:t xml:space="preserve">תמרור פריקה וטעינה </w:t>
      </w:r>
    </w:p>
    <w:p w14:paraId="19C6B19B" w14:textId="769835FC" w:rsidR="000229AD" w:rsidRDefault="000229AD" w:rsidP="00E1129D">
      <w:pPr>
        <w:rPr>
          <w:rFonts w:asciiTheme="minorBidi" w:hAnsiTheme="minorBidi"/>
          <w:b/>
          <w:bCs/>
          <w:sz w:val="32"/>
          <w:szCs w:val="32"/>
          <w:rtl/>
        </w:rPr>
      </w:pPr>
    </w:p>
    <w:p w14:paraId="485C0AF8" w14:textId="572895FE" w:rsidR="000229AD" w:rsidRPr="00EA760E" w:rsidRDefault="000229AD" w:rsidP="00E1129D">
      <w:pPr>
        <w:rPr>
          <w:rFonts w:asciiTheme="minorBidi" w:hAnsiTheme="minorBidi"/>
          <w:i/>
          <w:iCs/>
          <w:sz w:val="24"/>
          <w:szCs w:val="24"/>
          <w:u w:val="single"/>
          <w:rtl/>
        </w:rPr>
      </w:pPr>
      <w:r w:rsidRPr="00EA760E">
        <w:rPr>
          <w:rFonts w:asciiTheme="minorBidi" w:hAnsiTheme="minorBidi"/>
          <w:i/>
          <w:iCs/>
          <w:color w:val="000000"/>
          <w:sz w:val="24"/>
          <w:szCs w:val="24"/>
          <w:u w:val="single"/>
          <w:shd w:val="clear" w:color="auto" w:fill="FFFFFF"/>
          <w:rtl/>
        </w:rPr>
        <w:t>ח"נ </w:t>
      </w:r>
      <w:hyperlink r:id="rId6" w:tgtFrame="blank" w:history="1">
        <w:r w:rsidRPr="00EA760E">
          <w:rPr>
            <w:rStyle w:val="Hyperlink"/>
            <w:rFonts w:asciiTheme="minorBidi" w:hAnsiTheme="minorBidi"/>
            <w:i/>
            <w:iCs/>
            <w:sz w:val="24"/>
            <w:szCs w:val="24"/>
            <w:shd w:val="clear" w:color="auto" w:fill="FFFFFF"/>
          </w:rPr>
          <w:t>35663-08-20 </w:t>
        </w:r>
      </w:hyperlink>
      <w:r w:rsidRPr="00EA760E">
        <w:rPr>
          <w:rFonts w:asciiTheme="minorBidi" w:hAnsiTheme="minorBidi"/>
          <w:i/>
          <w:iCs/>
          <w:color w:val="000000"/>
          <w:sz w:val="24"/>
          <w:szCs w:val="24"/>
          <w:u w:val="single"/>
          <w:shd w:val="clear" w:color="auto" w:fill="FFFFFF"/>
        </w:rPr>
        <w:t> </w:t>
      </w:r>
      <w:r w:rsidRPr="00EA760E">
        <w:rPr>
          <w:rFonts w:asciiTheme="minorBidi" w:hAnsiTheme="minorBidi"/>
          <w:i/>
          <w:iCs/>
          <w:color w:val="000000"/>
          <w:sz w:val="24"/>
          <w:szCs w:val="24"/>
          <w:u w:val="single"/>
          <w:shd w:val="clear" w:color="auto" w:fill="FFFFFF"/>
          <w:rtl/>
        </w:rPr>
        <w:t>מדינת ישראל נ' שם ציון</w:t>
      </w:r>
    </w:p>
    <w:p w14:paraId="4B0F0A5D" w14:textId="4C98BEF1" w:rsidR="000229AD" w:rsidRPr="00EA760E" w:rsidRDefault="000229AD" w:rsidP="00E1129D">
      <w:pPr>
        <w:rPr>
          <w:rFonts w:asciiTheme="minorBidi" w:hAnsiTheme="minorBidi"/>
          <w:i/>
          <w:iCs/>
          <w:sz w:val="24"/>
          <w:szCs w:val="24"/>
          <w:u w:val="single"/>
          <w:rtl/>
        </w:rPr>
      </w:pPr>
      <w:r w:rsidRPr="00EA760E">
        <w:rPr>
          <w:rFonts w:asciiTheme="minorBidi" w:hAnsiTheme="minorBidi"/>
          <w:i/>
          <w:iCs/>
          <w:color w:val="000000"/>
          <w:sz w:val="24"/>
          <w:szCs w:val="24"/>
          <w:u w:val="single"/>
          <w:shd w:val="clear" w:color="auto" w:fill="FFFFFF"/>
          <w:rtl/>
        </w:rPr>
        <w:t xml:space="preserve">כבוד השופט בנימין </w:t>
      </w:r>
      <w:proofErr w:type="spellStart"/>
      <w:r w:rsidRPr="00EA760E">
        <w:rPr>
          <w:rFonts w:asciiTheme="minorBidi" w:hAnsiTheme="minorBidi"/>
          <w:i/>
          <w:iCs/>
          <w:color w:val="000000"/>
          <w:sz w:val="24"/>
          <w:szCs w:val="24"/>
          <w:u w:val="single"/>
          <w:shd w:val="clear" w:color="auto" w:fill="FFFFFF"/>
          <w:rtl/>
        </w:rPr>
        <w:t>הירשל</w:t>
      </w:r>
      <w:proofErr w:type="spellEnd"/>
      <w:r w:rsidRPr="00EA760E">
        <w:rPr>
          <w:rFonts w:asciiTheme="minorBidi" w:hAnsiTheme="minorBidi"/>
          <w:i/>
          <w:iCs/>
          <w:color w:val="000000"/>
          <w:sz w:val="24"/>
          <w:szCs w:val="24"/>
          <w:u w:val="single"/>
          <w:shd w:val="clear" w:color="auto" w:fill="FFFFFF"/>
          <w:rtl/>
        </w:rPr>
        <w:t xml:space="preserve"> דורון</w:t>
      </w:r>
    </w:p>
    <w:p w14:paraId="1AE1F5E6" w14:textId="333C5CB7" w:rsidR="001C26A7" w:rsidRPr="00EA760E" w:rsidRDefault="001C26A7" w:rsidP="00E1129D">
      <w:pPr>
        <w:rPr>
          <w:rFonts w:asciiTheme="minorBidi" w:hAnsiTheme="minorBidi"/>
          <w:i/>
          <w:iCs/>
          <w:sz w:val="24"/>
          <w:szCs w:val="24"/>
          <w:u w:val="single"/>
          <w:rtl/>
        </w:rPr>
      </w:pPr>
      <w:r w:rsidRPr="00EA760E">
        <w:rPr>
          <w:rFonts w:asciiTheme="minorBidi" w:hAnsiTheme="minorBidi"/>
          <w:i/>
          <w:iCs/>
          <w:sz w:val="24"/>
          <w:szCs w:val="24"/>
          <w:u w:val="single"/>
          <w:rtl/>
        </w:rPr>
        <w:t xml:space="preserve">נפסק לזיכוי </w:t>
      </w:r>
    </w:p>
    <w:p w14:paraId="3AF14CE0" w14:textId="5A9945FB" w:rsidR="000229AD" w:rsidRPr="00EA760E" w:rsidRDefault="000229AD" w:rsidP="00E1129D">
      <w:pPr>
        <w:rPr>
          <w:rFonts w:asciiTheme="minorBidi" w:hAnsiTheme="minorBidi"/>
          <w:b/>
          <w:bCs/>
          <w:sz w:val="32"/>
          <w:szCs w:val="32"/>
        </w:rPr>
      </w:pPr>
      <w:r w:rsidRPr="00EA760E">
        <w:rPr>
          <w:rFonts w:asciiTheme="minorBidi" w:hAnsiTheme="minorBidi"/>
          <w:color w:val="000000"/>
          <w:sz w:val="26"/>
          <w:szCs w:val="26"/>
          <w:shd w:val="clear" w:color="auto" w:fill="FFFFFF"/>
          <w:rtl/>
        </w:rPr>
        <w:t xml:space="preserve">אין מחלוקת עובדתית שהנאשם חנה במקום שבו על שפת המדרכה ישנו סימון הנושא צבע כחול לבן. </w:t>
      </w:r>
      <w:r w:rsidR="001C26A7" w:rsidRPr="00EA760E">
        <w:rPr>
          <w:rFonts w:asciiTheme="minorBidi" w:hAnsiTheme="minorBidi"/>
          <w:color w:val="000000"/>
          <w:sz w:val="26"/>
          <w:szCs w:val="26"/>
          <w:shd w:val="clear" w:color="auto" w:fill="FFFFFF"/>
          <w:rtl/>
        </w:rPr>
        <w:t>הצבת תמרור 433 על מקטע מדרכה הנושא סימונים כחול לבן יוצר מצב מבלבל למשתמש בדרך. במקרה זה  עולה ש</w:t>
      </w:r>
      <w:r w:rsidR="001C26A7" w:rsidRPr="00EA760E">
        <w:rPr>
          <w:rFonts w:asciiTheme="minorBidi" w:hAnsiTheme="minorBidi"/>
          <w:b/>
          <w:bCs/>
          <w:color w:val="000000"/>
          <w:sz w:val="26"/>
          <w:szCs w:val="26"/>
          <w:shd w:val="clear" w:color="auto" w:fill="FFFFFF"/>
          <w:rtl/>
        </w:rPr>
        <w:t>הסימון כחול לבן פרוס לאורך כל המדרכה </w:t>
      </w:r>
      <w:r w:rsidR="001C26A7" w:rsidRPr="00EA760E">
        <w:rPr>
          <w:rFonts w:asciiTheme="minorBidi" w:hAnsiTheme="minorBidi"/>
          <w:color w:val="000000"/>
          <w:sz w:val="26"/>
          <w:szCs w:val="26"/>
          <w:shd w:val="clear" w:color="auto" w:fill="FFFFFF"/>
        </w:rPr>
        <w:t xml:space="preserve">, </w:t>
      </w:r>
    </w:p>
    <w:p w14:paraId="47618D7B" w14:textId="451E90B7" w:rsidR="001C26A7" w:rsidRPr="00EA760E" w:rsidRDefault="001C26A7" w:rsidP="00E1129D">
      <w:pPr>
        <w:rPr>
          <w:rFonts w:asciiTheme="minorBidi" w:hAnsiTheme="minorBidi"/>
          <w:b/>
          <w:bCs/>
          <w:sz w:val="32"/>
          <w:szCs w:val="32"/>
          <w:rtl/>
        </w:rPr>
      </w:pPr>
      <w:r w:rsidRPr="00EA760E">
        <w:rPr>
          <w:rFonts w:asciiTheme="minorBidi" w:hAnsiTheme="minorBidi"/>
          <w:color w:val="000000"/>
          <w:sz w:val="26"/>
          <w:szCs w:val="26"/>
          <w:shd w:val="clear" w:color="auto" w:fill="FFFFFF"/>
          <w:rtl/>
        </w:rPr>
        <w:t xml:space="preserve">חובת </w:t>
      </w:r>
      <w:proofErr w:type="spellStart"/>
      <w:r w:rsidRPr="00EA760E">
        <w:rPr>
          <w:rFonts w:asciiTheme="minorBidi" w:hAnsiTheme="minorBidi"/>
          <w:color w:val="000000"/>
          <w:sz w:val="26"/>
          <w:szCs w:val="26"/>
          <w:shd w:val="clear" w:color="auto" w:fill="FFFFFF"/>
          <w:rtl/>
        </w:rPr>
        <w:t>העייריה</w:t>
      </w:r>
      <w:proofErr w:type="spellEnd"/>
      <w:r w:rsidRPr="00EA760E">
        <w:rPr>
          <w:rFonts w:asciiTheme="minorBidi" w:hAnsiTheme="minorBidi"/>
          <w:color w:val="000000"/>
          <w:sz w:val="26"/>
          <w:szCs w:val="26"/>
          <w:shd w:val="clear" w:color="auto" w:fill="FFFFFF"/>
          <w:rtl/>
        </w:rPr>
        <w:t xml:space="preserve"> היא להציב </w:t>
      </w:r>
      <w:r w:rsidRPr="00EA760E">
        <w:rPr>
          <w:rFonts w:asciiTheme="minorBidi" w:hAnsiTheme="minorBidi"/>
          <w:b/>
          <w:bCs/>
          <w:color w:val="000000"/>
          <w:sz w:val="26"/>
          <w:szCs w:val="26"/>
          <w:shd w:val="clear" w:color="auto" w:fill="FFFFFF"/>
          <w:rtl/>
        </w:rPr>
        <w:t>תמרור ברור</w:t>
      </w:r>
      <w:r w:rsidRPr="00EA760E">
        <w:rPr>
          <w:rFonts w:asciiTheme="minorBidi" w:hAnsiTheme="minorBidi"/>
          <w:color w:val="000000"/>
          <w:sz w:val="26"/>
          <w:szCs w:val="26"/>
          <w:shd w:val="clear" w:color="auto" w:fill="FFFFFF"/>
        </w:rPr>
        <w:t xml:space="preserve">. </w:t>
      </w:r>
      <w:r w:rsidRPr="00EA760E">
        <w:rPr>
          <w:rFonts w:asciiTheme="minorBidi" w:hAnsiTheme="minorBidi"/>
          <w:color w:val="000000"/>
          <w:sz w:val="26"/>
          <w:szCs w:val="26"/>
          <w:shd w:val="clear" w:color="auto" w:fill="FFFFFF"/>
          <w:rtl/>
        </w:rPr>
        <w:t xml:space="preserve">העירייה יכלה בשלב הצבת התמרור לצבוע את שפת המדרכה באפור. אך דומה שהעירייה עשתה לעצמה חיים קלים בכך שנמנעה מכך. </w:t>
      </w:r>
      <w:proofErr w:type="spellStart"/>
      <w:r w:rsidRPr="00EA760E">
        <w:rPr>
          <w:rFonts w:asciiTheme="minorBidi" w:hAnsiTheme="minorBidi"/>
          <w:color w:val="000000"/>
          <w:sz w:val="26"/>
          <w:szCs w:val="26"/>
          <w:shd w:val="clear" w:color="auto" w:fill="FFFFFF"/>
          <w:rtl/>
        </w:rPr>
        <w:t>דומה,על</w:t>
      </w:r>
      <w:proofErr w:type="spellEnd"/>
      <w:r w:rsidRPr="00EA760E">
        <w:rPr>
          <w:rFonts w:asciiTheme="minorBidi" w:hAnsiTheme="minorBidi"/>
          <w:color w:val="000000"/>
          <w:sz w:val="26"/>
          <w:szCs w:val="26"/>
          <w:shd w:val="clear" w:color="auto" w:fill="FFFFFF"/>
          <w:rtl/>
        </w:rPr>
        <w:t xml:space="preserve"> פי התמונות שהוגשו, שהעירייה ניסתה לטשטש את צבעי הכחול והלבן משפת המדרכה.  אך דומה שמאמציה לא נשאו פרי כי הסימון נותר ברור ומזמין לנהגים המחפשים חנייה</w:t>
      </w:r>
      <w:r w:rsidRPr="00EA760E">
        <w:rPr>
          <w:rFonts w:asciiTheme="minorBidi" w:hAnsiTheme="minorBidi"/>
          <w:color w:val="000000"/>
          <w:sz w:val="26"/>
          <w:szCs w:val="26"/>
          <w:shd w:val="clear" w:color="auto" w:fill="FFFFFF"/>
        </w:rPr>
        <w:t>.</w:t>
      </w:r>
    </w:p>
    <w:p w14:paraId="2DAF0A11" w14:textId="77777777" w:rsidR="001C26A7" w:rsidRPr="00EA760E" w:rsidRDefault="001C26A7" w:rsidP="001C26A7">
      <w:pPr>
        <w:pStyle w:val="a3"/>
        <w:shd w:val="clear" w:color="auto" w:fill="FFFFFF"/>
        <w:bidi/>
        <w:spacing w:before="0" w:beforeAutospacing="0" w:after="0" w:afterAutospacing="0" w:line="360" w:lineRule="atLeast"/>
        <w:ind w:left="720" w:hanging="360"/>
        <w:rPr>
          <w:rFonts w:asciiTheme="minorBidi" w:hAnsiTheme="minorBidi" w:cstheme="minorBidi"/>
          <w:color w:val="000000"/>
          <w:sz w:val="27"/>
          <w:szCs w:val="27"/>
        </w:rPr>
      </w:pPr>
      <w:r w:rsidRPr="00EA760E">
        <w:rPr>
          <w:rFonts w:asciiTheme="minorBidi" w:hAnsiTheme="minorBidi" w:cstheme="minorBidi"/>
          <w:color w:val="000000"/>
          <w:sz w:val="26"/>
          <w:szCs w:val="26"/>
          <w:rtl/>
        </w:rPr>
        <w:t>נזכור שאנו עוסקים בעבירה  המסווגת כעבירת אחריות קפידה, שאינה דורשת מחשבה פלילית. ולעניין החובה  להקפיד  על התקיימות היסודות העובדתיים נקבע בפסיקה:</w:t>
      </w:r>
    </w:p>
    <w:p w14:paraId="2F220A7D" w14:textId="77777777" w:rsidR="001C26A7" w:rsidRPr="00EA760E" w:rsidRDefault="001C26A7" w:rsidP="001C26A7">
      <w:pPr>
        <w:pStyle w:val="a3"/>
        <w:shd w:val="clear" w:color="auto" w:fill="FFFFFF"/>
        <w:bidi/>
        <w:spacing w:before="0" w:beforeAutospacing="0" w:after="0" w:afterAutospacing="0" w:line="360" w:lineRule="atLeast"/>
        <w:ind w:left="720" w:right="851"/>
        <w:rPr>
          <w:rFonts w:asciiTheme="minorBidi" w:hAnsiTheme="minorBidi" w:cstheme="minorBidi"/>
          <w:color w:val="000000"/>
          <w:sz w:val="27"/>
          <w:szCs w:val="27"/>
          <w:rtl/>
        </w:rPr>
      </w:pPr>
      <w:r w:rsidRPr="00EA760E">
        <w:rPr>
          <w:rFonts w:asciiTheme="minorBidi" w:hAnsiTheme="minorBidi" w:cstheme="minorBidi"/>
          <w:color w:val="000000"/>
          <w:sz w:val="26"/>
          <w:szCs w:val="26"/>
          <w:rtl/>
        </w:rPr>
        <w:t> </w:t>
      </w:r>
    </w:p>
    <w:p w14:paraId="47F92EDB" w14:textId="4DDF8964" w:rsidR="001C26A7" w:rsidRPr="00EA760E" w:rsidRDefault="001C26A7" w:rsidP="00EA760E">
      <w:pPr>
        <w:pStyle w:val="a3"/>
        <w:shd w:val="clear" w:color="auto" w:fill="FFFFFF"/>
        <w:bidi/>
        <w:spacing w:before="0" w:beforeAutospacing="0" w:after="120" w:afterAutospacing="0" w:line="360" w:lineRule="atLeast"/>
        <w:ind w:left="1440" w:right="851"/>
        <w:rPr>
          <w:rFonts w:asciiTheme="minorBidi" w:hAnsiTheme="minorBidi" w:cstheme="minorBidi"/>
          <w:color w:val="000000"/>
          <w:sz w:val="27"/>
          <w:szCs w:val="27"/>
          <w:rtl/>
        </w:rPr>
      </w:pPr>
      <w:r w:rsidRPr="00EA760E">
        <w:rPr>
          <w:rFonts w:asciiTheme="minorBidi" w:hAnsiTheme="minorBidi" w:cstheme="minorBidi"/>
          <w:b/>
          <w:bCs/>
          <w:color w:val="000000"/>
          <w:sz w:val="26"/>
          <w:szCs w:val="26"/>
          <w:rtl/>
        </w:rPr>
        <w:t>"אולם בד בבד, ומשום ההחמרה עם הנאשם באשר ליסוד הנפשי, יקפיד בית המשפט הקפדה מלאה על קיום היסודות העובדתיים הנדרשים בעבירה ויבחן כראוי, אם אמנם התקיימו יסודות אלה. למותר להוסיף, כי כאשר מתעורר ספק בדבר קיומו של יסוד עובדתי זה או אחר הנדרש בעבירה, די בכך כדי להנות ממנו את הנאשם</w:t>
      </w:r>
      <w:r w:rsidR="00EA760E">
        <w:rPr>
          <w:rFonts w:asciiTheme="minorBidi" w:hAnsiTheme="minorBidi" w:cstheme="minorBidi" w:hint="cs"/>
          <w:b/>
          <w:bCs/>
          <w:color w:val="000000"/>
          <w:sz w:val="26"/>
          <w:szCs w:val="26"/>
          <w:rtl/>
        </w:rPr>
        <w:t>"</w:t>
      </w:r>
    </w:p>
    <w:p w14:paraId="56E93706" w14:textId="37F1328D" w:rsidR="00EA760E" w:rsidRPr="00EA760E" w:rsidRDefault="00EA760E" w:rsidP="00EA760E">
      <w:pPr>
        <w:rPr>
          <w:rFonts w:asciiTheme="minorBidi" w:hAnsiTheme="minorBidi"/>
          <w:i/>
          <w:iCs/>
          <w:sz w:val="24"/>
          <w:szCs w:val="24"/>
          <w:u w:val="single"/>
        </w:rPr>
      </w:pPr>
      <w:r w:rsidRPr="00EA760E">
        <w:rPr>
          <w:rFonts w:asciiTheme="minorBidi" w:hAnsiTheme="minorBidi" w:hint="cs"/>
          <w:i/>
          <w:iCs/>
          <w:sz w:val="24"/>
          <w:szCs w:val="24"/>
          <w:u w:val="single"/>
          <w:rtl/>
        </w:rPr>
        <w:t>ר"ע 213-83 יצחק אסולין נ מדינת ישראל</w:t>
      </w:r>
    </w:p>
    <w:sectPr w:rsidR="00EA760E" w:rsidRPr="00EA760E" w:rsidSect="00CD4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0FA"/>
    <w:rsid w:val="000229AD"/>
    <w:rsid w:val="000B150E"/>
    <w:rsid w:val="001C26A7"/>
    <w:rsid w:val="00282947"/>
    <w:rsid w:val="00385179"/>
    <w:rsid w:val="00390F76"/>
    <w:rsid w:val="007300FA"/>
    <w:rsid w:val="00747944"/>
    <w:rsid w:val="00890946"/>
    <w:rsid w:val="00CD4688"/>
    <w:rsid w:val="00E1129D"/>
    <w:rsid w:val="00EA760E"/>
    <w:rsid w:val="00F178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82C8"/>
  <w15:chartTrackingRefBased/>
  <w15:docId w15:val="{7C84DEDC-0D44-40C7-A5BD-CC29A6D91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00FA"/>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0229AD"/>
    <w:rPr>
      <w:color w:val="0000FF"/>
      <w:u w:val="single"/>
    </w:rPr>
  </w:style>
  <w:style w:type="paragraph" w:styleId="a3">
    <w:name w:val="List Paragraph"/>
    <w:basedOn w:val="a"/>
    <w:uiPriority w:val="34"/>
    <w:qFormat/>
    <w:rsid w:val="001C26A7"/>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38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zproxy.ono.ac.il:2141/case/26929711"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806</Words>
  <Characters>4032</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שנאור</dc:creator>
  <cp:keywords/>
  <dc:description/>
  <cp:lastModifiedBy>משה שניאור</cp:lastModifiedBy>
  <cp:revision>9</cp:revision>
  <dcterms:created xsi:type="dcterms:W3CDTF">2020-07-25T19:30:00Z</dcterms:created>
  <dcterms:modified xsi:type="dcterms:W3CDTF">2023-02-26T03:03:00Z</dcterms:modified>
</cp:coreProperties>
</file>