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0DF4" w14:textId="25B7305B" w:rsidR="00B067FC" w:rsidRPr="009969B4" w:rsidRDefault="00583E76" w:rsidP="00B067FC">
      <w:pPr>
        <w:rPr>
          <w:b/>
          <w:bCs/>
          <w:sz w:val="48"/>
          <w:szCs w:val="48"/>
          <w:rtl/>
        </w:rPr>
      </w:pPr>
      <w:r>
        <w:rPr>
          <w:rFonts w:cs="Arial" w:hint="cs"/>
          <w:b/>
          <w:bCs/>
          <w:sz w:val="48"/>
          <w:szCs w:val="48"/>
          <w:rtl/>
        </w:rPr>
        <w:t>לחצן-</w:t>
      </w:r>
      <w:r w:rsidR="00B067FC" w:rsidRPr="009969B4">
        <w:rPr>
          <w:rFonts w:cs="Arial"/>
          <w:b/>
          <w:bCs/>
          <w:sz w:val="48"/>
          <w:szCs w:val="48"/>
          <w:rtl/>
        </w:rPr>
        <w:t>תו חניה</w:t>
      </w:r>
    </w:p>
    <w:p w14:paraId="14780BE1" w14:textId="77777777" w:rsidR="00B067FC" w:rsidRPr="009969B4" w:rsidRDefault="00137DC6" w:rsidP="00137DC6">
      <w:pPr>
        <w:tabs>
          <w:tab w:val="left" w:pos="2139"/>
        </w:tabs>
        <w:rPr>
          <w:sz w:val="32"/>
          <w:szCs w:val="32"/>
          <w:rtl/>
        </w:rPr>
      </w:pPr>
      <w:r w:rsidRPr="009969B4">
        <w:rPr>
          <w:sz w:val="32"/>
          <w:szCs w:val="32"/>
          <w:rtl/>
        </w:rPr>
        <w:tab/>
      </w:r>
    </w:p>
    <w:p w14:paraId="5C6C8017" w14:textId="77777777" w:rsidR="00137DC6" w:rsidRPr="009969B4" w:rsidRDefault="00137DC6" w:rsidP="00137DC6">
      <w:pPr>
        <w:tabs>
          <w:tab w:val="left" w:pos="2139"/>
        </w:tabs>
        <w:rPr>
          <w:sz w:val="32"/>
          <w:szCs w:val="32"/>
          <w:u w:val="single"/>
          <w:rtl/>
        </w:rPr>
      </w:pPr>
      <w:r w:rsidRPr="009969B4">
        <w:rPr>
          <w:rFonts w:hint="cs"/>
          <w:sz w:val="32"/>
          <w:szCs w:val="32"/>
          <w:u w:val="single"/>
          <w:rtl/>
        </w:rPr>
        <w:t xml:space="preserve">ניתן לעיין בערך </w:t>
      </w:r>
      <w:r w:rsidR="009969B4" w:rsidRPr="009969B4">
        <w:rPr>
          <w:rFonts w:hint="cs"/>
          <w:sz w:val="32"/>
          <w:szCs w:val="32"/>
          <w:u w:val="single"/>
          <w:rtl/>
        </w:rPr>
        <w:t xml:space="preserve">בקטגורייה של </w:t>
      </w:r>
      <w:r w:rsidRPr="009969B4">
        <w:rPr>
          <w:rFonts w:hint="cs"/>
          <w:sz w:val="32"/>
          <w:szCs w:val="32"/>
          <w:u w:val="single"/>
          <w:rtl/>
        </w:rPr>
        <w:t xml:space="preserve">עילות כלליות לביטול ולמצוא שם עוד סיבות כלליות הנוגעות לגוף התמרור ובהירותו </w:t>
      </w:r>
    </w:p>
    <w:p w14:paraId="497AEBE4" w14:textId="77777777" w:rsidR="00137DC6" w:rsidRPr="009969B4" w:rsidRDefault="00137DC6" w:rsidP="00137DC6">
      <w:pPr>
        <w:tabs>
          <w:tab w:val="left" w:pos="2139"/>
        </w:tabs>
        <w:rPr>
          <w:sz w:val="32"/>
          <w:szCs w:val="32"/>
          <w:rtl/>
        </w:rPr>
      </w:pPr>
    </w:p>
    <w:p w14:paraId="0BB85522" w14:textId="77777777" w:rsidR="00B067FC" w:rsidRPr="00F942AD" w:rsidRDefault="00B067FC" w:rsidP="009969B4">
      <w:pPr>
        <w:rPr>
          <w:b/>
          <w:bCs/>
          <w:i/>
          <w:iCs/>
          <w:sz w:val="32"/>
          <w:szCs w:val="32"/>
          <w:u w:val="single"/>
          <w:rtl/>
        </w:rPr>
      </w:pPr>
      <w:r w:rsidRPr="00F942AD">
        <w:rPr>
          <w:rFonts w:cs="Arial"/>
          <w:b/>
          <w:bCs/>
          <w:i/>
          <w:iCs/>
          <w:sz w:val="32"/>
          <w:szCs w:val="32"/>
          <w:u w:val="single"/>
          <w:rtl/>
        </w:rPr>
        <w:t>תו חניה לשון התמרור</w:t>
      </w:r>
    </w:p>
    <w:p w14:paraId="39A6C1E2" w14:textId="4A558861" w:rsidR="00B067FC" w:rsidRPr="009969B4" w:rsidRDefault="009969B4" w:rsidP="00B067FC">
      <w:pPr>
        <w:rPr>
          <w:sz w:val="32"/>
          <w:szCs w:val="32"/>
          <w:rtl/>
        </w:rPr>
      </w:pPr>
      <w:r>
        <w:rPr>
          <w:rFonts w:cs="Arial"/>
          <w:sz w:val="32"/>
          <w:szCs w:val="32"/>
          <w:rtl/>
        </w:rPr>
        <w:t xml:space="preserve">אם לא רשום בתו חניה </w:t>
      </w:r>
      <w:r w:rsidRPr="009969B4">
        <w:rPr>
          <w:rFonts w:cs="Arial"/>
          <w:b/>
          <w:bCs/>
          <w:sz w:val="32"/>
          <w:szCs w:val="32"/>
          <w:rtl/>
        </w:rPr>
        <w:t>"רק</w:t>
      </w:r>
      <w:r w:rsidR="00B067FC" w:rsidRPr="009969B4">
        <w:rPr>
          <w:rFonts w:cs="Arial"/>
          <w:b/>
          <w:bCs/>
          <w:sz w:val="32"/>
          <w:szCs w:val="32"/>
          <w:rtl/>
        </w:rPr>
        <w:t>"</w:t>
      </w:r>
      <w:r w:rsidR="00B067FC" w:rsidRPr="009969B4">
        <w:rPr>
          <w:rFonts w:cs="Arial"/>
          <w:sz w:val="32"/>
          <w:szCs w:val="32"/>
          <w:rtl/>
        </w:rPr>
        <w:t xml:space="preserve"> או</w:t>
      </w:r>
      <w:r>
        <w:rPr>
          <w:rFonts w:cs="Arial" w:hint="cs"/>
          <w:sz w:val="32"/>
          <w:szCs w:val="32"/>
          <w:rtl/>
        </w:rPr>
        <w:t xml:space="preserve"> </w:t>
      </w:r>
      <w:r w:rsidRPr="009969B4">
        <w:rPr>
          <w:rFonts w:cs="Arial"/>
          <w:b/>
          <w:bCs/>
          <w:sz w:val="32"/>
          <w:szCs w:val="32"/>
          <w:rtl/>
        </w:rPr>
        <w:t>"לבעלי תו חניה איזורי בלב</w:t>
      </w:r>
      <w:r w:rsidRPr="009969B4">
        <w:rPr>
          <w:rFonts w:cs="Arial" w:hint="cs"/>
          <w:b/>
          <w:bCs/>
          <w:sz w:val="32"/>
          <w:szCs w:val="32"/>
          <w:rtl/>
        </w:rPr>
        <w:t>ד</w:t>
      </w:r>
      <w:r w:rsidR="00B067FC" w:rsidRPr="009969B4">
        <w:rPr>
          <w:rFonts w:cs="Arial"/>
          <w:b/>
          <w:bCs/>
          <w:sz w:val="32"/>
          <w:szCs w:val="32"/>
          <w:rtl/>
        </w:rPr>
        <w:t>"</w:t>
      </w:r>
      <w:r>
        <w:rPr>
          <w:rFonts w:cs="Arial" w:hint="cs"/>
          <w:sz w:val="32"/>
          <w:szCs w:val="32"/>
          <w:rtl/>
        </w:rPr>
        <w:t xml:space="preserve"> </w:t>
      </w:r>
      <w:r w:rsidR="00B067FC" w:rsidRPr="009969B4">
        <w:rPr>
          <w:rFonts w:cs="Arial"/>
          <w:sz w:val="32"/>
          <w:szCs w:val="32"/>
          <w:rtl/>
        </w:rPr>
        <w:t>ניתן לערער מסיבה זו</w:t>
      </w:r>
      <w:r w:rsidR="005D6F01">
        <w:rPr>
          <w:rFonts w:cs="Arial" w:hint="cs"/>
          <w:sz w:val="32"/>
          <w:szCs w:val="32"/>
          <w:rtl/>
        </w:rPr>
        <w:t>,</w:t>
      </w:r>
      <w:r w:rsidR="00B067FC" w:rsidRPr="009969B4">
        <w:rPr>
          <w:rFonts w:cs="Arial"/>
          <w:sz w:val="32"/>
          <w:szCs w:val="32"/>
          <w:rtl/>
        </w:rPr>
        <w:t xml:space="preserve"> משום שזה מביא מקום לטעות</w:t>
      </w:r>
      <w:r w:rsidR="00583E76">
        <w:rPr>
          <w:rFonts w:cs="Arial" w:hint="cs"/>
          <w:sz w:val="32"/>
          <w:szCs w:val="32"/>
          <w:rtl/>
        </w:rPr>
        <w:t>,</w:t>
      </w:r>
      <w:r w:rsidR="00B067FC" w:rsidRPr="009969B4">
        <w:rPr>
          <w:rFonts w:cs="Arial"/>
          <w:sz w:val="32"/>
          <w:szCs w:val="32"/>
          <w:rtl/>
        </w:rPr>
        <w:t xml:space="preserve"> שזה משהו שאינו חובה</w:t>
      </w:r>
      <w:r w:rsidR="00583E76">
        <w:rPr>
          <w:rFonts w:cs="Arial" w:hint="cs"/>
          <w:sz w:val="32"/>
          <w:szCs w:val="32"/>
          <w:rtl/>
        </w:rPr>
        <w:t>,</w:t>
      </w:r>
      <w:r w:rsidR="00B067FC" w:rsidRPr="009969B4">
        <w:rPr>
          <w:rFonts w:cs="Arial"/>
          <w:sz w:val="32"/>
          <w:szCs w:val="32"/>
          <w:rtl/>
        </w:rPr>
        <w:t xml:space="preserve"> אלא בנוסף </w:t>
      </w:r>
      <w:r w:rsidR="00583E76">
        <w:rPr>
          <w:rFonts w:cs="Arial" w:hint="cs"/>
          <w:sz w:val="32"/>
          <w:szCs w:val="32"/>
          <w:rtl/>
        </w:rPr>
        <w:t>,</w:t>
      </w:r>
      <w:r w:rsidR="00B067FC" w:rsidRPr="009969B4">
        <w:rPr>
          <w:rFonts w:cs="Arial"/>
          <w:sz w:val="32"/>
          <w:szCs w:val="32"/>
          <w:rtl/>
        </w:rPr>
        <w:t>ועל התמרור להיות ברור במ</w:t>
      </w:r>
      <w:r w:rsidR="00B067FC" w:rsidRPr="009969B4">
        <w:rPr>
          <w:rFonts w:cs="Arial" w:hint="cs"/>
          <w:sz w:val="32"/>
          <w:szCs w:val="32"/>
          <w:rtl/>
        </w:rPr>
        <w:t>יד</w:t>
      </w:r>
      <w:r w:rsidR="00B067FC" w:rsidRPr="009969B4">
        <w:rPr>
          <w:rFonts w:cs="Arial"/>
          <w:sz w:val="32"/>
          <w:szCs w:val="32"/>
          <w:rtl/>
        </w:rPr>
        <w:t>ה מספקת</w:t>
      </w:r>
      <w:r w:rsidR="00583E76">
        <w:rPr>
          <w:rFonts w:cs="Arial" w:hint="cs"/>
          <w:sz w:val="32"/>
          <w:szCs w:val="32"/>
          <w:rtl/>
        </w:rPr>
        <w:t>,</w:t>
      </w:r>
      <w:r w:rsidR="00B067FC" w:rsidRPr="009969B4">
        <w:rPr>
          <w:rFonts w:cs="Arial"/>
          <w:sz w:val="32"/>
          <w:szCs w:val="32"/>
          <w:rtl/>
        </w:rPr>
        <w:t xml:space="preserve"> ש</w:t>
      </w:r>
      <w:r w:rsidR="00583E76">
        <w:rPr>
          <w:rFonts w:cs="Arial" w:hint="cs"/>
          <w:sz w:val="32"/>
          <w:szCs w:val="32"/>
          <w:rtl/>
        </w:rPr>
        <w:t>-</w:t>
      </w:r>
      <w:r w:rsidR="00B067FC" w:rsidRPr="009969B4">
        <w:rPr>
          <w:rFonts w:cs="Arial"/>
          <w:sz w:val="32"/>
          <w:szCs w:val="32"/>
          <w:rtl/>
        </w:rPr>
        <w:t>הנהג לא יבוא להרהר בדבר משמעותו</w:t>
      </w:r>
      <w:r w:rsidR="00583E76">
        <w:rPr>
          <w:rFonts w:cs="Arial" w:hint="cs"/>
          <w:sz w:val="32"/>
          <w:szCs w:val="32"/>
          <w:rtl/>
        </w:rPr>
        <w:t xml:space="preserve"> עיין ערך </w:t>
      </w:r>
      <w:r w:rsidR="00137DC6" w:rsidRPr="009969B4">
        <w:rPr>
          <w:rFonts w:cs="Arial" w:hint="cs"/>
          <w:sz w:val="32"/>
          <w:szCs w:val="32"/>
          <w:rtl/>
        </w:rPr>
        <w:t>*אי בהירות תמרור*</w:t>
      </w:r>
      <w:r w:rsidR="00B067FC" w:rsidRPr="009969B4">
        <w:rPr>
          <w:rFonts w:cs="Arial"/>
          <w:sz w:val="32"/>
          <w:szCs w:val="32"/>
          <w:rtl/>
        </w:rPr>
        <w:t xml:space="preserve"> </w:t>
      </w:r>
    </w:p>
    <w:p w14:paraId="4D68CE59" w14:textId="7A7AEC04" w:rsidR="00B067FC" w:rsidRPr="005D6F01" w:rsidRDefault="00B067FC" w:rsidP="00B067FC">
      <w:pPr>
        <w:rPr>
          <w:i/>
          <w:iCs/>
          <w:sz w:val="24"/>
          <w:szCs w:val="24"/>
          <w:rtl/>
        </w:rPr>
      </w:pPr>
      <w:r w:rsidRPr="005D6F01">
        <w:rPr>
          <w:rFonts w:cs="Arial"/>
          <w:i/>
          <w:iCs/>
          <w:sz w:val="24"/>
          <w:szCs w:val="24"/>
          <w:rtl/>
        </w:rPr>
        <w:t>מבוסס על פ</w:t>
      </w:r>
      <w:r w:rsidR="005D6F01" w:rsidRPr="005D6F01">
        <w:rPr>
          <w:rFonts w:cs="Arial" w:hint="cs"/>
          <w:i/>
          <w:iCs/>
          <w:sz w:val="24"/>
          <w:szCs w:val="24"/>
          <w:rtl/>
        </w:rPr>
        <w:t>ס"ד</w:t>
      </w:r>
      <w:r w:rsidRPr="005D6F01">
        <w:rPr>
          <w:rFonts w:cs="Arial"/>
          <w:i/>
          <w:iCs/>
          <w:sz w:val="24"/>
          <w:szCs w:val="24"/>
          <w:rtl/>
        </w:rPr>
        <w:t xml:space="preserve"> שנפסק לזיכוי </w:t>
      </w:r>
    </w:p>
    <w:p w14:paraId="48C0FE9A" w14:textId="77777777" w:rsidR="00B067FC" w:rsidRPr="005D6F01" w:rsidRDefault="00B067FC" w:rsidP="00B067FC">
      <w:pPr>
        <w:rPr>
          <w:i/>
          <w:iCs/>
          <w:sz w:val="24"/>
          <w:szCs w:val="24"/>
          <w:rtl/>
        </w:rPr>
      </w:pPr>
      <w:r w:rsidRPr="005D6F01">
        <w:rPr>
          <w:rFonts w:cs="Arial"/>
          <w:i/>
          <w:iCs/>
          <w:sz w:val="24"/>
          <w:szCs w:val="24"/>
          <w:rtl/>
        </w:rPr>
        <w:t xml:space="preserve">השופט-אריה שרעבי </w:t>
      </w:r>
    </w:p>
    <w:p w14:paraId="2EF444B8" w14:textId="77777777" w:rsidR="00B067FC" w:rsidRPr="005D6F01" w:rsidRDefault="00B067FC" w:rsidP="00B067FC">
      <w:pPr>
        <w:rPr>
          <w:i/>
          <w:iCs/>
          <w:sz w:val="24"/>
          <w:szCs w:val="24"/>
          <w:rtl/>
        </w:rPr>
      </w:pPr>
      <w:r w:rsidRPr="005D6F01">
        <w:rPr>
          <w:rFonts w:cs="Arial"/>
          <w:i/>
          <w:iCs/>
          <w:sz w:val="24"/>
          <w:szCs w:val="24"/>
          <w:rtl/>
        </w:rPr>
        <w:t>תאריך 13-02-2006</w:t>
      </w:r>
    </w:p>
    <w:p w14:paraId="6BFD1A76" w14:textId="77777777" w:rsidR="00B067FC" w:rsidRPr="005D6F01" w:rsidRDefault="00B067FC" w:rsidP="00B067FC">
      <w:pPr>
        <w:rPr>
          <w:i/>
          <w:iCs/>
          <w:sz w:val="24"/>
          <w:szCs w:val="24"/>
          <w:rtl/>
        </w:rPr>
      </w:pPr>
      <w:r w:rsidRPr="005D6F01">
        <w:rPr>
          <w:rFonts w:cs="Arial"/>
          <w:i/>
          <w:iCs/>
          <w:sz w:val="24"/>
          <w:szCs w:val="24"/>
          <w:rtl/>
        </w:rPr>
        <w:t>459817/05</w:t>
      </w:r>
    </w:p>
    <w:p w14:paraId="67ED15FA" w14:textId="77777777" w:rsidR="00B067FC" w:rsidRPr="005D6F01" w:rsidRDefault="00B067FC" w:rsidP="00B067FC">
      <w:pPr>
        <w:rPr>
          <w:sz w:val="28"/>
          <w:szCs w:val="28"/>
          <w:u w:val="single"/>
          <w:rtl/>
        </w:rPr>
      </w:pPr>
      <w:r w:rsidRPr="005D6F01">
        <w:rPr>
          <w:rFonts w:cs="Arial"/>
          <w:sz w:val="28"/>
          <w:szCs w:val="28"/>
          <w:u w:val="single"/>
          <w:rtl/>
        </w:rPr>
        <w:t xml:space="preserve">הנאשם חנה במקום חניה המחייב תו חניה אזורי </w:t>
      </w:r>
    </w:p>
    <w:p w14:paraId="0D71146E" w14:textId="77777777" w:rsidR="00B067FC" w:rsidRPr="009969B4" w:rsidRDefault="00B067FC" w:rsidP="00B067FC">
      <w:pPr>
        <w:rPr>
          <w:sz w:val="28"/>
          <w:szCs w:val="28"/>
          <w:rtl/>
        </w:rPr>
      </w:pPr>
      <w:r w:rsidRPr="009969B4">
        <w:rPr>
          <w:rFonts w:cs="Arial"/>
          <w:sz w:val="28"/>
          <w:szCs w:val="28"/>
          <w:rtl/>
        </w:rPr>
        <w:t xml:space="preserve">על התמרור נרשם  מותרת לבעלי תו חניה אזורי מס' 4בכל שעות היממה ומתחתיו תמרור המורה על חניה </w:t>
      </w:r>
    </w:p>
    <w:p w14:paraId="4629760F" w14:textId="6B39B8EC" w:rsidR="00B067FC" w:rsidRPr="009969B4" w:rsidRDefault="00B067FC" w:rsidP="00B067FC">
      <w:pPr>
        <w:rPr>
          <w:sz w:val="28"/>
          <w:szCs w:val="28"/>
          <w:rtl/>
        </w:rPr>
      </w:pPr>
      <w:r w:rsidRPr="009969B4">
        <w:rPr>
          <w:rFonts w:cs="Arial"/>
          <w:sz w:val="28"/>
          <w:szCs w:val="28"/>
          <w:rtl/>
        </w:rPr>
        <w:t>לטענת ההגנה ע"מ לשכלל את האישום הפלילי בחניה היה על המרשימה לציין בתמרור "רק " או "בלבד" והתמרור אינו ברור דיו</w:t>
      </w:r>
      <w:r w:rsidR="005D6F01">
        <w:rPr>
          <w:rFonts w:cs="Arial" w:hint="cs"/>
          <w:sz w:val="28"/>
          <w:szCs w:val="28"/>
          <w:rtl/>
        </w:rPr>
        <w:t>.</w:t>
      </w:r>
    </w:p>
    <w:p w14:paraId="2BC7961F" w14:textId="77777777" w:rsidR="00583E76" w:rsidRPr="00583E76" w:rsidRDefault="00583E76" w:rsidP="00B067FC">
      <w:pPr>
        <w:rPr>
          <w:rFonts w:cs="Arial"/>
          <w:b/>
          <w:bCs/>
          <w:i/>
          <w:iCs/>
          <w:sz w:val="28"/>
          <w:szCs w:val="28"/>
          <w:u w:val="single"/>
          <w:rtl/>
        </w:rPr>
      </w:pPr>
      <w:r w:rsidRPr="00583E76">
        <w:rPr>
          <w:rFonts w:cs="Arial" w:hint="cs"/>
          <w:b/>
          <w:bCs/>
          <w:i/>
          <w:iCs/>
          <w:sz w:val="28"/>
          <w:szCs w:val="28"/>
          <w:u w:val="single"/>
          <w:rtl/>
        </w:rPr>
        <w:t>סוף טוב</w:t>
      </w:r>
    </w:p>
    <w:p w14:paraId="6ACA59FB" w14:textId="40522E50" w:rsidR="00B067FC" w:rsidRPr="00583E76" w:rsidRDefault="00B067FC" w:rsidP="00B067FC">
      <w:pPr>
        <w:rPr>
          <w:b/>
          <w:bCs/>
          <w:sz w:val="28"/>
          <w:szCs w:val="28"/>
          <w:u w:val="single"/>
          <w:rtl/>
        </w:rPr>
      </w:pPr>
      <w:r w:rsidRPr="00583E76">
        <w:rPr>
          <w:rFonts w:cs="Arial"/>
          <w:b/>
          <w:bCs/>
          <w:sz w:val="28"/>
          <w:szCs w:val="28"/>
          <w:u w:val="single"/>
          <w:rtl/>
        </w:rPr>
        <w:t>אין בידי התמרור הנ"ל סיווג ברור ומובן מאליו מכל כלי הרכב האחרים וזה פוגע בכלל הקובע "אין עונשין אלא אם מזהירין "</w:t>
      </w:r>
      <w:r w:rsidR="00583E76" w:rsidRPr="00583E76">
        <w:rPr>
          <w:rFonts w:hint="cs"/>
          <w:b/>
          <w:bCs/>
          <w:sz w:val="28"/>
          <w:szCs w:val="28"/>
          <w:u w:val="single"/>
          <w:rtl/>
        </w:rPr>
        <w:t xml:space="preserve"> על כן נפסק לזיכוי</w:t>
      </w:r>
    </w:p>
    <w:p w14:paraId="6FEAF3E2" w14:textId="77777777" w:rsidR="00137DC6" w:rsidRPr="009969B4" w:rsidRDefault="00137DC6" w:rsidP="00B067FC">
      <w:pPr>
        <w:rPr>
          <w:sz w:val="28"/>
          <w:szCs w:val="28"/>
          <w:rtl/>
        </w:rPr>
      </w:pPr>
    </w:p>
    <w:p w14:paraId="239B0F21" w14:textId="77777777" w:rsidR="00137DC6" w:rsidRPr="008B53BB" w:rsidRDefault="00137DC6" w:rsidP="00B067FC">
      <w:pPr>
        <w:rPr>
          <w:b/>
          <w:bCs/>
          <w:sz w:val="32"/>
          <w:szCs w:val="32"/>
          <w:rtl/>
        </w:rPr>
      </w:pPr>
    </w:p>
    <w:p w14:paraId="5EEFBE3D" w14:textId="243D35D4" w:rsidR="008B53BB" w:rsidRDefault="008B53BB" w:rsidP="008B53BB">
      <w:pPr>
        <w:rPr>
          <w:b/>
          <w:bCs/>
          <w:sz w:val="32"/>
          <w:szCs w:val="32"/>
          <w:rtl/>
        </w:rPr>
      </w:pPr>
      <w:r w:rsidRPr="008B53BB">
        <w:rPr>
          <w:rFonts w:hint="cs"/>
          <w:b/>
          <w:bCs/>
          <w:sz w:val="32"/>
          <w:szCs w:val="32"/>
          <w:rtl/>
        </w:rPr>
        <w:t>אין תמרור איסור חניה מעל התמרור שמתיר חניה לדייר</w:t>
      </w:r>
      <w:r w:rsidR="005D6F01">
        <w:rPr>
          <w:rFonts w:hint="cs"/>
          <w:b/>
          <w:bCs/>
          <w:sz w:val="32"/>
          <w:szCs w:val="32"/>
          <w:rtl/>
        </w:rPr>
        <w:t xml:space="preserve">י </w:t>
      </w:r>
      <w:r w:rsidRPr="008B53BB">
        <w:rPr>
          <w:rFonts w:hint="cs"/>
          <w:b/>
          <w:bCs/>
          <w:sz w:val="32"/>
          <w:szCs w:val="32"/>
          <w:rtl/>
        </w:rPr>
        <w:t>הרחוב</w:t>
      </w:r>
      <w:r w:rsidR="005D6F01">
        <w:rPr>
          <w:rFonts w:hint="cs"/>
          <w:b/>
          <w:bCs/>
          <w:sz w:val="32"/>
          <w:szCs w:val="32"/>
          <w:rtl/>
        </w:rPr>
        <w:t>.</w:t>
      </w:r>
    </w:p>
    <w:p w14:paraId="158EEAAF" w14:textId="77777777" w:rsidR="00213F35" w:rsidRPr="00213F35" w:rsidRDefault="00213F35" w:rsidP="00213F35">
      <w:pPr>
        <w:rPr>
          <w:rFonts w:asciiTheme="minorBidi" w:hAnsiTheme="minorBidi"/>
          <w:i/>
          <w:iCs/>
          <w:sz w:val="32"/>
          <w:szCs w:val="32"/>
          <w:u w:val="single"/>
          <w:rtl/>
        </w:rPr>
      </w:pPr>
      <w:r w:rsidRPr="00213F35">
        <w:rPr>
          <w:rFonts w:asciiTheme="minorBidi" w:hAnsiTheme="minorBidi"/>
          <w:i/>
          <w:iCs/>
          <w:color w:val="000000"/>
          <w:sz w:val="32"/>
          <w:szCs w:val="32"/>
          <w:u w:val="single"/>
          <w:shd w:val="clear" w:color="auto" w:fill="FFFFFF"/>
          <w:rtl/>
        </w:rPr>
        <w:t>ח"נ </w:t>
      </w:r>
      <w:hyperlink r:id="rId4" w:tgtFrame="blank" w:history="1">
        <w:r w:rsidRPr="00213F35">
          <w:rPr>
            <w:rStyle w:val="Hyperlink"/>
            <w:rFonts w:asciiTheme="minorBidi" w:hAnsiTheme="minorBidi"/>
            <w:i/>
            <w:iCs/>
            <w:sz w:val="32"/>
            <w:szCs w:val="32"/>
            <w:shd w:val="clear" w:color="auto" w:fill="FFFFFF"/>
          </w:rPr>
          <w:t>47096-08-20 </w:t>
        </w:r>
      </w:hyperlink>
      <w:r w:rsidRPr="00213F35">
        <w:rPr>
          <w:rFonts w:asciiTheme="minorBidi" w:hAnsiTheme="minorBidi"/>
          <w:i/>
          <w:iCs/>
          <w:color w:val="000000"/>
          <w:sz w:val="32"/>
          <w:szCs w:val="32"/>
          <w:u w:val="single"/>
          <w:shd w:val="clear" w:color="auto" w:fill="FFFFFF"/>
        </w:rPr>
        <w:t> </w:t>
      </w:r>
      <w:r w:rsidRPr="00213F35">
        <w:rPr>
          <w:rFonts w:asciiTheme="minorBidi" w:hAnsiTheme="minorBidi"/>
          <w:i/>
          <w:iCs/>
          <w:color w:val="000000"/>
          <w:sz w:val="32"/>
          <w:szCs w:val="32"/>
          <w:u w:val="single"/>
          <w:shd w:val="clear" w:color="auto" w:fill="FFFFFF"/>
          <w:rtl/>
        </w:rPr>
        <w:t>עיריית קרית ביאליק נ' הובר</w:t>
      </w:r>
      <w:r w:rsidRPr="008B53BB">
        <w:rPr>
          <w:rFonts w:asciiTheme="minorBidi" w:eastAsia="Times New Roman" w:hAnsiTheme="minorBidi"/>
          <w:i/>
          <w:iCs/>
          <w:color w:val="000000"/>
          <w:sz w:val="32"/>
          <w:szCs w:val="32"/>
          <w:u w:val="single"/>
          <w:rtl/>
        </w:rPr>
        <w:br/>
        <w:t>כבוד השופטת סימי פלג קימלוב</w:t>
      </w:r>
    </w:p>
    <w:p w14:paraId="2E620B32" w14:textId="27DD1740" w:rsidR="008B53BB" w:rsidRDefault="008B53BB" w:rsidP="008B53BB">
      <w:pPr>
        <w:rPr>
          <w:rFonts w:ascii="David" w:hAnsi="David" w:cs="David"/>
          <w:sz w:val="32"/>
          <w:szCs w:val="32"/>
          <w:rtl/>
        </w:rPr>
      </w:pPr>
    </w:p>
    <w:p w14:paraId="3B717126" w14:textId="79AEEAF7" w:rsidR="008B53BB" w:rsidRPr="005D6F01" w:rsidRDefault="00213F35" w:rsidP="005D6F01">
      <w:pPr>
        <w:rPr>
          <w:rFonts w:asciiTheme="minorBidi" w:hAnsiTheme="minorBidi"/>
          <w:sz w:val="32"/>
          <w:szCs w:val="32"/>
          <w:rtl/>
        </w:rPr>
      </w:pPr>
      <w:r w:rsidRPr="00213F35">
        <w:rPr>
          <w:rFonts w:asciiTheme="minorBidi" w:hAnsiTheme="minorBidi"/>
          <w:sz w:val="32"/>
          <w:szCs w:val="32"/>
          <w:rtl/>
        </w:rPr>
        <w:lastRenderedPageBreak/>
        <w:t>המדובר הוא במקרה שהיה תמרור המורה על ח</w:t>
      </w:r>
      <w:r w:rsidR="005D6F01">
        <w:rPr>
          <w:rFonts w:asciiTheme="minorBidi" w:hAnsiTheme="minorBidi" w:hint="cs"/>
          <w:sz w:val="32"/>
          <w:szCs w:val="32"/>
          <w:rtl/>
        </w:rPr>
        <w:t>נייה</w:t>
      </w:r>
      <w:r w:rsidR="005D6F01" w:rsidRPr="005D6F01">
        <w:rPr>
          <w:rFonts w:asciiTheme="minorBidi" w:hAnsiTheme="minorBidi" w:hint="cs"/>
          <w:b/>
          <w:bCs/>
          <w:sz w:val="32"/>
          <w:szCs w:val="32"/>
          <w:u w:val="single"/>
        </w:rPr>
        <w:t>P</w:t>
      </w:r>
      <w:r w:rsidRPr="00213F35">
        <w:rPr>
          <w:rFonts w:asciiTheme="minorBidi" w:hAnsiTheme="minorBidi"/>
          <w:sz w:val="32"/>
          <w:szCs w:val="32"/>
        </w:rPr>
        <w:t xml:space="preserve">  </w:t>
      </w:r>
      <w:r w:rsidR="005D6F01">
        <w:rPr>
          <w:rFonts w:asciiTheme="minorBidi" w:hAnsiTheme="minorBidi" w:hint="cs"/>
          <w:sz w:val="32"/>
          <w:szCs w:val="32"/>
        </w:rPr>
        <w:t xml:space="preserve"> </w:t>
      </w:r>
      <w:r w:rsidRPr="00213F35">
        <w:rPr>
          <w:rFonts w:asciiTheme="minorBidi" w:hAnsiTheme="minorBidi"/>
          <w:sz w:val="32"/>
          <w:szCs w:val="32"/>
          <w:rtl/>
        </w:rPr>
        <w:t>ומתחתיו תמרור המחריג חניה</w:t>
      </w:r>
      <w:r w:rsidR="005D6F01">
        <w:rPr>
          <w:rFonts w:asciiTheme="minorBidi" w:hAnsiTheme="minorBidi" w:hint="cs"/>
          <w:sz w:val="32"/>
          <w:szCs w:val="32"/>
          <w:rtl/>
        </w:rPr>
        <w:t>'</w:t>
      </w:r>
      <w:r w:rsidRPr="00213F35">
        <w:rPr>
          <w:rFonts w:asciiTheme="minorBidi" w:hAnsiTheme="minorBidi"/>
          <w:sz w:val="32"/>
          <w:szCs w:val="32"/>
          <w:rtl/>
        </w:rPr>
        <w:t xml:space="preserve"> רק לדיירי הרחוב בשעות מסויימות</w:t>
      </w:r>
      <w:r w:rsidR="005D6F01">
        <w:rPr>
          <w:rFonts w:asciiTheme="minorBidi" w:hAnsiTheme="minorBidi" w:hint="cs"/>
          <w:sz w:val="32"/>
          <w:szCs w:val="32"/>
          <w:rtl/>
        </w:rPr>
        <w:t>.</w:t>
      </w:r>
    </w:p>
    <w:p w14:paraId="6DC35AF2" w14:textId="7A84EE19" w:rsidR="008B53BB" w:rsidRDefault="008B53BB" w:rsidP="008B53BB">
      <w:pPr>
        <w:spacing w:after="0" w:line="240" w:lineRule="auto"/>
        <w:rPr>
          <w:rFonts w:ascii="David" w:eastAsia="Times New Roman" w:hAnsi="David" w:cs="David"/>
          <w:color w:val="000000"/>
          <w:sz w:val="32"/>
          <w:szCs w:val="32"/>
          <w:rtl/>
        </w:rPr>
      </w:pPr>
    </w:p>
    <w:p w14:paraId="58AF1C68" w14:textId="536542C0" w:rsidR="008B53BB" w:rsidRPr="005D6F01" w:rsidRDefault="008B53BB" w:rsidP="008B53BB">
      <w:pPr>
        <w:spacing w:after="0" w:line="240" w:lineRule="auto"/>
        <w:rPr>
          <w:rFonts w:asciiTheme="minorBidi" w:eastAsia="Times New Roman" w:hAnsiTheme="minorBidi"/>
          <w:b/>
          <w:bCs/>
          <w:i/>
          <w:iCs/>
          <w:color w:val="000000"/>
          <w:sz w:val="32"/>
          <w:szCs w:val="32"/>
          <w:u w:val="single"/>
          <w:rtl/>
        </w:rPr>
      </w:pPr>
      <w:r w:rsidRPr="005D6F01">
        <w:rPr>
          <w:rFonts w:asciiTheme="minorBidi" w:eastAsia="Times New Roman" w:hAnsiTheme="minorBidi"/>
          <w:b/>
          <w:bCs/>
          <w:i/>
          <w:iCs/>
          <w:color w:val="000000"/>
          <w:sz w:val="32"/>
          <w:szCs w:val="32"/>
          <w:u w:val="single"/>
          <w:rtl/>
        </w:rPr>
        <w:t>הסיבה לזיכוי</w:t>
      </w:r>
    </w:p>
    <w:p w14:paraId="6EBEA2BA" w14:textId="2275B7C0" w:rsidR="008B53BB" w:rsidRDefault="008B53BB" w:rsidP="008B53BB">
      <w:pPr>
        <w:spacing w:after="0" w:line="240" w:lineRule="auto"/>
        <w:rPr>
          <w:rFonts w:ascii="David" w:eastAsia="Times New Roman" w:hAnsi="David" w:cs="David"/>
          <w:color w:val="000000"/>
          <w:sz w:val="32"/>
          <w:szCs w:val="32"/>
          <w:rtl/>
        </w:rPr>
      </w:pPr>
    </w:p>
    <w:p w14:paraId="19171619" w14:textId="304547BA" w:rsidR="008B53BB" w:rsidRPr="00213F35" w:rsidRDefault="008B53BB" w:rsidP="008B53BB">
      <w:pPr>
        <w:spacing w:after="0" w:line="240" w:lineRule="auto"/>
        <w:rPr>
          <w:rFonts w:asciiTheme="minorBidi" w:eastAsia="Times New Roman" w:hAnsiTheme="minorBidi"/>
          <w:color w:val="000000"/>
          <w:sz w:val="32"/>
          <w:szCs w:val="32"/>
        </w:rPr>
      </w:pPr>
      <w:r w:rsidRPr="00213F35">
        <w:rPr>
          <w:rFonts w:asciiTheme="minorBidi" w:hAnsiTheme="minorBidi"/>
          <w:color w:val="000000"/>
          <w:sz w:val="28"/>
          <w:szCs w:val="28"/>
          <w:shd w:val="clear" w:color="auto" w:fill="FFFFFF"/>
          <w:rtl/>
        </w:rPr>
        <w:t>כלל בסיס במשפט הפלילי הוא עקרון החוקיות המחייב איסור מפורש בהיר וברור . משכך, על תמרור המוצב בדרך ו/או סימון כלשהו האוסר על התנהגות מסוימת בדרך, להיות ברור במידה שאדם המבחין בו יפעל לפיו ולא יזדקק להתלבט בדבר משמעותו של הסימון  בגינו סומן או הוצב  ומה מטרתו. תמרורי דרך וסימוני הדרך נועדו להעביר מסר של הוראה חוקית בדרך פשוטה, בהירה</w:t>
      </w:r>
      <w:r w:rsidRPr="00213F35">
        <w:rPr>
          <w:rFonts w:asciiTheme="minorBidi" w:hAnsiTheme="minorBidi"/>
          <w:color w:val="000000"/>
          <w:shd w:val="clear" w:color="auto" w:fill="FFFFFF"/>
        </w:rPr>
        <w:t>,</w:t>
      </w:r>
    </w:p>
    <w:p w14:paraId="0951E291" w14:textId="39A1F943" w:rsidR="00213F35" w:rsidRPr="00213F35" w:rsidRDefault="00213F35" w:rsidP="00213F35">
      <w:pPr>
        <w:shd w:val="clear" w:color="auto" w:fill="FFFFFF"/>
        <w:spacing w:before="120" w:after="0" w:line="360" w:lineRule="atLeast"/>
        <w:jc w:val="both"/>
        <w:rPr>
          <w:rFonts w:asciiTheme="minorBidi" w:eastAsia="Times New Roman" w:hAnsiTheme="minorBidi"/>
          <w:color w:val="000000"/>
          <w:sz w:val="27"/>
          <w:szCs w:val="27"/>
          <w:rtl/>
        </w:rPr>
      </w:pPr>
      <w:r w:rsidRPr="00213F35">
        <w:rPr>
          <w:rFonts w:asciiTheme="minorBidi" w:eastAsia="Times New Roman" w:hAnsiTheme="minorBidi"/>
          <w:color w:val="000000"/>
          <w:sz w:val="27"/>
          <w:szCs w:val="27"/>
          <w:rtl/>
        </w:rPr>
        <w:t>על רק זה יש לקבל את האפשרות הפרשנית שהציג הנאשם, כי כאשר מוצב תמרור </w:t>
      </w:r>
      <w:r w:rsidRPr="00213F35">
        <w:rPr>
          <w:rFonts w:asciiTheme="minorBidi" w:eastAsia="Times New Roman" w:hAnsiTheme="minorBidi"/>
          <w:color w:val="000000"/>
          <w:sz w:val="27"/>
          <w:szCs w:val="27"/>
        </w:rPr>
        <w:t>P</w:t>
      </w:r>
      <w:r w:rsidRPr="00213F35">
        <w:rPr>
          <w:rFonts w:asciiTheme="minorBidi" w:eastAsia="Times New Roman" w:hAnsiTheme="minorBidi"/>
          <w:color w:val="000000"/>
          <w:sz w:val="27"/>
          <w:szCs w:val="27"/>
          <w:rtl/>
        </w:rPr>
        <w:t>, המאפשר חניה והמגביל לשעות מסוימות של היום בלבד את החניה לתושבי רחוב השומר, ניתן להבין כי המקום מותר בחניה משך כל שעות היום, והתמרור נועד לאפשר חניה ללא תשלום אגרה לשעות מסוימות בלבד. </w:t>
      </w:r>
      <w:r w:rsidRPr="00213F35">
        <w:rPr>
          <w:rFonts w:asciiTheme="minorBidi" w:eastAsia="Times New Roman" w:hAnsiTheme="minorBidi"/>
          <w:b/>
          <w:bCs/>
          <w:color w:val="000000"/>
          <w:sz w:val="27"/>
          <w:szCs w:val="27"/>
          <w:rtl/>
        </w:rPr>
        <w:t>כל זאת שעה שברחוב מקביל משתמשת העירייה בתמרור האוסר חניה למעט אלו המצוינים בשלט.</w:t>
      </w:r>
    </w:p>
    <w:p w14:paraId="256D92B8" w14:textId="77777777" w:rsidR="00213F35" w:rsidRPr="00213F35" w:rsidRDefault="00213F35" w:rsidP="00213F35">
      <w:pPr>
        <w:shd w:val="clear" w:color="auto" w:fill="FFFFFF"/>
        <w:spacing w:after="120" w:line="360" w:lineRule="atLeast"/>
        <w:jc w:val="both"/>
        <w:rPr>
          <w:rFonts w:asciiTheme="minorBidi" w:eastAsia="Times New Roman" w:hAnsiTheme="minorBidi"/>
          <w:color w:val="000000"/>
          <w:sz w:val="27"/>
          <w:szCs w:val="27"/>
          <w:rtl/>
        </w:rPr>
      </w:pPr>
      <w:r w:rsidRPr="00213F35">
        <w:rPr>
          <w:rFonts w:asciiTheme="minorBidi" w:eastAsia="Times New Roman" w:hAnsiTheme="minorBidi"/>
          <w:color w:val="000000"/>
          <w:sz w:val="27"/>
          <w:szCs w:val="27"/>
          <w:rtl/>
        </w:rPr>
        <w:t>פרשנותו של הנאשם היא פרשנות סבירה להוראות התמרורים, כפי שהוצבו בכניסה לרחוב. פרשנות זו, שהיא פועל יוצא מאי בהירות של צירוף התמרורים, פועלת לטובתו של הנאשם.</w:t>
      </w:r>
    </w:p>
    <w:p w14:paraId="00DC891B" w14:textId="694138C1" w:rsidR="00213F35" w:rsidRPr="00213F35" w:rsidRDefault="00213F35" w:rsidP="00213F35">
      <w:pPr>
        <w:shd w:val="clear" w:color="auto" w:fill="FFFFFF"/>
        <w:spacing w:before="120" w:after="0" w:line="360" w:lineRule="atLeast"/>
        <w:jc w:val="both"/>
        <w:rPr>
          <w:rFonts w:asciiTheme="minorBidi" w:eastAsia="Times New Roman" w:hAnsiTheme="minorBidi"/>
          <w:color w:val="000000"/>
          <w:sz w:val="28"/>
          <w:szCs w:val="28"/>
          <w:rtl/>
        </w:rPr>
      </w:pPr>
      <w:r w:rsidRPr="00213F35">
        <w:rPr>
          <w:rFonts w:asciiTheme="minorBidi" w:eastAsia="Times New Roman" w:hAnsiTheme="minorBidi"/>
          <w:color w:val="000000"/>
          <w:sz w:val="28"/>
          <w:szCs w:val="28"/>
          <w:rtl/>
        </w:rPr>
        <w:t>הכלל בהוראת חוק בעלת מאפיינים פלילים הוא שכאשר יש אי בהירות בלשון ההוראה יש לפרשה פרשנות המקלה עם הנאשם.</w:t>
      </w:r>
    </w:p>
    <w:p w14:paraId="062B32F0" w14:textId="77B993CF" w:rsidR="00213F35" w:rsidRPr="00213F35" w:rsidRDefault="00213F35" w:rsidP="00213F35">
      <w:pPr>
        <w:shd w:val="clear" w:color="auto" w:fill="FFFFFF"/>
        <w:spacing w:before="120" w:after="0" w:line="360" w:lineRule="atLeast"/>
        <w:jc w:val="both"/>
        <w:rPr>
          <w:rFonts w:asciiTheme="minorBidi" w:eastAsia="Times New Roman" w:hAnsiTheme="minorBidi"/>
          <w:color w:val="000000"/>
          <w:sz w:val="28"/>
          <w:szCs w:val="28"/>
          <w:rtl/>
        </w:rPr>
      </w:pPr>
      <w:r w:rsidRPr="00213F35">
        <w:rPr>
          <w:rFonts w:asciiTheme="minorBidi" w:hAnsiTheme="minorBidi" w:hint="cs"/>
          <w:color w:val="000000"/>
          <w:sz w:val="28"/>
          <w:szCs w:val="28"/>
          <w:shd w:val="clear" w:color="auto" w:fill="FFFFFF"/>
          <w:rtl/>
        </w:rPr>
        <w:t xml:space="preserve">במקרה שלנו הנאשם </w:t>
      </w:r>
      <w:r w:rsidRPr="00213F35">
        <w:rPr>
          <w:rFonts w:asciiTheme="minorBidi" w:hAnsiTheme="minorBidi"/>
          <w:color w:val="000000"/>
          <w:sz w:val="28"/>
          <w:szCs w:val="28"/>
          <w:shd w:val="clear" w:color="auto" w:fill="FFFFFF"/>
          <w:rtl/>
        </w:rPr>
        <w:t>הרים את הנטל המוטל עליו להוכיח כי הדו"ח שניתן לו הוא פגום, ולכל הפחות משקיימות מספר פרשנויות, הפרשנות שנותן הנאשם להוראות התמרורים המחוברים היא  פרשנות סבירה ולכן יש לזכות את הנאשם מהאישום המיוחס לו בכתב האישום וכך אני מורה</w:t>
      </w:r>
      <w:r w:rsidRPr="00213F35">
        <w:rPr>
          <w:rFonts w:asciiTheme="minorBidi" w:hAnsiTheme="minorBidi"/>
          <w:color w:val="000000"/>
          <w:sz w:val="28"/>
          <w:szCs w:val="28"/>
          <w:shd w:val="clear" w:color="auto" w:fill="FFFFFF"/>
        </w:rPr>
        <w:t>.</w:t>
      </w:r>
    </w:p>
    <w:p w14:paraId="63852497" w14:textId="77777777" w:rsidR="008B53BB" w:rsidRPr="00213F35" w:rsidRDefault="008B53BB" w:rsidP="00F942AD">
      <w:pPr>
        <w:rPr>
          <w:rFonts w:asciiTheme="minorBidi" w:hAnsiTheme="minorBidi"/>
          <w:sz w:val="32"/>
          <w:szCs w:val="32"/>
          <w:rtl/>
        </w:rPr>
      </w:pPr>
    </w:p>
    <w:p w14:paraId="02AC9F95" w14:textId="3372D41F" w:rsidR="008B53BB" w:rsidRPr="00213F35" w:rsidRDefault="008B53BB" w:rsidP="00F942AD">
      <w:pPr>
        <w:rPr>
          <w:rFonts w:asciiTheme="minorBidi" w:hAnsiTheme="minorBidi"/>
          <w:rtl/>
        </w:rPr>
      </w:pPr>
    </w:p>
    <w:p w14:paraId="57407D8F" w14:textId="69B0406E" w:rsidR="008B53BB" w:rsidRPr="00213F35" w:rsidRDefault="008B53BB" w:rsidP="00F942AD">
      <w:pPr>
        <w:rPr>
          <w:rFonts w:asciiTheme="minorBidi" w:hAnsiTheme="minorBidi"/>
        </w:rPr>
      </w:pPr>
    </w:p>
    <w:sectPr w:rsidR="008B53BB" w:rsidRPr="00213F35"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7FC"/>
    <w:rsid w:val="00137DC6"/>
    <w:rsid w:val="00187226"/>
    <w:rsid w:val="00213F35"/>
    <w:rsid w:val="00583E76"/>
    <w:rsid w:val="005D6F01"/>
    <w:rsid w:val="008B53BB"/>
    <w:rsid w:val="009969B4"/>
    <w:rsid w:val="00B067FC"/>
    <w:rsid w:val="00CD4688"/>
    <w:rsid w:val="00F65ABC"/>
    <w:rsid w:val="00F94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7A2A"/>
  <w15:chartTrackingRefBased/>
  <w15:docId w15:val="{E7393F19-4017-46DF-B72D-D612D046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F3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8B5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11">
      <w:bodyDiv w:val="1"/>
      <w:marLeft w:val="0"/>
      <w:marRight w:val="0"/>
      <w:marTop w:val="0"/>
      <w:marBottom w:val="0"/>
      <w:divBdr>
        <w:top w:val="none" w:sz="0" w:space="0" w:color="auto"/>
        <w:left w:val="none" w:sz="0" w:space="0" w:color="auto"/>
        <w:bottom w:val="none" w:sz="0" w:space="0" w:color="auto"/>
        <w:right w:val="none" w:sz="0" w:space="0" w:color="auto"/>
      </w:divBdr>
    </w:div>
    <w:div w:id="1551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zproxy.ono.ac.il:2141/case/2694452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388</Words>
  <Characters>1941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9</cp:revision>
  <dcterms:created xsi:type="dcterms:W3CDTF">2020-07-25T22:15:00Z</dcterms:created>
  <dcterms:modified xsi:type="dcterms:W3CDTF">2023-02-26T02:33:00Z</dcterms:modified>
</cp:coreProperties>
</file>