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eahdsg22u67" w:id="0"/>
      <w:bookmarkEnd w:id="0"/>
      <w:r w:rsidDel="00000000" w:rsidR="00000000" w:rsidRPr="00000000">
        <w:rPr>
          <w:rtl w:val="0"/>
        </w:rPr>
        <w:t xml:space="preserve">German Signs &amp; Punctuations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Hable One manual for German Signs &amp; Punctuations arranged alphabetically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Almost Equal ≈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26+26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Apostrophe 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Asterisk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5+236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Backslash     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4+34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Capital Letter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Capital Passage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45+45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Capital Word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Caret ^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Closing Square Bracket     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23456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Colon      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Equals Sign      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2356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Forward Slash      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1256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Greater_than_sign       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135+2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Less_than_sign       &lt;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246+3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Math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Minus Sign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4+36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Multiplication Dot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Multiplication Sign      ×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 Equal ≠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35+2356</w:t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Number Mode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3456</w:t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Opening Parenthesis     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Opening Square Bracket     [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12356</w:t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Plus Minus Sign      ±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235+36</w:t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Plus Sign      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Tilde       ~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Vertical Pipe   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4+123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