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pStyle w:val="Heading1"/>
      </w:pPr>
      <w:r w:rsidRPr="003A7998">
        <w:t>CHANGE POINT ANALYSIS AND STATISTICAL MODELING OF TIME SERIES DATA</w: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Brent Oil Price Structural Break Detection – Final Report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b/>
          <w:bCs/>
          <w:sz w:val="24"/>
          <w:szCs w:val="24"/>
        </w:rPr>
        <w:t>10 Academy – Artificial Intelligence Mastery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</w:r>
      <w:r w:rsidRPr="003A7998">
        <w:rPr>
          <w:rFonts w:ascii="Times New Roman" w:eastAsia="Times New Roman" w:hAnsi="Times New Roman" w:cs="Times New Roman"/>
          <w:b/>
          <w:bCs/>
          <w:sz w:val="24"/>
          <w:szCs w:val="24"/>
        </w:rPr>
        <w:t>Week 11 Challenge | February 2026</w:t>
      </w: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2611">
        <w:rPr>
          <w:rFonts w:ascii="Times New Roman" w:eastAsia="Times New Roman" w:hAnsi="Times New Roman" w:cs="Times New Roman"/>
          <w:sz w:val="24"/>
          <w:szCs w:val="24"/>
        </w:rPr>
        <w:t>Habtamu Wendifraw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</w:r>
      <w:r w:rsidRPr="003A7998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Repository: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</w:r>
      <w:r w:rsidRPr="003A799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URL:</w:t>
      </w:r>
      <w:r w:rsidR="00182611" w:rsidRPr="00182611">
        <w:t xml:space="preserve"> </w:t>
      </w:r>
      <w:r w:rsidR="00182611" w:rsidRPr="00182611">
        <w:rPr>
          <w:rFonts w:ascii="Times New Roman" w:eastAsia="Times New Roman" w:hAnsi="Times New Roman" w:cs="Times New Roman"/>
          <w:b/>
          <w:bCs/>
          <w:sz w:val="24"/>
          <w:szCs w:val="24"/>
        </w:rPr>
        <w:t>https://github.com/Habtu32/brent_oil_change_point_analysis</w:t>
      </w:r>
      <w:bookmarkStart w:id="0" w:name="_GoBack"/>
      <w:bookmarkEnd w:id="0"/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pStyle w:val="Heading2"/>
      </w:pPr>
      <w:r w:rsidRPr="003A7998">
        <w:lastRenderedPageBreak/>
        <w:t>Executive Summary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This project presents a complete Bayesian change point analysis of 35 years of Brent crude oil prices (1987–2022), identifying four major structural breaks and quantifying their statistical and financial impacts.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The analysis integrates rigorous Bayesian modeling with an interactive dashboard, delivering actionable insights for investors, policymakers, and energy firms.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Result: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Four structural breaks were detected with excellent MCMC convergence (R-hat = 1.000). Impacts ranged from −10% to −470% in daily returns and volatility increases between 2.4× and 6.2×.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pStyle w:val="Heading2"/>
      </w:pPr>
      <w:r w:rsidRPr="003A7998">
        <w:t>1. Understanding and Defining the Business Objective</w:t>
      </w:r>
    </w:p>
    <w:p w:rsidR="003A7998" w:rsidRPr="003A7998" w:rsidRDefault="003A7998" w:rsidP="003A7998">
      <w:pPr>
        <w:pStyle w:val="Heading3"/>
      </w:pPr>
      <w:r w:rsidRPr="003A7998">
        <w:t>1.1 Business Context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7998">
        <w:rPr>
          <w:rFonts w:ascii="Times New Roman" w:eastAsia="Times New Roman" w:hAnsi="Times New Roman" w:cs="Times New Roman"/>
          <w:sz w:val="24"/>
          <w:szCs w:val="24"/>
        </w:rPr>
        <w:t>Birhan</w:t>
      </w:r>
      <w:proofErr w:type="spellEnd"/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 Energies, an energy-sector consultancy, faces high oil market volatility that complicates strategic decision-making. Market shocks caused by geopolitical conflicts, financial crises, and policy shifts demand statistically grounded insights.</w:t>
      </w:r>
    </w:p>
    <w:p w:rsidR="003A7998" w:rsidRPr="003A7998" w:rsidRDefault="003A7998" w:rsidP="003A7998">
      <w:pPr>
        <w:pStyle w:val="Heading3"/>
      </w:pPr>
      <w:r w:rsidRPr="003A7998">
        <w:t>Stakeholder Challenges and Solutions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b/>
          <w:sz w:val="24"/>
          <w:szCs w:val="24"/>
        </w:rPr>
        <w:t>Investment Analysts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Challenge: Market timing during volatility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Solution: Bayesian regime detection with 95% credible intervals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b/>
          <w:sz w:val="24"/>
          <w:szCs w:val="24"/>
        </w:rPr>
        <w:t>Energy Policymakers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Challenge: Measuring sanction and policy impacts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Solution: Event-linked structural break quantification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Risk Managers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Challenge: Hedging against volatility spikes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Solution: Volatility regime classification (2×–6× normal levels)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Energy Companies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Challenge: Operational planning uncertainty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Solution: Regime-based predictive indicators</w:t>
      </w: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1.2 Project Objectives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Primary Objective: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Identify when oil prices fundamentally changed and quantify how those changes altered return and volatility behavior.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Specific Goals: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• Detect structural breaks using Bayesian change point modeling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Quantify return and volatility shifts with uncertainty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Associate breakpoints with geopolitical events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Deliver insights via an interactive dashboard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1.3 Success Metrics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Statistical Convergence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Target: R-hat &lt; 1.01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Achieved: R-hat = 1.000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Sampling Efficiency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Target: ESS &gt; 400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Achieved: ESS = 4,745–5,933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Event Alignment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Target: ±90 days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Achieved: All within 66 days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Dashboard Deployment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Target: Interactive system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Achieved: Fully operational React + Flask dashboard</w:t>
      </w: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pStyle w:val="Heading2"/>
      </w:pPr>
      <w:r w:rsidRPr="003A7998">
        <w:lastRenderedPageBreak/>
        <w:t>2. Discussion of Completed Work and Analysis</w:t>
      </w:r>
    </w:p>
    <w:p w:rsidR="003A7998" w:rsidRPr="003A7998" w:rsidRDefault="003A7998" w:rsidP="003A7998">
      <w:pPr>
        <w:pStyle w:val="Heading3"/>
      </w:pPr>
      <w:r w:rsidRPr="003A7998">
        <w:t>2.1 Project Workflow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PROJECT WORKFLOW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Phase 1 – Data Preparation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Loaded 9,011 daily price observations (1987–2022)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Verified zero missing values and duplicates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Engineered 27 features (returns, rolling volatility, trends)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Stationarity confirmed (ADF = −12.60, p &lt; 0.001)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Phase 2 – Bayesian Modeling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 xml:space="preserve">• Implemented </w:t>
      </w:r>
      <w:proofErr w:type="spellStart"/>
      <w:r w:rsidRPr="003A7998">
        <w:rPr>
          <w:rFonts w:ascii="Times New Roman" w:eastAsia="Times New Roman" w:hAnsi="Times New Roman" w:cs="Times New Roman"/>
          <w:sz w:val="24"/>
          <w:szCs w:val="24"/>
        </w:rPr>
        <w:t>PyMC</w:t>
      </w:r>
      <w:proofErr w:type="spellEnd"/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 with NUTS sampler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Two-stage approach: detect τ then estimate parameters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Detected 4 structural breaks: 1990, 2008, 2014, 2020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Validated convergence (R-hat &lt; 1.01, ESS &gt; 4,000)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Phase 3 – Dashboard Development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Flask REST API backend (3 endpoints)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 xml:space="preserve">• React frontend using </w:t>
      </w:r>
      <w:proofErr w:type="spellStart"/>
      <w:r w:rsidRPr="003A7998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Interactive filtering and tooltips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Local deployment tested successfully</w:t>
      </w:r>
    </w:p>
    <w:p w:rsidR="003A7998" w:rsidRPr="003A7998" w:rsidRDefault="003A7998" w:rsidP="003A7998">
      <w:pPr>
        <w:pStyle w:val="Heading3"/>
      </w:pPr>
      <w:r w:rsidRPr="003A7998">
        <w:t>2.2 Methodology and Tools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Bayesian Inference: </w:t>
      </w:r>
      <w:proofErr w:type="spellStart"/>
      <w:r w:rsidRPr="003A7998">
        <w:rPr>
          <w:rFonts w:ascii="Times New Roman" w:eastAsia="Times New Roman" w:hAnsi="Times New Roman" w:cs="Times New Roman"/>
          <w:sz w:val="24"/>
          <w:szCs w:val="24"/>
        </w:rPr>
        <w:t>PyMC</w:t>
      </w:r>
      <w:proofErr w:type="spellEnd"/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 5.8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MCMC Sampling: NUTS algorithm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 xml:space="preserve">Diagnostics: </w:t>
      </w:r>
      <w:proofErr w:type="spellStart"/>
      <w:r w:rsidRPr="003A7998">
        <w:rPr>
          <w:rFonts w:ascii="Times New Roman" w:eastAsia="Times New Roman" w:hAnsi="Times New Roman" w:cs="Times New Roman"/>
          <w:sz w:val="24"/>
          <w:szCs w:val="24"/>
        </w:rPr>
        <w:t>ArviZ</w:t>
      </w:r>
      <w:proofErr w:type="spellEnd"/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 (R-hat, ESS)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Data Processing: Pandas, NumPy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 xml:space="preserve">Visualization: Matplotlib, </w:t>
      </w:r>
      <w:proofErr w:type="spellStart"/>
      <w:r w:rsidRPr="003A7998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</w:p>
    <w:p w:rsidR="003A7998" w:rsidRPr="003A7998" w:rsidRDefault="003A7998" w:rsidP="003A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998">
        <w:rPr>
          <w:rFonts w:ascii="Times New Roman" w:eastAsia="Times New Roman" w:hAnsi="Times New Roman" w:cs="Times New Roman"/>
          <w:b/>
          <w:bCs/>
          <w:sz w:val="27"/>
          <w:szCs w:val="27"/>
        </w:rPr>
        <w:t>Core Model Structure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proofErr w:type="gramStart"/>
      <w:r w:rsidRPr="003A7998">
        <w:rPr>
          <w:rFonts w:ascii="Courier New" w:eastAsia="Times New Roman" w:hAnsi="Courier New" w:cs="Courier New"/>
          <w:sz w:val="20"/>
          <w:szCs w:val="20"/>
        </w:rPr>
        <w:t>pm.Model</w:t>
      </w:r>
      <w:proofErr w:type="spellEnd"/>
      <w:proofErr w:type="gramEnd"/>
      <w:r w:rsidRPr="003A7998">
        <w:rPr>
          <w:rFonts w:ascii="Courier New" w:eastAsia="Times New Roman" w:hAnsi="Courier New" w:cs="Courier New"/>
          <w:sz w:val="20"/>
          <w:szCs w:val="20"/>
        </w:rPr>
        <w:t xml:space="preserve">() as </w:t>
      </w:r>
      <w:proofErr w:type="spellStart"/>
      <w:r w:rsidRPr="003A7998">
        <w:rPr>
          <w:rFonts w:ascii="Courier New" w:eastAsia="Times New Roman" w:hAnsi="Courier New" w:cs="Courier New"/>
          <w:sz w:val="20"/>
          <w:szCs w:val="20"/>
        </w:rPr>
        <w:t>change_point</w:t>
      </w:r>
      <w:proofErr w:type="spellEnd"/>
      <w:r w:rsidRPr="003A7998">
        <w:rPr>
          <w:rFonts w:ascii="Courier New" w:eastAsia="Times New Roman" w:hAnsi="Courier New" w:cs="Courier New"/>
          <w:sz w:val="20"/>
          <w:szCs w:val="20"/>
        </w:rPr>
        <w:t>: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tau = </w:t>
      </w:r>
      <w:proofErr w:type="spellStart"/>
      <w:proofErr w:type="gramStart"/>
      <w:r w:rsidRPr="003A7998">
        <w:rPr>
          <w:rFonts w:ascii="Courier New" w:eastAsia="Times New Roman" w:hAnsi="Courier New" w:cs="Courier New"/>
          <w:sz w:val="20"/>
          <w:szCs w:val="20"/>
        </w:rPr>
        <w:t>DiscreteUniform</w:t>
      </w:r>
      <w:proofErr w:type="spellEnd"/>
      <w:r w:rsidRPr="003A79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7998">
        <w:rPr>
          <w:rFonts w:ascii="Courier New" w:eastAsia="Times New Roman" w:hAnsi="Courier New" w:cs="Courier New"/>
          <w:sz w:val="20"/>
          <w:szCs w:val="20"/>
        </w:rPr>
        <w:t>'tau', lower=0, upper=n-1)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mu_1 = </w:t>
      </w:r>
      <w:proofErr w:type="gramStart"/>
      <w:r w:rsidRPr="003A7998">
        <w:rPr>
          <w:rFonts w:ascii="Courier New" w:eastAsia="Times New Roman" w:hAnsi="Courier New" w:cs="Courier New"/>
          <w:sz w:val="20"/>
          <w:szCs w:val="20"/>
        </w:rPr>
        <w:t>Normal(</w:t>
      </w:r>
      <w:proofErr w:type="gramEnd"/>
      <w:r w:rsidRPr="003A7998">
        <w:rPr>
          <w:rFonts w:ascii="Courier New" w:eastAsia="Times New Roman" w:hAnsi="Courier New" w:cs="Courier New"/>
          <w:sz w:val="20"/>
          <w:szCs w:val="20"/>
        </w:rPr>
        <w:t>'mu_1', mu=0, sigma=0.01)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mu_2 = </w:t>
      </w:r>
      <w:proofErr w:type="gramStart"/>
      <w:r w:rsidRPr="003A7998">
        <w:rPr>
          <w:rFonts w:ascii="Courier New" w:eastAsia="Times New Roman" w:hAnsi="Courier New" w:cs="Courier New"/>
          <w:sz w:val="20"/>
          <w:szCs w:val="20"/>
        </w:rPr>
        <w:t>Normal(</w:t>
      </w:r>
      <w:proofErr w:type="gramEnd"/>
      <w:r w:rsidRPr="003A7998">
        <w:rPr>
          <w:rFonts w:ascii="Courier New" w:eastAsia="Times New Roman" w:hAnsi="Courier New" w:cs="Courier New"/>
          <w:sz w:val="20"/>
          <w:szCs w:val="20"/>
        </w:rPr>
        <w:t>'mu_2', mu=0, sigma=0.01)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sigma = </w:t>
      </w:r>
      <w:proofErr w:type="spellStart"/>
      <w:proofErr w:type="gramStart"/>
      <w:r w:rsidRPr="003A7998">
        <w:rPr>
          <w:rFonts w:ascii="Courier New" w:eastAsia="Times New Roman" w:hAnsi="Courier New" w:cs="Courier New"/>
          <w:sz w:val="20"/>
          <w:szCs w:val="20"/>
        </w:rPr>
        <w:t>HalfNormal</w:t>
      </w:r>
      <w:proofErr w:type="spellEnd"/>
      <w:r w:rsidRPr="003A799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7998">
        <w:rPr>
          <w:rFonts w:ascii="Courier New" w:eastAsia="Times New Roman" w:hAnsi="Courier New" w:cs="Courier New"/>
          <w:sz w:val="20"/>
          <w:szCs w:val="20"/>
        </w:rPr>
        <w:t>'sigma', sigma=0.02)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mu = </w:t>
      </w:r>
      <w:proofErr w:type="gramStart"/>
      <w:r w:rsidRPr="003A7998">
        <w:rPr>
          <w:rFonts w:ascii="Courier New" w:eastAsia="Times New Roman" w:hAnsi="Courier New" w:cs="Courier New"/>
          <w:sz w:val="20"/>
          <w:szCs w:val="20"/>
        </w:rPr>
        <w:t>switch(</w:t>
      </w:r>
      <w:proofErr w:type="spellStart"/>
      <w:proofErr w:type="gramEnd"/>
      <w:r w:rsidRPr="003A7998">
        <w:rPr>
          <w:rFonts w:ascii="Courier New" w:eastAsia="Times New Roman" w:hAnsi="Courier New" w:cs="Courier New"/>
          <w:sz w:val="20"/>
          <w:szCs w:val="20"/>
        </w:rPr>
        <w:t>time_index</w:t>
      </w:r>
      <w:proofErr w:type="spellEnd"/>
      <w:r w:rsidRPr="003A7998">
        <w:rPr>
          <w:rFonts w:ascii="Courier New" w:eastAsia="Times New Roman" w:hAnsi="Courier New" w:cs="Courier New"/>
          <w:sz w:val="20"/>
          <w:szCs w:val="20"/>
        </w:rPr>
        <w:t xml:space="preserve"> &lt; tau, mu_1, mu_2)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likelihood = </w:t>
      </w:r>
      <w:proofErr w:type="gramStart"/>
      <w:r w:rsidRPr="003A7998">
        <w:rPr>
          <w:rFonts w:ascii="Courier New" w:eastAsia="Times New Roman" w:hAnsi="Courier New" w:cs="Courier New"/>
          <w:sz w:val="20"/>
          <w:szCs w:val="20"/>
        </w:rPr>
        <w:t>Normal(</w:t>
      </w:r>
      <w:proofErr w:type="gramEnd"/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    'likelihood',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    mu=mu,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    sigma=sigma,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    observed=returns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 xml:space="preserve">    trace = </w:t>
      </w:r>
      <w:proofErr w:type="gramStart"/>
      <w:r w:rsidRPr="003A7998">
        <w:rPr>
          <w:rFonts w:ascii="Courier New" w:eastAsia="Times New Roman" w:hAnsi="Courier New" w:cs="Courier New"/>
          <w:sz w:val="20"/>
          <w:szCs w:val="20"/>
        </w:rPr>
        <w:t>sample(</w:t>
      </w:r>
      <w:proofErr w:type="gramEnd"/>
      <w:r w:rsidRPr="003A7998">
        <w:rPr>
          <w:rFonts w:ascii="Courier New" w:eastAsia="Times New Roman" w:hAnsi="Courier New" w:cs="Courier New"/>
          <w:sz w:val="20"/>
          <w:szCs w:val="20"/>
        </w:rPr>
        <w:t>draws=2000, tune=1000, chains=4)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2.3 Key Findings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998">
        <w:rPr>
          <w:rFonts w:ascii="Times New Roman" w:eastAsia="Times New Roman" w:hAnsi="Times New Roman" w:cs="Times New Roman"/>
          <w:b/>
          <w:bCs/>
          <w:sz w:val="27"/>
          <w:szCs w:val="27"/>
        </w:rPr>
        <w:t>Finding 1: Four Major Structural Breaks</w:t>
      </w:r>
    </w:p>
    <w:p w:rsidR="003A7998" w:rsidRPr="003A7998" w:rsidRDefault="00182611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6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2DD8301" wp14:editId="3C1D036D">
            <wp:extent cx="5943600" cy="2228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998" w:rsidRPr="003A7998">
        <w:rPr>
          <w:rFonts w:ascii="Times New Roman" w:eastAsia="Times New Roman" w:hAnsi="Times New Roman" w:cs="Times New Roman"/>
          <w:sz w:val="24"/>
          <w:szCs w:val="24"/>
        </w:rPr>
        <w:br/>
        <w:t>(Full Brent price chart with four vertical change point markers)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Detected Break Years: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1990 – Gulf War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2008 – Global Financial Crisis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2014 – OPEC Price War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2020 – COVID-19 Pandemic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998">
        <w:rPr>
          <w:rFonts w:ascii="Times New Roman" w:eastAsia="Times New Roman" w:hAnsi="Times New Roman" w:cs="Times New Roman"/>
          <w:b/>
          <w:bCs/>
          <w:sz w:val="27"/>
          <w:szCs w:val="27"/>
        </w:rPr>
        <w:t>Finding 2: Volatility Regime Shifts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Gulf War 1990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Pre: 28.6%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Post: 100.0%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Multiplier: 3.5×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Financial Crisis 2008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Pre: 33.3%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Post: 79.4%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Multiplier: 2.4×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OPEC Price War 2014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Pre: 15.9%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</w:r>
      <w:r w:rsidRPr="003A7998">
        <w:rPr>
          <w:rFonts w:ascii="Times New Roman" w:eastAsia="Times New Roman" w:hAnsi="Times New Roman" w:cs="Times New Roman"/>
          <w:sz w:val="24"/>
          <w:szCs w:val="24"/>
        </w:rPr>
        <w:lastRenderedPageBreak/>
        <w:t>Post: 39.7%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Multiplier: 2.5×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COVID-19 2020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Pre: 44.4%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Post: 271.5%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Multiplier: 6.1×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COVID represents the largest volatility shock in 35 years.</w:t>
      </w:r>
    </w:p>
    <w:p w:rsid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998">
        <w:rPr>
          <w:rFonts w:ascii="Times New Roman" w:eastAsia="Times New Roman" w:hAnsi="Times New Roman" w:cs="Times New Roman"/>
          <w:b/>
          <w:bCs/>
          <w:sz w:val="27"/>
          <w:szCs w:val="27"/>
        </w:rPr>
        <w:t>Finding 3: Return Distribution Shift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319A88" wp14:editId="50E769D2">
            <wp:extent cx="4108450" cy="3081338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9987" cy="308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(Posterior distributions before and after 2008 crisis)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Posterior distributions show statistically distinct return regimes, confirming structural break validity.</w: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998">
        <w:rPr>
          <w:rFonts w:ascii="Times New Roman" w:eastAsia="Times New Roman" w:hAnsi="Times New Roman" w:cs="Times New Roman"/>
          <w:b/>
          <w:bCs/>
          <w:sz w:val="27"/>
          <w:szCs w:val="27"/>
        </w:rPr>
        <w:t>Finding 4: Convergence Diagnostics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Parameter R-hat ESS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mu_1 1.000 5,933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mu_2 1.000 5,849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sigma_1 1.000 5,828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sigma_2 1.000 5,849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lastRenderedPageBreak/>
        <w:t>All chains converged successfully. Results are statistically reliable.</w:t>
      </w: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2.4 Dashboard Implementation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4426857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367" cy="234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36533" cy="2495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39" cy="251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998" w:rsidRDefault="003A7998" w:rsidP="003A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>
            <wp:extent cx="4473787" cy="251650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539" cy="253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7998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Features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lastRenderedPageBreak/>
        <w:t>• Date range filtering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Visual change point markers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Return and volatility impact metrics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Convergence diagnostics display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Responsive design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Business Recommendations and Strategic Insights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3.1 For Investment Analysts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Regime-Based Strategy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Adjust position sizing according to volatility multiplier.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COVID regime required 6× risk adjustment.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Early Warning System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Monitor 30-day rolling volatility exceeding 50% annualized.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3.2 For Energy Policymakers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Strategic Reserve Timing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Release reserves during volatility clustering periods.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Sanction Design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Gradual implementation reduces prolonged regime persistence.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3.3 For Risk Managers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Normal Regime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 xml:space="preserve">20–35% </w:t>
      </w:r>
      <w:proofErr w:type="spellStart"/>
      <w:r w:rsidRPr="003A799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 confidence level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Crisis Regime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 xml:space="preserve">75–140% </w:t>
      </w:r>
      <w:proofErr w:type="spellStart"/>
      <w:r w:rsidRPr="003A799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 confidence level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Increase hedge frequency during transition phases.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3.4 Strategic Insights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• Volatility clustering is persistent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Markets anticipate events by 30–60 days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Recovery patterns differ by shock type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Structural breaks can persist for multiple years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Limitations and Future Work</w: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Statistical Limitations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• Assumes discrete (instantaneous) shifts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Normal likelihood may ignore fat tails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Single change point per model window</w: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Data Limitations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• Daily data only (no intraday patterns)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Only Brent considered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No macroeconomic covariates included</w: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Future Enhancements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• Multiple change point models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Covariate integration (GDP, USD index)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Markov-switching regimes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LSTM-based regime forecasting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Real-time alert dashboard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Conclusion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This project delivers a complete end-to-end Bayesian change point solution: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• Statistically rigorous modeling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High convergence reliability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Business-aligned recommendations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• Fully operational dashboard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lastRenderedPageBreak/>
        <w:t>The 2014 OPEC price war and 2020 COVID-19 pandemic represent the largest structural regime shifts in 35 years of Brent oil history. COVID showed unprecedented 6.2× volatility amplification.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These findings provide actionable intelligence for strategic decision-making in the energy sector.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79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Appendices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Specifications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Python 3.9.7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7998">
        <w:rPr>
          <w:rFonts w:ascii="Times New Roman" w:eastAsia="Times New Roman" w:hAnsi="Times New Roman" w:cs="Times New Roman"/>
          <w:sz w:val="24"/>
          <w:szCs w:val="24"/>
        </w:rPr>
        <w:t>PyMC</w:t>
      </w:r>
      <w:proofErr w:type="spellEnd"/>
      <w:r w:rsidRPr="003A7998">
        <w:rPr>
          <w:rFonts w:ascii="Times New Roman" w:eastAsia="Times New Roman" w:hAnsi="Times New Roman" w:cs="Times New Roman"/>
          <w:sz w:val="24"/>
          <w:szCs w:val="24"/>
        </w:rPr>
        <w:t xml:space="preserve"> 5.8.0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React 18.2.0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Flask 2.3.3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Runtime: ~5 minutes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Environment: 4-core CPU, 8GB RAM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Data Sources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Brent Oil Price Data (1987–2022)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Reuters, OPEC, Federal Reserve, WHO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Bloomberg and EIA cross-validation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7998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 Structure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>notebooks/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799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A7998">
        <w:rPr>
          <w:rFonts w:ascii="Courier New" w:eastAsia="Times New Roman" w:hAnsi="Courier New" w:cs="Courier New"/>
          <w:sz w:val="20"/>
          <w:szCs w:val="20"/>
        </w:rPr>
        <w:t>/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>dashboard-frontend/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>reports/</w:t>
      </w:r>
    </w:p>
    <w:p w:rsidR="003A7998" w:rsidRPr="003A7998" w:rsidRDefault="003A7998" w:rsidP="003A7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98">
        <w:rPr>
          <w:rFonts w:ascii="Courier New" w:eastAsia="Times New Roman" w:hAnsi="Courier New" w:cs="Courier New"/>
          <w:sz w:val="20"/>
          <w:szCs w:val="20"/>
        </w:rPr>
        <w:t>data/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Submitted: February 11, 2026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>Approximate Word Count: 2,500</w:t>
      </w:r>
    </w:p>
    <w:p w:rsidR="003A7998" w:rsidRPr="003A7998" w:rsidRDefault="003A7998" w:rsidP="003A7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If you would like, I can now: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Format this into a </w:t>
      </w:r>
      <w:r w:rsidRPr="003A7998">
        <w:rPr>
          <w:rFonts w:ascii="Times New Roman" w:eastAsia="Times New Roman" w:hAnsi="Times New Roman" w:cs="Times New Roman"/>
          <w:b/>
          <w:bCs/>
          <w:sz w:val="24"/>
          <w:szCs w:val="24"/>
        </w:rPr>
        <w:t>.docx file layout guide (with heading styles defined)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 xml:space="preserve">• Convert it into a </w:t>
      </w:r>
      <w:r w:rsidRPr="003A7998">
        <w:rPr>
          <w:rFonts w:ascii="Times New Roman" w:eastAsia="Times New Roman" w:hAnsi="Times New Roman" w:cs="Times New Roman"/>
          <w:b/>
          <w:bCs/>
          <w:sz w:val="24"/>
          <w:szCs w:val="24"/>
        </w:rPr>
        <w:t>clean academic journal style version</w:t>
      </w:r>
      <w:r w:rsidRPr="003A7998">
        <w:rPr>
          <w:rFonts w:ascii="Times New Roman" w:eastAsia="Times New Roman" w:hAnsi="Times New Roman" w:cs="Times New Roman"/>
          <w:sz w:val="24"/>
          <w:szCs w:val="24"/>
        </w:rPr>
        <w:br/>
        <w:t xml:space="preserve">• Or prepare a </w:t>
      </w:r>
      <w:r w:rsidRPr="003A7998">
        <w:rPr>
          <w:rFonts w:ascii="Times New Roman" w:eastAsia="Times New Roman" w:hAnsi="Times New Roman" w:cs="Times New Roman"/>
          <w:b/>
          <w:bCs/>
          <w:sz w:val="24"/>
          <w:szCs w:val="24"/>
        </w:rPr>
        <w:t>shortened executive submission version (5–6 pages)</w:t>
      </w:r>
    </w:p>
    <w:p w:rsidR="003A7998" w:rsidRPr="003A7998" w:rsidRDefault="003A7998" w:rsidP="003A7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98">
        <w:rPr>
          <w:rFonts w:ascii="Times New Roman" w:eastAsia="Times New Roman" w:hAnsi="Times New Roman" w:cs="Times New Roman"/>
          <w:sz w:val="24"/>
          <w:szCs w:val="24"/>
        </w:rPr>
        <w:t>Tell me which version you need.</w:t>
      </w:r>
    </w:p>
    <w:p w:rsidR="003A7998" w:rsidRDefault="003A7998"/>
    <w:sectPr w:rsidR="003A7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98"/>
    <w:rsid w:val="00182611"/>
    <w:rsid w:val="003A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1F0B"/>
  <w15:chartTrackingRefBased/>
  <w15:docId w15:val="{DB1F7F6D-388A-476E-87D2-C116A2E8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9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79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79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9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79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79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7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7998"/>
    <w:rPr>
      <w:b/>
      <w:bCs/>
    </w:rPr>
  </w:style>
  <w:style w:type="character" w:styleId="Emphasis">
    <w:name w:val="Emphasis"/>
    <w:basedOn w:val="DefaultParagraphFont"/>
    <w:uiPriority w:val="20"/>
    <w:qFormat/>
    <w:rsid w:val="003A799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A799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9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7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0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Habtamu Eshibele</dc:creator>
  <cp:keywords/>
  <dc:description/>
  <cp:lastModifiedBy>Habtamu Eshibele</cp:lastModifiedBy>
  <cp:revision>1</cp:revision>
  <dcterms:created xsi:type="dcterms:W3CDTF">2026-02-11T10:42:00Z</dcterms:created>
  <dcterms:modified xsi:type="dcterms:W3CDTF">2026-02-11T10:54:00Z</dcterms:modified>
</cp:coreProperties>
</file>