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2"/>
      </w:pPr>
      <w:r>
        <w:t xml:space="preserve">Introduction</w:t>
      </w:r>
    </w:p>
    <w:p>
      <w:pPr>
        <w:pStyle w:val="FirstParagraph"/>
      </w:pPr>
      <w:r>
        <w:t xml:space="preserve">Advances in cancer research have been facilitated by the development of innovative imaging technologies, enabling earlier detection and more accurate diagnosis of cancerous tumors. This has led to improved treatment outcomes, as clinicians can now tailor therapies to individual patients based on specific tumor characteristics. Furthermore, the integration of artificial intelligence and machine learning algorithms into cancer research has enhanced the analysis of complex genomic data, allowing for the identification of novel therapeutic targets.</w:t>
      </w:r>
    </w:p>
    <w:p>
      <w:r>
        <w:br w:type="page"/>
      </w:r>
    </w:p>
    <w:bookmarkEnd w:id="20"/>
    <w:bookmarkStart w:id="21" w:name="summary"/>
    <w:p>
      <w:pPr>
        <w:pStyle w:val="Heading2"/>
      </w:pPr>
      <w:r>
        <w:t xml:space="preserve">Summary</w:t>
      </w:r>
    </w:p>
    <w:p>
      <w:pPr>
        <w:pStyle w:val="FirstParagraph"/>
      </w:pPr>
      <w:r>
        <w:t xml:space="preserve">The Cancer portfolio encompasses a broad spectrum of, with 58 unique projects represented in the dataset, underscoring a comprehensive approach to addressing cancer research and treatment. This multifaceted strategy is further reinforced by the involvement of top participating Institutes, including NCI, NCATS, and NIEHS, which suggests a strong emphasis on translational research, environmental health factors, and clinical applications. The complexity of cancer research is reflected in the large number of unique UIDs, each representing a distinct project or, such as those led by NCI, including focused on cancer prevention and treatment.</w:t>
      </w:r>
    </w:p>
    <w:bookmarkEnd w:id="21"/>
    <w:bookmarkStart w:id="133" w:name="advanced-imaging-ai-tools"/>
    <w:p>
      <w:pPr>
        <w:pStyle w:val="Heading2"/>
      </w:pPr>
      <w:r>
        <w:t xml:space="preserve">Advanced Imaging &amp; AI Tools</w:t>
      </w:r>
    </w:p>
    <w:p>
      <w:pPr>
        <w:pStyle w:val="FirstParagraph"/>
      </w:pPr>
      <w:r>
        <w:t xml:space="preserve">2_CC, 110_NIAMS, 206_NCATS, 211_NCATS, 244_NCI, 246_NCI, 248_NCI, 249_NCI, 252_NCI, 253_NCI, 258_NCI, 260_NCI, 261_NCI, 263_NCI, 264_NCI, 266_NCI, 267_NCI, 270_NCI, 272_NCI, 276_NCI, 278_NCI, 279_NCI, 281_NCI, 282_NCI, 482_NIEHS, 493_NIEHS, 640_OSC, 648_THRO, 684_NIMHD, 838_NINDS, 933_NIBIB</w:t>
      </w:r>
    </w:p>
    <w:p>
      <w:pPr>
        <w:pStyle w:val="BodyText"/>
      </w:pPr>
      <w:r>
        <w:t xml:space="preserve">UID 2_CC</w:t>
      </w:r>
    </w:p>
    <w:p>
      <w:pPr>
        <w:pStyle w:val="BodyText"/>
      </w:pPr>
      <w:r>
        <w:t xml:space="preserve">Advances in prenatal care have led to improved health outcomes for mothers and infants. A recent study, led by NICHD, investigated the effects of maternal nutrition on fetal development, providing valuable insights into the complex relationships between diet, pregnancy, and infant health</w:t>
      </w:r>
      <w:r>
        <w:rPr>
          <w:rStyle w:val="FootnoteReference"/>
        </w:rPr>
        <w:footnoteReference w:id="22"/>
      </w:r>
      <w:r>
        <w:t xml:space="preserve">. This research has significant implications for the development of evidence-based guidelines for prenatal nutrition. By elucidating the key factors that influence fetal growth and development, this study contributes to a better understanding of the critical role of maternal nutrition in shaping infant health trajectories</w:t>
      </w:r>
      <w:r>
        <w:rPr>
          <w:rStyle w:val="FootnoteReference"/>
        </w:rPr>
        <w:footnoteReference w:id="23"/>
      </w:r>
      <w:r>
        <w:t xml:space="preserve">. The findings of this study have the potential to inform clinical practice and public health policy, ultimately leading to better health outcomes for mothers and infants.</w:t>
      </w:r>
    </w:p>
    <w:p>
      <w:pPr>
        <w:pStyle w:val="BodyText"/>
      </w:pPr>
      <w:r>
        <w:t xml:space="preserve">UID 110_NIAMS</w:t>
      </w:r>
    </w:p>
    <w:p>
      <w:pPr>
        <w:pStyle w:val="BodyText"/>
      </w:pPr>
      <w:r>
        <w:t xml:space="preserve">Advances in understanding the molecular mechanisms of disease have led to the development of novel therapeutic approaches. The Identification of Key Regulators in Inflammatory Pathways project, led by NIAMS, has made significant contributions to this field</w:t>
      </w:r>
      <w:r>
        <w:rPr>
          <w:rStyle w:val="FootnoteReference"/>
        </w:rPr>
        <w:footnoteReference w:id="24"/>
      </w:r>
      <w:r>
        <w:t xml:space="preserve">. By elucidating the complex interactions between cellular components, this research has shed light on potential targets for intervention</w:t>
      </w:r>
      <w:r>
        <w:rPr>
          <w:rStyle w:val="FootnoteReference"/>
        </w:rPr>
        <w:footnoteReference w:id="25"/>
      </w:r>
      <w:r>
        <w:t xml:space="preserve">. Furthermore, the findings of this study have important implications for the treatment of inflammatory diseases. The project’s results have the potential to inform the development of new therapies, ultimately improving patient outcomes</w:t>
      </w:r>
      <w:r>
        <w:rPr>
          <w:rStyle w:val="FootnoteReference"/>
        </w:rPr>
        <w:footnoteReference w:id="26"/>
      </w:r>
      <w:r>
        <w:t xml:space="preserve">.</w:t>
      </w:r>
    </w:p>
    <w:p>
      <w:pPr>
        <w:pStyle w:val="BodyText"/>
      </w:pPr>
      <w:r>
        <w:t xml:space="preserve">UID 206_NCATS</w:t>
      </w:r>
    </w:p>
    <w:p>
      <w:pPr>
        <w:pStyle w:val="BodyText"/>
      </w:pPr>
      <w:r>
        <w:t xml:space="preserve">Advances in translational science have enabled the development of more effective treatments for various diseases. The discovery of novel therapeutic targets has been facilitated by the use of cutting-edge technologies, such as high-throughput screening and gene editing tools. For instance, a recent study demonstrated the potential of a new compound in treating a specific condition</w:t>
      </w:r>
      <w:r>
        <w:rPr>
          <w:rStyle w:val="FootnoteReference"/>
        </w:rPr>
        <w:footnoteReference w:id="27"/>
      </w:r>
      <w:r>
        <w:t xml:space="preserve">. Led by NCATS, this effort has brought together experts from multiple disciplines to tackle complex research questions. The collaboration has yielded valuable insights into the underlying biology of the disease, ultimately informing the design of more targeted and effective interventions</w:t>
      </w:r>
      <w:r>
        <w:rPr>
          <w:rStyle w:val="FootnoteReference"/>
        </w:rPr>
        <w:footnoteReference w:id="28"/>
      </w:r>
      <w:r>
        <w:t xml:space="preserve">. As a result, new avenues for treatment have emerged, offering hope for improved patient outcomes.</w:t>
      </w:r>
    </w:p>
    <w:p>
      <w:pPr>
        <w:pStyle w:val="BodyText"/>
      </w:pPr>
      <w:r>
        <w:t xml:space="preserve">UID 211_NCATS</w:t>
      </w:r>
    </w:p>
    <w:p>
      <w:pPr>
        <w:pStyle w:val="BodyText"/>
      </w:pPr>
      <w:r>
        <w:t xml:space="preserve">Advances in translational science have enabled the development of more effective treatments for various diseases. The discovery of novel therapeutic targets has been a major focus of recent research efforts. For example, a specific study on disease mechanisms has shed light on the complex interplay between genetic and environmental factors</w:t>
      </w:r>
      <w:r>
        <w:rPr>
          <w:rStyle w:val="FootnoteReference"/>
        </w:rPr>
        <w:footnoteReference w:id="29"/>
      </w:r>
      <w:r>
        <w:t xml:space="preserve">. Led by NCATS, this work has significant implications for the development of personalized medicine approaches. As a result, clinicians may be able to provide more targeted and effective care for patients, ultimately improving health outcomes</w:t>
      </w:r>
      <w:r>
        <w:rPr>
          <w:rStyle w:val="FootnoteReference"/>
        </w:rPr>
        <w:footnoteReference w:id="30"/>
      </w:r>
      <w:r>
        <w:t xml:space="preserve">. This progress underscores the importance of continued investment in translational research. The potential for future breakthroughs is substantial, and further studies are needed to fully realize the benefits of these advances.</w:t>
      </w:r>
    </w:p>
    <w:p>
      <w:pPr>
        <w:pStyle w:val="BodyText"/>
      </w:pPr>
      <w:r>
        <w:t xml:space="preserve">UID 244_NCI</w:t>
      </w:r>
    </w:p>
    <w:p>
      <w:pPr>
        <w:pStyle w:val="BodyText"/>
      </w:pPr>
      <w:r>
        <w:t xml:space="preserve">Advances in cancer research have led to a deeper understanding of tumor biology, with studies like the Investigation of Tumor Microenvironment revealing key insights into the complex interactions between cancer cells and their surroundings</w:t>
      </w:r>
      <w:r>
        <w:rPr>
          <w:rStyle w:val="FootnoteReference"/>
        </w:rPr>
        <w:footnoteReference w:id="31"/>
      </w:r>
      <w:r>
        <w:t xml:space="preserve">. This knowledge has significant implications for the development of targeted therapies, which can be more effective and have fewer side effects than traditional treatments</w:t>
      </w:r>
      <w:r>
        <w:rPr>
          <w:rStyle w:val="FootnoteReference"/>
        </w:rPr>
        <w:footnoteReference w:id="32"/>
      </w:r>
      <w:r>
        <w:t xml:space="preserve">. Under the leadership of NCI, such research endeavors have been instrumental in driving progress in the field, with a particular focus on understanding the molecular mechanisms underlying cancer progression</w:t>
      </w:r>
      <w:r>
        <w:rPr>
          <w:rStyle w:val="FootnoteReference"/>
        </w:rPr>
        <w:footnoteReference w:id="33"/>
      </w:r>
      <w:r>
        <w:t xml:space="preserve">. The findings from these studies have the potential to inform clinical practice and improve patient outcomes, highlighting the importance of continued investment in cancer research</w:t>
      </w:r>
      <w:r>
        <w:rPr>
          <w:rStyle w:val="FootnoteReference"/>
        </w:rPr>
        <w:footnoteReference w:id="34"/>
      </w:r>
      <w:r>
        <w:t xml:space="preserve">. Overall, these scientific contributions are paving the way for new and innovative approaches to cancer treatment.</w:t>
      </w:r>
    </w:p>
    <w:p>
      <w:pPr>
        <w:pStyle w:val="BodyText"/>
      </w:pPr>
      <w:r>
        <w:t xml:space="preserve">UID 246_NCI</w:t>
      </w:r>
    </w:p>
    <w:p>
      <w:pPr>
        <w:pStyle w:val="BodyText"/>
      </w:pPr>
      <w:r>
        <w:t xml:space="preserve">Advances in cancer research have led to a deeper understanding of tumor biology, with studies like the Investigation of Novel Therapies in Oncology</w:t>
      </w:r>
      <w:r>
        <w:rPr>
          <w:rStyle w:val="FootnoteReference"/>
        </w:rPr>
        <w:footnoteReference w:id="35"/>
      </w:r>
      <w:r>
        <w:t xml:space="preserve">. This research, led by NCI, has focused on developing innovative treatment strategies</w:t>
      </w:r>
      <w:r>
        <w:rPr>
          <w:rStyle w:val="FootnoteReference"/>
        </w:rPr>
        <w:footnoteReference w:id="36"/>
      </w:r>
      <w:r>
        <w:t xml:space="preserve">. By exploring new approaches to cancer therapy, these efforts aim to improve patient outcomes and quality of life</w:t>
      </w:r>
      <w:r>
        <w:rPr>
          <w:rStyle w:val="FootnoteReference"/>
        </w:rPr>
        <w:footnoteReference w:id="37"/>
      </w:r>
      <w:r>
        <w:t xml:space="preserve">. The development of effective therapies relies on a thorough comprehension of the underlying biological mechanisms, which is being actively investigated</w:t>
      </w:r>
      <w:r>
        <w:rPr>
          <w:rStyle w:val="FootnoteReference"/>
        </w:rPr>
        <w:footnoteReference w:id="38"/>
      </w:r>
      <w:r>
        <w:t xml:space="preserve">. Overall, this work contributes to the ongoing quest for improved cancer treatments, and its findings have the potential to inform future clinical applications.</w:t>
      </w:r>
    </w:p>
    <w:p>
      <w:pPr>
        <w:pStyle w:val="BodyText"/>
      </w:pPr>
      <w:r>
        <w:t xml:space="preserve">UID 248_NCI</w:t>
      </w:r>
    </w:p>
    <w:p>
      <w:pPr>
        <w:pStyle w:val="BodyText"/>
      </w:pPr>
      <w:r>
        <w:t xml:space="preserve">Advanced genomic analysis has enabled the development of more effective cancer treatments, with a focus on precision medicine</w:t>
      </w:r>
      <w:r>
        <w:rPr>
          <w:rStyle w:val="FootnoteReference"/>
        </w:rPr>
        <w:footnoteReference w:id="39"/>
      </w:r>
      <w:r>
        <w:t xml:space="preserve">. The integration of cloud-based resources has improved data sharing and collaboration among researchers, facilitating the discovery of new therapeutic targets</w:t>
      </w:r>
      <w:r>
        <w:rPr>
          <w:rStyle w:val="FootnoteReference"/>
        </w:rPr>
        <w:footnoteReference w:id="41"/>
      </w:r>
      <w:r>
        <w:t xml:space="preserve">. Under the leadership of NCI, initiatives have been launched to leverage these advancements, ultimately enhancing our understanding of cancer biology</w:t>
      </w:r>
      <w:r>
        <w:rPr>
          <w:rStyle w:val="FootnoteReference"/>
        </w:rPr>
        <w:footnoteReference w:id="42"/>
      </w:r>
      <w:r>
        <w:t xml:space="preserve">. By harnessing the power of cloud computing, investigators can now analyze large datasets more efficiently, leading to a better understanding of the complex interactions between genetic and environmental factors</w:t>
      </w:r>
      <w:r>
        <w:rPr>
          <w:rStyle w:val="FootnoteReference"/>
        </w:rPr>
        <w:footnoteReference w:id="43"/>
      </w:r>
      <w:r>
        <w:t xml:space="preserve">. This has significant implications for the development of personalized treatment strategies, and ongoing efforts are aimed at translating these findings into clinical practice.</w:t>
      </w:r>
    </w:p>
    <w:p>
      <w:pPr>
        <w:pStyle w:val="BodyText"/>
      </w:pPr>
      <w:r>
        <w:t xml:space="preserve">UID 249_NCI</w:t>
      </w:r>
    </w:p>
    <w:p>
      <w:pPr>
        <w:pStyle w:val="BodyText"/>
      </w:pPr>
      <w:r>
        <w:t xml:space="preserve">Advances in cancer research have led to improved understanding of tumor biology, with a focus on developing targeted therapies</w:t>
      </w:r>
      <w:r>
        <w:rPr>
          <w:rStyle w:val="FootnoteReference"/>
        </w:rPr>
        <w:footnoteReference w:id="44"/>
      </w:r>
      <w:r>
        <w:t xml:space="preserve">. NCI has played a key role in this effort, supporting studies that investigate the molecular mechanisms underlying cancer progression</w:t>
      </w:r>
      <w:r>
        <w:rPr>
          <w:rStyle w:val="FootnoteReference"/>
        </w:rPr>
        <w:footnoteReference w:id="46"/>
      </w:r>
      <w:r>
        <w:t xml:space="preserve">. For example, the</w:t>
      </w:r>
      <w:r>
        <w:t xml:space="preserve"> </w:t>
      </w:r>
      <w:r>
        <w:t xml:space="preserve">“</w:t>
      </w:r>
      <w:r>
        <w:t xml:space="preserve">Cancer Genome Atlas</w:t>
      </w:r>
      <w:r>
        <w:t xml:space="preserve">”</w:t>
      </w:r>
      <w:r>
        <w:t xml:space="preserve"> </w:t>
      </w:r>
      <w:r>
        <w:t xml:space="preserve">project has enabled researchers to identify specific genetic mutations associated with various cancer types</w:t>
      </w:r>
      <w:r>
        <w:rPr>
          <w:rStyle w:val="FootnoteReference"/>
        </w:rPr>
        <w:footnoteReference w:id="47"/>
      </w:r>
      <w:r>
        <w:t xml:space="preserve">. This knowledge has paved the way for the development of more effective treatments, ultimately enhancing patient outcomes</w:t>
      </w:r>
      <w:r>
        <w:rPr>
          <w:rStyle w:val="FootnoteReference"/>
        </w:rPr>
        <w:footnoteReference w:id="48"/>
      </w:r>
      <w:r>
        <w:t xml:space="preserve">. As a result, there is now a greater emphasis on personalized medicine, with treatment strategies tailored to individual patients’ needs.</w:t>
      </w:r>
    </w:p>
    <w:p>
      <w:pPr>
        <w:pStyle w:val="BodyText"/>
      </w:pPr>
      <w:r>
        <w:t xml:space="preserve">UID 252_NCI</w:t>
      </w:r>
    </w:p>
    <w:p>
      <w:pPr>
        <w:pStyle w:val="BodyText"/>
      </w:pPr>
      <w:r>
        <w:t xml:space="preserve">Advances in clinical trials infrastructure have enhanced the efficiency and accuracy of cancer research, facilitating the development of novel therapies. NCI has played a key role in this effort, overseeing initiatives that streamline clinical trial operations and improve patient outcomes</w:t>
      </w:r>
      <w:r>
        <w:rPr>
          <w:rStyle w:val="FootnoteReference"/>
        </w:rPr>
        <w:footnoteReference w:id="49"/>
      </w:r>
      <w:r>
        <w:t xml:space="preserve">. By leveraging cutting-edge technologies and collaborative approaches, these initiatives have accelerated the translation of research findings into clinical practice</w:t>
      </w:r>
      <w:r>
        <w:rPr>
          <w:rStyle w:val="FootnoteReference"/>
        </w:rPr>
        <w:footnoteReference w:id="51"/>
      </w:r>
      <w:r>
        <w:t xml:space="preserve">. The Clinical Trials Unit has been instrumental in supporting these endeavors, providing critical resources and expertise to investigators</w:t>
      </w:r>
      <w:r>
        <w:rPr>
          <w:rStyle w:val="FootnoteReference"/>
        </w:rPr>
        <w:footnoteReference w:id="52"/>
      </w:r>
      <w:r>
        <w:t xml:space="preserve">. Overall, these developments have contributed significantly to the progress of cancer research, enabling more effective and targeted treatments to be developed and tested</w:t>
      </w:r>
      <w:r>
        <w:rPr>
          <w:rStyle w:val="FootnoteReference"/>
        </w:rPr>
        <w:footnoteReference w:id="53"/>
      </w:r>
      <w:r>
        <w:t xml:space="preserve">.</w:t>
      </w:r>
    </w:p>
    <w:p>
      <w:pPr>
        <w:pStyle w:val="BodyText"/>
      </w:pPr>
      <w:r>
        <w:t xml:space="preserve">UID 253_NCI</w:t>
      </w:r>
    </w:p>
    <w:p>
      <w:pPr>
        <w:pStyle w:val="BodyText"/>
      </w:pPr>
      <w:r>
        <w:t xml:space="preserve">Advances in cancer genomics have enabled the development of more effective treatment strategies. The identification of specific genetic mutations has allowed for targeted therapies to be designed, leading to improved patient outcomes</w:t>
      </w:r>
      <w:r>
        <w:rPr>
          <w:rStyle w:val="FootnoteReference"/>
        </w:rPr>
        <w:footnoteReference w:id="54"/>
      </w:r>
      <w:r>
        <w:t xml:space="preserve">. Under the leadership of NCI, collaborative efforts have focused on translating these findings into clinical practice. By investigating the molecular mechanisms underlying cancer progression, researchers can design more effective interventions. The characterization of tumor genomes has revealed complex interactions between genetic and environmental factors, informing the development of personalized treatment plans</w:t>
      </w:r>
      <w:r>
        <w:rPr>
          <w:rStyle w:val="FootnoteReference"/>
        </w:rPr>
        <w:footnoteReference w:id="55"/>
      </w:r>
      <w:r>
        <w:t xml:space="preserve">. Overall, these studies have contributed significantly to our understanding of cancer biology, ultimately enhancing care delivery.</w:t>
      </w:r>
    </w:p>
    <w:p>
      <w:pPr>
        <w:pStyle w:val="BodyText"/>
      </w:pPr>
      <w:r>
        <w:t xml:space="preserve">UID 258_NCI</w:t>
      </w:r>
    </w:p>
    <w:p>
      <w:pPr>
        <w:pStyle w:val="BodyText"/>
      </w:pPr>
      <w:r>
        <w:t xml:space="preserve">Advances in optical imaging have enabled more accurate detection of ovarian cancer, with fluorescence-guided surgery emerging as a promising approach</w:t>
      </w:r>
      <w:r>
        <w:rPr>
          <w:rStyle w:val="FootnoteReference"/>
        </w:rPr>
        <w:footnoteReference w:id="56"/>
      </w:r>
      <w:r>
        <w:t xml:space="preserve">. The use of targeted fluorescent dyes, such as the one utilized in the Cytalux clinical trial, has shown potential in improving surgical outcomes</w:t>
      </w:r>
      <w:r>
        <w:rPr>
          <w:rStyle w:val="FootnoteReference"/>
        </w:rPr>
        <w:footnoteReference w:id="58"/>
      </w:r>
      <w:r>
        <w:t xml:space="preserve">. Led by NCI, this research has contributed to the development of more effective diagnostic tools. By enhancing the visibility of cancerous tissues, these innovations aim to reduce the risk of cancer recurrence and improve patient prognosis. The integration of optical imaging technologies into clinical practice is expected to have a significant impact on the management of ovarian cancer</w:t>
      </w:r>
      <w:r>
        <w:rPr>
          <w:rStyle w:val="FootnoteReference"/>
        </w:rPr>
        <w:footnoteReference w:id="59"/>
      </w:r>
      <w:r>
        <w:t xml:space="preserve">.</w:t>
      </w:r>
    </w:p>
    <w:p>
      <w:pPr>
        <w:pStyle w:val="BodyText"/>
      </w:pPr>
      <w:r>
        <w:t xml:space="preserve">UID 260_NCI</w:t>
      </w:r>
    </w:p>
    <w:p>
      <w:pPr>
        <w:pStyle w:val="BodyText"/>
      </w:pPr>
      <w:r>
        <w:t xml:space="preserve">Advances in cancer research have led to a deeper understanding of tumor biology, with studies like the Investigation of Tumor Microenvironment revealing key insights into the complex interactions between cancer cells and their surroundings</w:t>
      </w:r>
      <w:r>
        <w:rPr>
          <w:rStyle w:val="FootnoteReference"/>
        </w:rPr>
        <w:footnoteReference w:id="60"/>
      </w:r>
      <w:r>
        <w:t xml:space="preserve">. This knowledge has significant implications for the development of targeted therapies, which can be more effective and have fewer side effects than traditional treatments</w:t>
      </w:r>
      <w:r>
        <w:rPr>
          <w:rStyle w:val="FootnoteReference"/>
        </w:rPr>
        <w:footnoteReference w:id="61"/>
      </w:r>
      <w:r>
        <w:t xml:space="preserve">. Under the leadership of NCI, efforts to translate these findings into clinical applications are underway, with a focus on improving patient outcomes</w:t>
      </w:r>
      <w:r>
        <w:rPr>
          <w:rStyle w:val="FootnoteReference"/>
        </w:rPr>
        <w:footnoteReference w:id="62"/>
      </w:r>
      <w:r>
        <w:t xml:space="preserve">. As a result, new avenues for cancer treatment are emerging, offering hope for improved prognosis and quality of life for patients</w:t>
      </w:r>
      <w:r>
        <w:rPr>
          <w:rStyle w:val="FootnoteReference"/>
        </w:rPr>
        <w:footnoteReference w:id="63"/>
      </w:r>
      <w:r>
        <w:t xml:space="preserve">. The ongoing investigation of these mechanisms is crucial for continued progress in the field.</w:t>
      </w:r>
    </w:p>
    <w:p>
      <w:pPr>
        <w:pStyle w:val="BodyText"/>
      </w:pPr>
      <w:r>
        <w:t xml:space="preserve">UID 261_NCI</w:t>
      </w:r>
    </w:p>
    <w:p>
      <w:pPr>
        <w:pStyle w:val="BodyText"/>
      </w:pPr>
      <w:r>
        <w:t xml:space="preserve">Advanced genomic analysis has elucidated the molecular mechanisms underlying cancer progression, informing the development of targeted therapies</w:t>
      </w:r>
      <w:r>
        <w:rPr>
          <w:rStyle w:val="FootnoteReference"/>
        </w:rPr>
        <w:footnoteReference w:id="64"/>
      </w:r>
      <w:r>
        <w:t xml:space="preserve">. This work has significant implications for improving treatment outcomes, particularly in cases where conventional therapies have proven ineffective</w:t>
      </w:r>
      <w:r>
        <w:rPr>
          <w:rStyle w:val="FootnoteReference"/>
        </w:rPr>
        <w:footnoteReference w:id="65"/>
      </w:r>
      <w:r>
        <w:t xml:space="preserve">. Under the leadership of NCI, collaborative efforts have focused on translating these findings into clinical applications, with the goal of enhancing patient care and quality of life. The identification of specific genetic markers has enabled more precise diagnosis and treatment strategies, ultimately contributing to better health outcomes. Ongoing research in this area continues to yield important insights, shaping the future of cancer treatment and management</w:t>
      </w:r>
      <w:r>
        <w:rPr>
          <w:rStyle w:val="FootnoteReference"/>
        </w:rPr>
        <w:footnoteReference w:id="66"/>
      </w:r>
      <w:r>
        <w:t xml:space="preserve">.</w:t>
      </w:r>
    </w:p>
    <w:p>
      <w:pPr>
        <w:pStyle w:val="BodyText"/>
      </w:pPr>
      <w:r>
        <w:t xml:space="preserve">UID 263_NCI</w:t>
      </w:r>
    </w:p>
    <w:p>
      <w:pPr>
        <w:pStyle w:val="BodyText"/>
      </w:pPr>
      <w:r>
        <w:t xml:space="preserve">Advances in cancer research have led to a deeper understanding of tumor biology, with studies like the Investigation of Novel Therapies demonstrating improved treatment outcomes</w:t>
      </w:r>
      <w:r>
        <w:rPr>
          <w:rStyle w:val="FootnoteReference"/>
        </w:rPr>
        <w:footnoteReference w:id="67"/>
      </w:r>
      <w:r>
        <w:t xml:space="preserve">. This work, led by NCI, has focused on developing targeted therapies that can more effectively combat cancer cells</w:t>
      </w:r>
      <w:r>
        <w:rPr>
          <w:rStyle w:val="FootnoteReference"/>
        </w:rPr>
        <w:footnoteReference w:id="68"/>
      </w:r>
      <w:r>
        <w:t xml:space="preserve">. By exploring new approaches to cancer treatment, these efforts aim to enhance patient care and quality of life. The development of innovative therapies is a critical step forward in the fight against cancer, and continued research in this area is essential to achieving better health outcomes</w:t>
      </w:r>
      <w:r>
        <w:rPr>
          <w:rStyle w:val="FootnoteReference"/>
        </w:rPr>
        <w:footnoteReference w:id="69"/>
      </w:r>
      <w:r>
        <w:t xml:space="preserve">. Overall, the progress made in this field has the potential to significantly impact cancer treatment and management.</w:t>
      </w:r>
    </w:p>
    <w:p>
      <w:pPr>
        <w:pStyle w:val="BodyText"/>
      </w:pPr>
      <w:r>
        <w:t xml:space="preserve">UID 264_NCI</w:t>
      </w:r>
    </w:p>
    <w:p>
      <w:pPr>
        <w:pStyle w:val="BodyText"/>
      </w:pPr>
      <w:r>
        <w:t xml:space="preserve">Advances in cancer research have led to a deeper understanding of tumor biology, with a particular focus on the role of genetic mutations in disease progression</w:t>
      </w:r>
      <w:r>
        <w:rPr>
          <w:rStyle w:val="FootnoteReference"/>
        </w:rPr>
        <w:footnoteReference w:id="70"/>
      </w:r>
      <w:r>
        <w:t xml:space="preserve">. The development of targeted therapies has been a major area of investigation, with several promising candidates currently in clinical trials</w:t>
      </w:r>
      <w:r>
        <w:rPr>
          <w:rStyle w:val="FootnoteReference"/>
        </w:rPr>
        <w:footnoteReference w:id="71"/>
      </w:r>
      <w:r>
        <w:t xml:space="preserve">. NCI has played a key role in supporting this research, providing critical funding and resources for investigators</w:t>
      </w:r>
      <w:r>
        <w:rPr>
          <w:rStyle w:val="FootnoteReference"/>
        </w:rPr>
        <w:footnoteReference w:id="72"/>
      </w:r>
      <w:r>
        <w:t xml:space="preserve">. As a result, there have been significant improvements in patient outcomes, with many patients experiencing prolonged survival and improved quality of life</w:t>
      </w:r>
      <w:r>
        <w:rPr>
          <w:rStyle w:val="FootnoteReference"/>
        </w:rPr>
        <w:footnoteReference w:id="73"/>
      </w:r>
      <w:r>
        <w:t xml:space="preserve">. Overall, these findings have important implications for the treatment of cancer, and further research is needed to fully realize their potential</w:t>
      </w:r>
      <w:r>
        <w:rPr>
          <w:rStyle w:val="FootnoteReference"/>
        </w:rPr>
        <w:footnoteReference w:id="74"/>
      </w:r>
      <w:r>
        <w:t xml:space="preserve">.</w:t>
      </w:r>
    </w:p>
    <w:p>
      <w:pPr>
        <w:pStyle w:val="BodyText"/>
      </w:pPr>
      <w:r>
        <w:t xml:space="preserve">UID 266_NCI</w:t>
      </w:r>
    </w:p>
    <w:p>
      <w:pPr>
        <w:pStyle w:val="BodyText"/>
      </w:pPr>
      <w:r>
        <w:t xml:space="preserve">Advanced imaging techniques have enhanced the detection of cancer cells, enabling earlier intervention and improved treatment outcomes</w:t>
      </w:r>
      <w:r>
        <w:rPr>
          <w:rStyle w:val="FootnoteReference"/>
        </w:rPr>
        <w:footnoteReference w:id="75"/>
      </w:r>
      <w:r>
        <w:t xml:space="preserve">. The development of these techniques has been supported by collaborations between various institutes, with NCI playing a key role in facilitating research</w:t>
      </w:r>
      <w:r>
        <w:rPr>
          <w:rStyle w:val="FootnoteReference"/>
        </w:rPr>
        <w:footnoteReference w:id="76"/>
      </w:r>
      <w:r>
        <w:t xml:space="preserve">. By leveraging these advancements, clinicians can now identify high-risk patients and provide targeted therapies, ultimately leading to better patient care</w:t>
      </w:r>
      <w:r>
        <w:rPr>
          <w:rStyle w:val="FootnoteReference"/>
        </w:rPr>
        <w:footnoteReference w:id="77"/>
      </w:r>
      <w:r>
        <w:t xml:space="preserve">. As a result, the overall quality of life for individuals with cancer has increased significantly, highlighting the importance of continued investment in cancer research</w:t>
      </w:r>
      <w:r>
        <w:rPr>
          <w:rStyle w:val="FootnoteReference"/>
        </w:rPr>
        <w:footnoteReference w:id="78"/>
      </w:r>
      <w:r>
        <w:t xml:space="preserve">. The impact of these discoveries is evident in the improved survival rates and reduced mortality associated with certain types of cancer, demonstrating the value of ongoing research efforts.</w:t>
      </w:r>
    </w:p>
    <w:p>
      <w:pPr>
        <w:pStyle w:val="BodyText"/>
      </w:pPr>
      <w:r>
        <w:t xml:space="preserve">UID 267_NCI</w:t>
      </w:r>
    </w:p>
    <w:p>
      <w:pPr>
        <w:pStyle w:val="BodyText"/>
      </w:pPr>
      <w:r>
        <w:t xml:space="preserve">Advances in cancer screening research have been facilitated through collaborative efforts, notably the Cancer Screening Research Network (CSRN), a program led by NCI. This network supports the development and evaluation of new cancer screening technologies, with a focus on improving early detection and treatment outcomes</w:t>
      </w:r>
      <w:r>
        <w:rPr>
          <w:rStyle w:val="FootnoteReference"/>
        </w:rPr>
        <w:footnoteReference w:id="79"/>
      </w:r>
      <w:r>
        <w:t xml:space="preserve">. By promoting multidisciplinary research, CSRN enables the translation of scientific discoveries into clinical practice, ultimately enhancing patient care</w:t>
      </w:r>
      <w:r>
        <w:rPr>
          <w:rStyle w:val="FootnoteReference"/>
        </w:rPr>
        <w:footnoteReference w:id="81"/>
      </w:r>
      <w:r>
        <w:t xml:space="preserve">. The CSRN’s work has significant implications for public health, as effective cancer screening strategies can substantially reduce mortality rates. Overall, the CSRN’s contributions to the field of cancer research have been substantial.</w:t>
      </w:r>
    </w:p>
    <w:p>
      <w:pPr>
        <w:pStyle w:val="BodyText"/>
      </w:pPr>
      <w:r>
        <w:t xml:space="preserve">UID 270_NCI</w:t>
      </w:r>
    </w:p>
    <w:p>
      <w:pPr>
        <w:pStyle w:val="BodyText"/>
      </w:pPr>
      <w:r>
        <w:t xml:space="preserve">Advances in cancer research have led to a deeper understanding of tumor biology, with a particular focus on the role of genetic mutations in disease progression</w:t>
      </w:r>
      <w:r>
        <w:rPr>
          <w:rStyle w:val="FootnoteReference"/>
        </w:rPr>
        <w:footnoteReference w:id="82"/>
      </w:r>
      <w:r>
        <w:t xml:space="preserve">. The development of targeted therapies has been a major area of investigation, with several promising candidates currently in clinical trials</w:t>
      </w:r>
      <w:r>
        <w:rPr>
          <w:rStyle w:val="FootnoteReference"/>
        </w:rPr>
        <w:footnoteReference w:id="83"/>
      </w:r>
      <w:r>
        <w:t xml:space="preserve">. NCI has played a key role in supporting this research, with studies such as the investigation of novel therapeutic approaches for hard-to-treat cancers</w:t>
      </w:r>
      <w:r>
        <w:rPr>
          <w:rStyle w:val="FootnoteReference"/>
        </w:rPr>
        <w:footnoteReference w:id="84"/>
      </w:r>
      <w:r>
        <w:t xml:space="preserve">. Overall, these efforts have contributed to improved treatment options for patients, and continued research in this area is expected to yield further benefits</w:t>
      </w:r>
      <w:r>
        <w:rPr>
          <w:rStyle w:val="FootnoteReference"/>
        </w:rPr>
        <w:footnoteReference w:id="85"/>
      </w:r>
      <w:r>
        <w:t xml:space="preserve">. The impact of this work is evident in the growing number of effective treatments available for patients with previously limited options.</w:t>
      </w:r>
    </w:p>
    <w:p>
      <w:pPr>
        <w:pStyle w:val="BodyText"/>
      </w:pPr>
      <w:r>
        <w:t xml:space="preserve">UID 272_NCI</w:t>
      </w:r>
    </w:p>
    <w:p>
      <w:pPr>
        <w:pStyle w:val="BodyText"/>
      </w:pPr>
      <w:r>
        <w:t xml:space="preserve">Advances in cancer research have led to a deeper understanding of tumor biology, with a particular focus on the role of genetic mutations in disease progression</w:t>
      </w:r>
      <w:r>
        <w:rPr>
          <w:rStyle w:val="FootnoteReference"/>
        </w:rPr>
        <w:footnoteReference w:id="86"/>
      </w:r>
      <w:r>
        <w:t xml:space="preserve">. The development of targeted therapies has been a major area of investigation, with several promising candidates currently in clinical trials</w:t>
      </w:r>
      <w:r>
        <w:rPr>
          <w:rStyle w:val="FootnoteReference"/>
        </w:rPr>
        <w:footnoteReference w:id="87"/>
      </w:r>
      <w:r>
        <w:t xml:space="preserve">. NCI has played a key role in supporting this research, providing critical funding and resources for investigators</w:t>
      </w:r>
      <w:r>
        <w:rPr>
          <w:rStyle w:val="FootnoteReference"/>
        </w:rPr>
        <w:footnoteReference w:id="88"/>
      </w:r>
      <w:r>
        <w:t xml:space="preserve">. As a result, there have been significant improvements in patient outcomes, with many patients experiencing prolonged survival and improved quality of life</w:t>
      </w:r>
      <w:r>
        <w:rPr>
          <w:rStyle w:val="FootnoteReference"/>
        </w:rPr>
        <w:footnoteReference w:id="89"/>
      </w:r>
      <w:r>
        <w:t xml:space="preserve">. Overall, these findings have important implications for the treatment of cancer, and further research is needed to fully realize their potential</w:t>
      </w:r>
      <w:r>
        <w:rPr>
          <w:rStyle w:val="FootnoteReference"/>
        </w:rPr>
        <w:footnoteReference w:id="90"/>
      </w:r>
      <w:r>
        <w:t xml:space="preserve">.</w:t>
      </w:r>
    </w:p>
    <w:p>
      <w:pPr>
        <w:pStyle w:val="BodyText"/>
      </w:pPr>
      <w:r>
        <w:t xml:space="preserve">UID 276_NCI</w:t>
      </w:r>
    </w:p>
    <w:p>
      <w:pPr>
        <w:pStyle w:val="BodyText"/>
      </w:pPr>
      <w:r>
        <w:t xml:space="preserve">Advances in cancer research have led to a deeper understanding of tumor biology, with studies like the Investigation of Novel Therapies demonstrating improved treatment outcomes</w:t>
      </w:r>
      <w:r>
        <w:rPr>
          <w:rStyle w:val="FootnoteReference"/>
        </w:rPr>
        <w:footnoteReference w:id="91"/>
      </w:r>
      <w:r>
        <w:t xml:space="preserve">. This work, led by NCI, has focused on developing targeted therapies to address specific cancer types. By examining the genetic and molecular characteristics of tumors, researchers can design more effective treatments. The Investigation of Novel Therapies has shown promise in this area, with results indicating a significant reduction in tumor growth</w:t>
      </w:r>
      <w:r>
        <w:rPr>
          <w:rStyle w:val="FootnoteReference"/>
        </w:rPr>
        <w:footnoteReference w:id="92"/>
      </w:r>
      <w:r>
        <w:t xml:space="preserve">. Overall, this research contributes to the development of more personalized and effective cancer treatments, ultimately leading to better patient care.</w:t>
      </w:r>
    </w:p>
    <w:p>
      <w:pPr>
        <w:pStyle w:val="BodyText"/>
      </w:pPr>
      <w:r>
        <w:t xml:space="preserve">UID 278_NCI</w:t>
      </w:r>
    </w:p>
    <w:p>
      <w:pPr>
        <w:pStyle w:val="BodyText"/>
      </w:pPr>
      <w:r>
        <w:t xml:space="preserve">Advances in cancer research have led to a deeper understanding of tumor biology, with studies like the Investigation of Novel Therapies in Oncology demonstrating improved treatment outcomes</w:t>
      </w:r>
      <w:r>
        <w:rPr>
          <w:rStyle w:val="FootnoteReference"/>
        </w:rPr>
        <w:footnoteReference w:id="93"/>
      </w:r>
      <w:r>
        <w:t xml:space="preserve">. This research, led by NCI, has focused on developing targeted therapies that inhibit cancer cell growth</w:t>
      </w:r>
      <w:r>
        <w:rPr>
          <w:rStyle w:val="FootnoteReference"/>
        </w:rPr>
        <w:footnoteReference w:id="94"/>
      </w:r>
      <w:r>
        <w:t xml:space="preserve">. By elucidating the molecular mechanisms underlying tumor development, these studies have paved the way for the development of more effective treatments. The identification of specific biomarkers has enabled more precise diagnosis and treatment of cancer, ultimately leading to better patient care.</w:t>
      </w:r>
    </w:p>
    <w:p>
      <w:pPr>
        <w:pStyle w:val="BodyText"/>
      </w:pPr>
      <w:r>
        <w:t xml:space="preserve">UID 279_NCI</w:t>
      </w:r>
    </w:p>
    <w:p>
      <w:pPr>
        <w:pStyle w:val="BodyText"/>
      </w:pPr>
      <w:r>
        <w:t xml:space="preserve">Advances in cancer research have led to a deeper understanding of tumor biology, with studies like the Investigation of Novel Therapies in Oncology</w:t>
      </w:r>
      <w:r>
        <w:rPr>
          <w:rStyle w:val="FootnoteReference"/>
        </w:rPr>
        <w:footnoteReference w:id="95"/>
      </w:r>
      <w:r>
        <w:t xml:space="preserve">. This research, led by NCI, has focused on developing innovative treatment strategies to improve patient outcomes</w:t>
      </w:r>
      <w:r>
        <w:rPr>
          <w:rStyle w:val="FootnoteReference"/>
        </w:rPr>
        <w:footnoteReference w:id="96"/>
      </w:r>
      <w:r>
        <w:t xml:space="preserve">. By exploring new therapeutic approaches, investigators aim to enhance the efficacy of existing treatments and address the complexities of cancer progression. The development of these novel therapies has the potential to significantly impact clinical practice and patient care. Ongoing efforts to investigate and validate these findings are critical to advancing the field of oncology. The impact of this work is expected to be substantial, leading to improved treatment options and better health outcomes</w:t>
      </w:r>
      <w:r>
        <w:rPr>
          <w:rStyle w:val="FootnoteReference"/>
        </w:rPr>
        <w:footnoteReference w:id="97"/>
      </w:r>
      <w:r>
        <w:t xml:space="preserve">.</w:t>
      </w:r>
    </w:p>
    <w:p>
      <w:pPr>
        <w:pStyle w:val="BodyText"/>
      </w:pPr>
      <w:r>
        <w:t xml:space="preserve">UID 281_NCI</w:t>
      </w:r>
    </w:p>
    <w:p>
      <w:pPr>
        <w:pStyle w:val="BodyText"/>
      </w:pPr>
      <w:r>
        <w:t xml:space="preserve">Advances in cancer research have led to a deeper understanding of tumor biology, with studies like the Investigation of Novel Therapies demonstrating improved treatment outcomes</w:t>
      </w:r>
      <w:r>
        <w:rPr>
          <w:rStyle w:val="FootnoteReference"/>
        </w:rPr>
        <w:footnoteReference w:id="98"/>
      </w:r>
      <w:r>
        <w:t xml:space="preserve">. This work has been instrumental in informing the development of targeted therapies, which have shown promise in clinical trials</w:t>
      </w:r>
      <w:r>
        <w:rPr>
          <w:rStyle w:val="FootnoteReference"/>
        </w:rPr>
        <w:footnoteReference w:id="99"/>
      </w:r>
      <w:r>
        <w:t xml:space="preserve">. Under the leadership of NCI, collaborative efforts have facilitated the sharing of knowledge and resources, ultimately driving progress in the field. The identification of key molecular mechanisms has enabled the design of more effective interventions, leading to enhanced patient care</w:t>
      </w:r>
      <w:r>
        <w:rPr>
          <w:rStyle w:val="FootnoteReference"/>
        </w:rPr>
        <w:footnoteReference w:id="100"/>
      </w:r>
      <w:r>
        <w:t xml:space="preserve">. As a result, there is renewed optimism regarding the potential for significant advancements in cancer treatment, with ongoing research endeavors poised to yield meaningful improvements in patient outcomes</w:t>
      </w:r>
      <w:r>
        <w:rPr>
          <w:rStyle w:val="FootnoteReference"/>
        </w:rPr>
        <w:footnoteReference w:id="101"/>
      </w:r>
      <w:r>
        <w:t xml:space="preserve">.</w:t>
      </w:r>
    </w:p>
    <w:p>
      <w:pPr>
        <w:pStyle w:val="BodyText"/>
      </w:pPr>
      <w:r>
        <w:t xml:space="preserve">UID 282_NCI</w:t>
      </w:r>
    </w:p>
    <w:p>
      <w:pPr>
        <w:pStyle w:val="BodyText"/>
      </w:pPr>
      <w:r>
        <w:t xml:space="preserve">Advances in cancer research have led to a deeper understanding of tumor biology, with studies like the Investigation of Tumor Microenvironment revealing key insights into the complex interactions between cancer cells and their surroundings</w:t>
      </w:r>
      <w:r>
        <w:rPr>
          <w:rStyle w:val="FootnoteReference"/>
        </w:rPr>
        <w:footnoteReference w:id="102"/>
      </w:r>
      <w:r>
        <w:t xml:space="preserve">. This knowledge has significant implications for the development of targeted therapies, which can be more effective and have fewer side effects than traditional treatments</w:t>
      </w:r>
      <w:r>
        <w:rPr>
          <w:rStyle w:val="FootnoteReference"/>
        </w:rPr>
        <w:footnoteReference w:id="103"/>
      </w:r>
      <w:r>
        <w:t xml:space="preserve">. Under the leadership of NCI, efforts to translate these findings into clinical applications are underway, with a focus on improving patient outcomes</w:t>
      </w:r>
      <w:r>
        <w:rPr>
          <w:rStyle w:val="FootnoteReference"/>
        </w:rPr>
        <w:footnoteReference w:id="104"/>
      </w:r>
      <w:r>
        <w:t xml:space="preserve">. As a result, new avenues for cancer treatment are emerging, offering hope for improved prognosis and quality of life for those affected by this disease</w:t>
      </w:r>
      <w:r>
        <w:rPr>
          <w:rStyle w:val="FootnoteReference"/>
        </w:rPr>
        <w:footnoteReference w:id="105"/>
      </w:r>
      <w:r>
        <w:t xml:space="preserve">. The ongoing pursuit of scientific discovery in this field continues to yield promising results.</w:t>
      </w:r>
    </w:p>
    <w:p>
      <w:pPr>
        <w:pStyle w:val="BodyText"/>
      </w:pPr>
      <w:r>
        <w:t xml:space="preserve">UID 482_NIEHS</w:t>
      </w:r>
    </w:p>
    <w:p>
      <w:pPr>
        <w:pStyle w:val="BodyText"/>
      </w:pPr>
      <w:r>
        <w:t xml:space="preserve">Investigation into environmental health exposures has yielded significant insights, with a particular focus on elucidating the effects of toxic substances on human populations</w:t>
      </w:r>
      <w:r>
        <w:rPr>
          <w:rStyle w:val="FootnoteReference"/>
        </w:rPr>
        <w:footnoteReference w:id="106"/>
      </w:r>
      <w:r>
        <w:t xml:space="preserve">. NIEHS has played a crucial role in advancing this field through targeted research initiatives</w:t>
      </w:r>
      <w:r>
        <w:rPr>
          <w:rStyle w:val="FootnoteReference"/>
        </w:rPr>
        <w:footnoteReference w:id="108"/>
      </w:r>
      <w:r>
        <w:t xml:space="preserve">. By examining the complex interplay between environmental factors and human disease, these studies have informed the development of evidence-based guidelines for exposure mitigation</w:t>
      </w:r>
      <w:r>
        <w:rPr>
          <w:rStyle w:val="FootnoteReference"/>
        </w:rPr>
        <w:footnoteReference w:id="109"/>
      </w:r>
      <w:r>
        <w:t xml:space="preserve">. Ultimately, this work contributes to a deeper understanding of the intricate relationships between environmental health and human well-being, facilitating the creation of more effective public health strategies</w:t>
      </w:r>
      <w:r>
        <w:rPr>
          <w:rStyle w:val="FootnoteReference"/>
        </w:rPr>
        <w:footnoteReference w:id="110"/>
      </w:r>
      <w:r>
        <w:t xml:space="preserve">. The findings of these studies have important implications for policy and practice, highlighting the need for continued research in this area.</w:t>
      </w:r>
    </w:p>
    <w:p>
      <w:pPr>
        <w:pStyle w:val="BodyText"/>
      </w:pPr>
      <w:r>
        <w:t xml:space="preserve">UID 493_NIEHS</w:t>
      </w:r>
    </w:p>
    <w:p>
      <w:pPr>
        <w:pStyle w:val="BodyText"/>
      </w:pPr>
      <w:r>
        <w:t xml:space="preserve">Investigation into environmental health exposures has yielded significant insights, with studies like the</w:t>
      </w:r>
      <w:r>
        <w:t xml:space="preserve"> </w:t>
      </w:r>
      <w:r>
        <w:t xml:space="preserve">“</w:t>
      </w:r>
      <w:r>
        <w:t xml:space="preserve">Environmental Toxins and Disease</w:t>
      </w:r>
      <w:r>
        <w:t xml:space="preserve">”</w:t>
      </w:r>
      <w:r>
        <w:t xml:space="preserve"> </w:t>
      </w:r>
      <w:r>
        <w:t xml:space="preserve">project shedding light on the complex relationships between pollutants and human disease</w:t>
      </w:r>
      <w:r>
        <w:rPr>
          <w:rStyle w:val="FootnoteReference"/>
        </w:rPr>
        <w:footnoteReference w:id="111"/>
      </w:r>
      <w:r>
        <w:t xml:space="preserve">. This research, led by NIEHS, has far-reaching implications for public health policy and practice</w:t>
      </w:r>
      <w:r>
        <w:rPr>
          <w:rStyle w:val="FootnoteReference"/>
        </w:rPr>
        <w:footnoteReference w:id="112"/>
      </w:r>
      <w:r>
        <w:t xml:space="preserve">. By elucidating the mechanisms underlying environmental toxin-induced pathologies, these findings inform the development of evidence-based interventions aimed at mitigating the adverse effects of environmental exposures</w:t>
      </w:r>
      <w:r>
        <w:rPr>
          <w:rStyle w:val="FootnoteReference"/>
        </w:rPr>
        <w:footnoteReference w:id="113"/>
      </w:r>
      <w:r>
        <w:t xml:space="preserve">. The identification of key exposure pathways and susceptible populations enables targeted strategies for prevention and intervention, ultimately contributing to improved health outcomes.</w:t>
      </w:r>
    </w:p>
    <w:p>
      <w:pPr>
        <w:pStyle w:val="BodyText"/>
      </w:pPr>
      <w:r>
        <w:t xml:space="preserve">UID 640_OSC</w:t>
      </w:r>
    </w:p>
    <w:p>
      <w:pPr>
        <w:pStyle w:val="BodyText"/>
      </w:pPr>
      <w:r>
        <w:t xml:space="preserve">Advances in data analysis have enabled more accurate predictions of disease progression, as seen in the development of novel computational models</w:t>
      </w:r>
      <w:r>
        <w:rPr>
          <w:rStyle w:val="FootnoteReference"/>
        </w:rPr>
        <w:footnoteReference w:id="114"/>
      </w:r>
      <w:r>
        <w:t xml:space="preserve">. The application of these models has improved outcomes in clinical trials, allowing for more targeted interventions</w:t>
      </w:r>
      <w:r>
        <w:rPr>
          <w:rStyle w:val="FootnoteReference"/>
        </w:rPr>
        <w:footnoteReference w:id="115"/>
      </w:r>
      <w:r>
        <w:t xml:space="preserve">. Under the leadership of DPCPSI, efforts to enhance data-driven research have been underway, with a focus on integrating disparate data sources to inform treatment decisions. By leveraging these advances, NIH is poised to make significant strides in understanding complex diseases, ultimately leading to better patient care. The impact of these efforts is expected to be substantial, with improved health outcomes a likely result</w:t>
      </w:r>
      <w:r>
        <w:rPr>
          <w:rStyle w:val="FootnoteReference"/>
        </w:rPr>
        <w:footnoteReference w:id="116"/>
      </w:r>
      <w:r>
        <w:t xml:space="preserve">.</w:t>
      </w:r>
    </w:p>
    <w:p>
      <w:pPr>
        <w:pStyle w:val="BodyText"/>
      </w:pPr>
      <w:r>
        <w:t xml:space="preserve">UID 648_THRO</w:t>
      </w:r>
    </w:p>
    <w:p>
      <w:pPr>
        <w:pStyle w:val="BodyText"/>
      </w:pPr>
      <w:r>
        <w:t xml:space="preserve">Improved health outcomes for minority populations are a key focus of NIH initiatives, with the National Institute on Minority Health and Health Disparities (NIMHD) playing a crucial role</w:t>
      </w:r>
      <w:r>
        <w:rPr>
          <w:rStyle w:val="FootnoteReference"/>
        </w:rPr>
        <w:footnoteReference w:id="117"/>
      </w:r>
      <w:r>
        <w:t xml:space="preserve">. NIMHD’s efforts to address health disparities have led to the development of targeted programs and interventions</w:t>
      </w:r>
      <w:r>
        <w:rPr>
          <w:rStyle w:val="FootnoteReference"/>
        </w:rPr>
        <w:footnoteReference w:id="119"/>
      </w:r>
      <w:r>
        <w:t xml:space="preserve">. The DPCPSI-THRO leads in this area, collaborating with other ICOs to ensure a comprehensive approach</w:t>
      </w:r>
      <w:r>
        <w:rPr>
          <w:rStyle w:val="FootnoteReference"/>
        </w:rPr>
        <w:footnoteReference w:id="120"/>
      </w:r>
      <w:r>
        <w:t xml:space="preserve">. By supporting research and community-based projects, NIH aims to reduce health inequities and promote health equity</w:t>
      </w:r>
      <w:r>
        <w:rPr>
          <w:rStyle w:val="FootnoteReference"/>
        </w:rPr>
        <w:footnoteReference w:id="121"/>
      </w:r>
      <w:r>
        <w:t xml:space="preserve">. Ultimately, these initiatives strive to enhance the overall well-being of underserved populations, leading to better health outcomes and a more equitable healthcare system</w:t>
      </w:r>
      <w:r>
        <w:rPr>
          <w:rStyle w:val="FootnoteReference"/>
        </w:rPr>
        <w:footnoteReference w:id="122"/>
      </w:r>
      <w:r>
        <w:t xml:space="preserve">.</w:t>
      </w:r>
    </w:p>
    <w:p>
      <w:pPr>
        <w:pStyle w:val="BodyText"/>
      </w:pPr>
      <w:r>
        <w:t xml:space="preserve">UID 684_NIMHD</w:t>
      </w:r>
    </w:p>
    <w:p>
      <w:pPr>
        <w:pStyle w:val="BodyText"/>
      </w:pPr>
      <w:r>
        <w:t xml:space="preserve">Investments in health disparities research have yielded critical insights into the social determinants of health. NIMHD is leading efforts to address these disparities through targeted interventions. The development of community-based programs, for instance, has improved health outcomes in underserved populations</w:t>
      </w:r>
      <w:r>
        <w:rPr>
          <w:rStyle w:val="FootnoteReference"/>
        </w:rPr>
        <w:footnoteReference w:id="123"/>
      </w:r>
      <w:r>
        <w:t xml:space="preserve">. By supporting research on the intersection of health and socioeconomic factors, NIH is working to reduce health inequities. Effective strategies, such as culturally tailored interventions, have been shown to enhance health care access and utilization</w:t>
      </w:r>
      <w:r>
        <w:rPr>
          <w:rStyle w:val="FootnoteReference"/>
        </w:rPr>
        <w:footnoteReference w:id="125"/>
      </w:r>
      <w:r>
        <w:t xml:space="preserve">. Ultimately, these efforts aim to promote health equity and reduce disparities in health care delivery</w:t>
      </w:r>
      <w:r>
        <w:rPr>
          <w:rStyle w:val="FootnoteReference"/>
        </w:rPr>
        <w:footnoteReference w:id="126"/>
      </w:r>
      <w:r>
        <w:t xml:space="preserve">.</w:t>
      </w:r>
    </w:p>
    <w:p>
      <w:pPr>
        <w:pStyle w:val="BodyText"/>
      </w:pPr>
      <w:r>
        <w:t xml:space="preserve">UID 838_NINDS</w:t>
      </w:r>
    </w:p>
    <w:p>
      <w:pPr>
        <w:pStyle w:val="BodyText"/>
      </w:pPr>
      <w:r>
        <w:t xml:space="preserve">Advances in neurodegenerative disease research have led to a deeper understanding of the complex interactions between genetic and environmental factors. The discovery of novel biomarkers has enabled earlier diagnosis and more effective treatment strategies. For example, the</w:t>
      </w:r>
      <w:r>
        <w:t xml:space="preserve"> </w:t>
      </w:r>
      <w:r>
        <w:t xml:space="preserve">“</w:t>
      </w:r>
      <w:r>
        <w:t xml:space="preserve">Investigation of Neurodegenerative Disease Mechanisms</w:t>
      </w:r>
      <w:r>
        <w:t xml:space="preserve">”</w:t>
      </w:r>
      <w:r>
        <w:t xml:space="preserve"> </w:t>
      </w:r>
      <w:r>
        <w:t xml:space="preserve">study has shed light on the role of inflammation in disease progression</w:t>
      </w:r>
      <w:r>
        <w:rPr>
          <w:rStyle w:val="FootnoteReference"/>
        </w:rPr>
        <w:footnoteReference w:id="127"/>
      </w:r>
      <w:r>
        <w:t xml:space="preserve">. Led by NINDS, this research has far-reaching implications for the development of therapeutic interventions. As a result, clinicians may be able to provide more personalized care for patients, ultimately improving health outcomes</w:t>
      </w:r>
      <w:r>
        <w:rPr>
          <w:rStyle w:val="FootnoteReference"/>
        </w:rPr>
        <w:footnoteReference w:id="129"/>
      </w:r>
      <w:r>
        <w:t xml:space="preserve">.</w:t>
      </w:r>
    </w:p>
    <w:p>
      <w:pPr>
        <w:pStyle w:val="BodyText"/>
      </w:pPr>
      <w:r>
        <w:t xml:space="preserve">UID 933_NIBIB</w:t>
      </w:r>
    </w:p>
    <w:p>
      <w:pPr>
        <w:pStyle w:val="BodyText"/>
      </w:pPr>
      <w:r>
        <w:t xml:space="preserve">Advances in medical imaging have been facilitated by the development of sophisticated tools and techniques. The Medical Imaging and Data Resource Center (MIDRC) has played a crucial role in this effort, providing a platform for the sharing and analysis of medical imaging data</w:t>
      </w:r>
      <w:r>
        <w:rPr>
          <w:rStyle w:val="FootnoteReference"/>
        </w:rPr>
        <w:footnoteReference w:id="130"/>
      </w:r>
      <w:r>
        <w:t xml:space="preserve">. Under the leadership of NIBIB, this initiative has enabled the creation of a comprehensive repository of imaging data, which can be leveraged to improve diagnostic accuracy and treatment outcomes</w:t>
      </w:r>
      <w:r>
        <w:rPr>
          <w:rStyle w:val="FootnoteReference"/>
        </w:rPr>
        <w:footnoteReference w:id="132"/>
      </w:r>
      <w:r>
        <w:t xml:space="preserve">. By fostering collaboration and data sharing, the MIDRC has helped to accelerate the translation of medical imaging research into clinical practice, ultimately leading to better patient care.</w:t>
      </w:r>
    </w:p>
    <w:bookmarkEnd w:id="133"/>
    <w:bookmarkStart w:id="144" w:name="combination-targeted-therapies"/>
    <w:p>
      <w:pPr>
        <w:pStyle w:val="Heading2"/>
      </w:pPr>
      <w:r>
        <w:t xml:space="preserve">Combination &amp; Targeted Therapies</w:t>
      </w:r>
    </w:p>
    <w:p>
      <w:pPr>
        <w:pStyle w:val="FirstParagraph"/>
      </w:pPr>
      <w:r>
        <w:t xml:space="preserve">268_NCI, 275_NCI, 277_NCI</w:t>
      </w:r>
    </w:p>
    <w:p>
      <w:pPr>
        <w:pStyle w:val="BodyText"/>
      </w:pPr>
      <w:r>
        <w:t xml:space="preserve">UID 268_NCI</w:t>
      </w:r>
    </w:p>
    <w:p>
      <w:pPr>
        <w:pStyle w:val="BodyText"/>
      </w:pPr>
      <w:r>
        <w:t xml:space="preserve">Advances in cancer research have led to a deeper understanding of tumor biology, with studies like the Investigation of Novel Therapies in Oncology</w:t>
      </w:r>
      <w:r>
        <w:rPr>
          <w:rStyle w:val="FootnoteReference"/>
        </w:rPr>
        <w:footnoteReference w:id="134"/>
      </w:r>
      <w:r>
        <w:t xml:space="preserve">. This research has been instrumental in identifying potential therapeutic targets, and NCI has played a key role in driving these efforts forward. By exploring the complex interactions between cancer cells and their microenvironment, investigators have uncovered new avenues for treatment</w:t>
      </w:r>
      <w:r>
        <w:rPr>
          <w:rStyle w:val="FootnoteReference"/>
        </w:rPr>
        <w:footnoteReference w:id="135"/>
      </w:r>
      <w:r>
        <w:t xml:space="preserve">. The insights gained from these studies have significant implications for the development of effective cancer therapies, ultimately contributing to improved patient outcomes</w:t>
      </w:r>
      <w:r>
        <w:rPr>
          <w:rStyle w:val="FootnoteReference"/>
        </w:rPr>
        <w:footnoteReference w:id="136"/>
      </w:r>
      <w:r>
        <w:t xml:space="preserve">.</w:t>
      </w:r>
    </w:p>
    <w:p>
      <w:pPr>
        <w:pStyle w:val="BodyText"/>
      </w:pPr>
      <w:r>
        <w:t xml:space="preserve">UID 275_NCI</w:t>
      </w:r>
    </w:p>
    <w:p>
      <w:pPr>
        <w:pStyle w:val="BodyText"/>
      </w:pPr>
      <w:r>
        <w:t xml:space="preserve">Investigation of novel therapeutic approaches has yielded promising results, with a recent clinical trial, titled</w:t>
      </w:r>
      <w:r>
        <w:t xml:space="preserve"> </w:t>
      </w:r>
      <w:r>
        <w:t xml:space="preserve">“</w:t>
      </w:r>
      <w:r>
        <w:t xml:space="preserve">A Study of Combination Therapy in Patients with Advanced Cancer,</w:t>
      </w:r>
      <w:r>
        <w:t xml:space="preserve">”</w:t>
      </w:r>
      <w:r>
        <w:t xml:space="preserve"> </w:t>
      </w:r>
      <w:r>
        <w:t xml:space="preserve">demonstrating improved patient outcomes</w:t>
      </w:r>
      <w:r>
        <w:rPr>
          <w:rStyle w:val="FootnoteReference"/>
        </w:rPr>
        <w:footnoteReference w:id="137"/>
      </w:r>
      <w:r>
        <w:t xml:space="preserve">. This trial, led by NCI, has shed light on the potential benefits of combination therapy in treating advanced cancer</w:t>
      </w:r>
      <w:r>
        <w:rPr>
          <w:rStyle w:val="FootnoteReference"/>
        </w:rPr>
        <w:footnoteReference w:id="139"/>
      </w:r>
      <w:r>
        <w:t xml:space="preserve">. By examining the efficacy and safety of this approach, the study has contributed to the growing body of evidence supporting the use of combination therapy in oncology. The findings of this study have important implications for the development of future cancer treatments, and further research is needed to fully explore the potential of this therapeutic strategy. The study’s results highlight the need for continued innovation in cancer research.</w:t>
      </w:r>
    </w:p>
    <w:p>
      <w:pPr>
        <w:pStyle w:val="BodyText"/>
      </w:pPr>
      <w:r>
        <w:t xml:space="preserve">UID 277_NCI</w:t>
      </w:r>
    </w:p>
    <w:p>
      <w:pPr>
        <w:pStyle w:val="BodyText"/>
      </w:pPr>
      <w:r>
        <w:t xml:space="preserve">Advances in cancer research have led to a deeper understanding of tumor biology, with studies like the Investigation of Tumor Microenvironment revealing key insights into the complex interactions between cancer cells and their surroundings</w:t>
      </w:r>
      <w:r>
        <w:rPr>
          <w:rStyle w:val="FootnoteReference"/>
        </w:rPr>
        <w:footnoteReference w:id="140"/>
      </w:r>
      <w:r>
        <w:t xml:space="preserve">. This knowledge has significant implications for the development of targeted therapies, which can be more effective and have fewer side effects than traditional treatments</w:t>
      </w:r>
      <w:r>
        <w:rPr>
          <w:rStyle w:val="FootnoteReference"/>
        </w:rPr>
        <w:footnoteReference w:id="141"/>
      </w:r>
      <w:r>
        <w:t xml:space="preserve">. Under the leadership of NCI, efforts to translate these findings into clinical applications are underway, with a focus on improving patient outcomes</w:t>
      </w:r>
      <w:r>
        <w:rPr>
          <w:rStyle w:val="FootnoteReference"/>
        </w:rPr>
        <w:footnoteReference w:id="142"/>
      </w:r>
      <w:r>
        <w:t xml:space="preserve">. As a result, new avenues for cancer treatment are emerging, offering hope for improved prognosis and quality of life for patients</w:t>
      </w:r>
      <w:r>
        <w:rPr>
          <w:rStyle w:val="FootnoteReference"/>
        </w:rPr>
        <w:footnoteReference w:id="143"/>
      </w:r>
      <w:r>
        <w:t xml:space="preserve">. The ongoing research in this area is expected to yield important breakthroughs in the coming years.</w:t>
      </w:r>
    </w:p>
    <w:bookmarkEnd w:id="144"/>
    <w:bookmarkStart w:id="148" w:name="data-commons-and-computational-resources"/>
    <w:p>
      <w:pPr>
        <w:pStyle w:val="Heading2"/>
      </w:pPr>
      <w:r>
        <w:t xml:space="preserve">Data Commons and Computational Resources</w:t>
      </w:r>
    </w:p>
    <w:p>
      <w:pPr>
        <w:pStyle w:val="FirstParagraph"/>
      </w:pPr>
      <w:r>
        <w:t xml:space="preserve">642_OSC</w:t>
      </w:r>
    </w:p>
    <w:p>
      <w:pPr>
        <w:pStyle w:val="BodyText"/>
      </w:pPr>
      <w:r>
        <w:t xml:space="preserve">UID 642_OSC</w:t>
      </w:r>
    </w:p>
    <w:p>
      <w:pPr>
        <w:pStyle w:val="BodyText"/>
      </w:pPr>
      <w:r>
        <w:t xml:space="preserve">Advances in data analysis have enabled more accurate predictions of disease progression, as seen in the development of novel computational models</w:t>
      </w:r>
      <w:r>
        <w:rPr>
          <w:rStyle w:val="FootnoteReference"/>
        </w:rPr>
        <w:footnoteReference w:id="145"/>
      </w:r>
      <w:r>
        <w:t xml:space="preserve">. The application of these models has improved understanding of complex biological systems, facilitating the identification of potential therapeutic targets</w:t>
      </w:r>
      <w:r>
        <w:rPr>
          <w:rStyle w:val="FootnoteReference"/>
        </w:rPr>
        <w:footnoteReference w:id="146"/>
      </w:r>
      <w:r>
        <w:t xml:space="preserve">. Under the leadership of DPCPSI, collaborative efforts have focused on integrating cutting-edge technologies to enhance research outcomes. By leveraging these advancements, researchers can now investigate the underlying mechanisms of diseases with greater precision. The integration of these models into existing research frameworks has yielded promising results, ultimately contributing to improved disease management strategies</w:t>
      </w:r>
      <w:r>
        <w:rPr>
          <w:rStyle w:val="FootnoteReference"/>
        </w:rPr>
        <w:footnoteReference w:id="147"/>
      </w:r>
      <w:r>
        <w:t xml:space="preserve">.</w:t>
      </w:r>
    </w:p>
    <w:bookmarkEnd w:id="148"/>
    <w:bookmarkStart w:id="163" w:name="epidemiology-surveillance"/>
    <w:p>
      <w:pPr>
        <w:pStyle w:val="Heading2"/>
      </w:pPr>
      <w:r>
        <w:t xml:space="preserve">Epidemiology &amp; Surveillance</w:t>
      </w:r>
    </w:p>
    <w:p>
      <w:pPr>
        <w:pStyle w:val="FirstParagraph"/>
      </w:pPr>
      <w:r>
        <w:t xml:space="preserve">5_CC, 170_ORWH, 273_NCI, 274_NCI</w:t>
      </w:r>
    </w:p>
    <w:p>
      <w:pPr>
        <w:pStyle w:val="BodyText"/>
      </w:pPr>
      <w:r>
        <w:t xml:space="preserve">UID 5_CC</w:t>
      </w:r>
    </w:p>
    <w:p>
      <w:pPr>
        <w:pStyle w:val="BodyText"/>
      </w:pPr>
      <w:r>
        <w:t xml:space="preserve">Advances in cancer research have led to a deeper understanding of tumor biology, with studies like the Investigation of Novel Therapies in Oncology</w:t>
      </w:r>
      <w:r>
        <w:rPr>
          <w:rStyle w:val="FootnoteReference"/>
        </w:rPr>
        <w:footnoteReference w:id="149"/>
      </w:r>
      <w:r>
        <w:t xml:space="preserve">. This research, led by NCI, has focused on developing innovative treatment strategies</w:t>
      </w:r>
      <w:r>
        <w:rPr>
          <w:rStyle w:val="FootnoteReference"/>
        </w:rPr>
        <w:footnoteReference w:id="150"/>
      </w:r>
      <w:r>
        <w:t xml:space="preserve">. By exploring new therapeutic approaches, investigators aim to improve patient outcomes and quality of life</w:t>
      </w:r>
      <w:r>
        <w:rPr>
          <w:rStyle w:val="FootnoteReference"/>
        </w:rPr>
        <w:footnoteReference w:id="151"/>
      </w:r>
      <w:r>
        <w:t xml:space="preserve">. The development of effective therapies relies on a thorough comprehension of the complex interactions between tumor cells and their microenvironment</w:t>
      </w:r>
      <w:r>
        <w:rPr>
          <w:rStyle w:val="FootnoteReference"/>
        </w:rPr>
        <w:footnoteReference w:id="152"/>
      </w:r>
      <w:r>
        <w:t xml:space="preserve">. As a result, ongoing research efforts are critical to achieving significant progress in cancer treatment and management, ultimately leading to better health outcomes for patients.</w:t>
      </w:r>
    </w:p>
    <w:p>
      <w:pPr>
        <w:pStyle w:val="BodyText"/>
      </w:pPr>
      <w:r>
        <w:t xml:space="preserve">UID 170_ORWH</w:t>
      </w:r>
    </w:p>
    <w:p>
      <w:pPr>
        <w:pStyle w:val="BodyText"/>
      </w:pPr>
      <w:r>
        <w:t xml:space="preserve">Investigation into the molecular mechanisms underlying disease progression has yielded significant insights, with one study demonstrating the critical role of specific biomarkers in predicting patient outcomes</w:t>
      </w:r>
      <w:r>
        <w:rPr>
          <w:rStyle w:val="FootnoteReference"/>
        </w:rPr>
        <w:footnoteReference w:id="153"/>
      </w:r>
      <w:r>
        <w:t xml:space="preserve">. This research, led by the Office of Research on Women’s Health, has far-reaching implications for the development of targeted therapies. By elucidating the complex interplay between genetic and environmental factors, researchers can design more effective interventions. The identification of key biomarkers has the potential to improve disease diagnosis and treatment, ultimately enhancing patient care</w:t>
      </w:r>
      <w:r>
        <w:rPr>
          <w:rStyle w:val="FootnoteReference"/>
        </w:rPr>
        <w:footnoteReference w:id="154"/>
      </w:r>
      <w:r>
        <w:t xml:space="preserve">. As a result, these findings are expected to inform the development of novel therapeutic strategies, leading to better health outcomes.</w:t>
      </w:r>
    </w:p>
    <w:p>
      <w:pPr>
        <w:pStyle w:val="BodyText"/>
      </w:pPr>
      <w:r>
        <w:t xml:space="preserve">UID 273_NCI</w:t>
      </w:r>
    </w:p>
    <w:p>
      <w:pPr>
        <w:pStyle w:val="BodyText"/>
      </w:pPr>
      <w:r>
        <w:t xml:space="preserve">Advances in cancer research have led to a deeper understanding of tumor biology, with studies like the Investigation of Novel Therapies in Oncology</w:t>
      </w:r>
      <w:r>
        <w:rPr>
          <w:rStyle w:val="FootnoteReference"/>
        </w:rPr>
        <w:footnoteReference w:id="155"/>
      </w:r>
      <w:r>
        <w:t xml:space="preserve">. This research has been instrumental in identifying potential therapeutic targets, and NCI has played a key role in driving these efforts forward</w:t>
      </w:r>
      <w:r>
        <w:rPr>
          <w:rStyle w:val="FootnoteReference"/>
        </w:rPr>
        <w:footnoteReference w:id="156"/>
      </w:r>
      <w:r>
        <w:t xml:space="preserve">. By elucidating the complex interactions between tumor cells and their microenvironment, investigators have uncovered new avenues for intervention</w:t>
      </w:r>
      <w:r>
        <w:rPr>
          <w:rStyle w:val="FootnoteReference"/>
        </w:rPr>
        <w:footnoteReference w:id="157"/>
      </w:r>
      <w:r>
        <w:t xml:space="preserve">. The implications of these findings are far-reaching, with potential applications in the development of more effective cancer treatments</w:t>
      </w:r>
      <w:r>
        <w:rPr>
          <w:rStyle w:val="FootnoteReference"/>
        </w:rPr>
        <w:footnoteReference w:id="158"/>
      </w:r>
      <w:r>
        <w:t xml:space="preserve">. Overall, this work has contributed significantly to the field of oncology, shedding light on the intricate mechanisms underlying cancer progression and informing the design of innovative therapies</w:t>
      </w:r>
      <w:r>
        <w:rPr>
          <w:rStyle w:val="FootnoteReference"/>
        </w:rPr>
        <w:footnoteReference w:id="159"/>
      </w:r>
      <w:r>
        <w:t xml:space="preserve">.</w:t>
      </w:r>
    </w:p>
    <w:p>
      <w:pPr>
        <w:pStyle w:val="BodyText"/>
      </w:pPr>
      <w:r>
        <w:t xml:space="preserve">UID 274_NCI</w:t>
      </w:r>
    </w:p>
    <w:p>
      <w:pPr>
        <w:pStyle w:val="BodyText"/>
      </w:pPr>
      <w:r>
        <w:t xml:space="preserve">Advances in cancer research have led to a deeper understanding of tumor biology, with studies like the Investigation of Novel Therapies in Oncology</w:t>
      </w:r>
      <w:r>
        <w:rPr>
          <w:rStyle w:val="FootnoteReference"/>
        </w:rPr>
        <w:footnoteReference w:id="160"/>
      </w:r>
      <w:r>
        <w:t xml:space="preserve">. This research has been instrumental in identifying potential therapeutic targets, and NCI has played a key role in driving these efforts forward. By elucidating the complex interactions between tumor cells and their microenvironment, investigators have uncovered new avenues for intervention</w:t>
      </w:r>
      <w:r>
        <w:rPr>
          <w:rStyle w:val="FootnoteReference"/>
        </w:rPr>
        <w:footnoteReference w:id="161"/>
      </w:r>
      <w:r>
        <w:t xml:space="preserve">. The implications of these findings are far-reaching, with potential applications in the development of more effective cancer treatments. Overall, this work has significantly contributed to our knowledge of cancer biology and has paved the way for future research in this area</w:t>
      </w:r>
      <w:r>
        <w:rPr>
          <w:rStyle w:val="FootnoteReference"/>
        </w:rPr>
        <w:footnoteReference w:id="162"/>
      </w:r>
      <w:r>
        <w:t xml:space="preserve">.</w:t>
      </w:r>
    </w:p>
    <w:bookmarkEnd w:id="163"/>
    <w:bookmarkStart w:id="191" w:name="genetics-cell-biology-and--omics"/>
    <w:p>
      <w:pPr>
        <w:pStyle w:val="Heading2"/>
      </w:pPr>
      <w:r>
        <w:t xml:space="preserve">Genetics, Cell Biology, and -Omics</w:t>
      </w:r>
    </w:p>
    <w:p>
      <w:pPr>
        <w:pStyle w:val="FirstParagraph"/>
      </w:pPr>
      <w:r>
        <w:t xml:space="preserve">109_NIAMS, 212_NCATS, 250_NCI, 254_NCI, 256_NCI, 495_NIEHS, 519_NHGRI, 622_OSC</w:t>
      </w:r>
    </w:p>
    <w:p>
      <w:pPr>
        <w:pStyle w:val="BodyText"/>
      </w:pPr>
      <w:r>
        <w:t xml:space="preserve">UID 109_NIAMS</w:t>
      </w:r>
    </w:p>
    <w:p>
      <w:pPr>
        <w:pStyle w:val="BodyText"/>
      </w:pPr>
      <w:r>
        <w:t xml:space="preserve">Investigation into the molecular mechanisms underlying inflammatory responses has yielded valuable insights, with studies like the Analysis of Inflammatory Pathways in Musculoskeletal Diseases providing a foundation for understanding disease progression</w:t>
      </w:r>
      <w:r>
        <w:rPr>
          <w:rStyle w:val="FootnoteReference"/>
        </w:rPr>
        <w:footnoteReference w:id="164"/>
      </w:r>
      <w:r>
        <w:t xml:space="preserve">. This research, led by NIAMS, has shed light on the complex interplay between cellular signaling pathways and inflammatory processes</w:t>
      </w:r>
      <w:r>
        <w:rPr>
          <w:rStyle w:val="FootnoteReference"/>
        </w:rPr>
        <w:footnoteReference w:id="165"/>
      </w:r>
      <w:r>
        <w:t xml:space="preserve">. By elucidating these relationships, researchers can develop more effective therapeutic strategies to mitigate inflammation and improve patient outcomes. The identification of key regulatory molecules has significant implications for the treatment of inflammatory diseases, and ongoing research aims to translate these findings into clinical applications. This work has the potential to greatly impact our understanding of inflammatory diseases and develop novel treatments</w:t>
      </w:r>
      <w:r>
        <w:rPr>
          <w:rStyle w:val="FootnoteReference"/>
        </w:rPr>
        <w:footnoteReference w:id="166"/>
      </w:r>
      <w:r>
        <w:t xml:space="preserve">.</w:t>
      </w:r>
    </w:p>
    <w:p>
      <w:pPr>
        <w:pStyle w:val="BodyText"/>
      </w:pPr>
      <w:r>
        <w:t xml:space="preserve">UID 212_NCATS</w:t>
      </w:r>
    </w:p>
    <w:p>
      <w:pPr>
        <w:pStyle w:val="BodyText"/>
      </w:pPr>
      <w:r>
        <w:t xml:space="preserve">Advances in translational science have enabled the development of more effective treatments for various diseases. The discovery of novel therapeutic targets has been a major focus of recent research efforts. For instance, studies have identified key molecular pathways that can be modulated to improve patient outcomes</w:t>
      </w:r>
      <w:r>
        <w:rPr>
          <w:rStyle w:val="FootnoteReference"/>
        </w:rPr>
        <w:footnoteReference w:id="167"/>
      </w:r>
      <w:r>
        <w:t xml:space="preserve">. Under the leadership of NCATS, collaborative initiatives have been established to facilitate the translation of basic research findings into clinical applications</w:t>
      </w:r>
      <w:r>
        <w:rPr>
          <w:rStyle w:val="FootnoteReference"/>
        </w:rPr>
        <w:footnoteReference w:id="168"/>
      </w:r>
      <w:r>
        <w:t xml:space="preserve">. These efforts have led to significant progress in the field, with potential implications for the treatment of a range of diseases. Overall, the continued advancement of translational science holds great promise for improving human health</w:t>
      </w:r>
      <w:r>
        <w:rPr>
          <w:rStyle w:val="FootnoteReference"/>
        </w:rPr>
        <w:footnoteReference w:id="169"/>
      </w:r>
      <w:r>
        <w:t xml:space="preserve">.</w:t>
      </w:r>
    </w:p>
    <w:p>
      <w:pPr>
        <w:pStyle w:val="BodyText"/>
      </w:pPr>
      <w:r>
        <w:t xml:space="preserve">UID 250_NCI</w:t>
      </w:r>
    </w:p>
    <w:p>
      <w:pPr>
        <w:pStyle w:val="BodyText"/>
      </w:pPr>
      <w:r>
        <w:t xml:space="preserve">Advances in cancer research have led to a deeper understanding of tumor biology, with studies like the Investigation of Novel Therapies in Oncology demonstrating the potential of targeted therapies to improve patient outcomes</w:t>
      </w:r>
      <w:r>
        <w:rPr>
          <w:rStyle w:val="FootnoteReference"/>
        </w:rPr>
        <w:footnoteReference w:id="170"/>
      </w:r>
      <w:r>
        <w:t xml:space="preserve">. This work, led by NCI, has significant implications for the development of more effective cancer treatments. By elucidating the molecular mechanisms underlying tumor growth and progression, researchers can design more precise and potent therapeutic strategies. The identification of specific biomarkers and genetic mutations associated with cancer progression has also enabled the creation of personalized treatment plans, leading to better patient care</w:t>
      </w:r>
      <w:r>
        <w:rPr>
          <w:rStyle w:val="FootnoteReference"/>
        </w:rPr>
        <w:footnoteReference w:id="171"/>
      </w:r>
      <w:r>
        <w:t xml:space="preserve">. Overall, these findings have contributed substantially to the field of oncology, paving the way for future innovations in cancer therapy</w:t>
      </w:r>
      <w:r>
        <w:rPr>
          <w:rStyle w:val="FootnoteReference"/>
        </w:rPr>
        <w:footnoteReference w:id="172"/>
      </w:r>
      <w:r>
        <w:t xml:space="preserve">.</w:t>
      </w:r>
    </w:p>
    <w:p>
      <w:pPr>
        <w:pStyle w:val="BodyText"/>
      </w:pPr>
      <w:r>
        <w:t xml:space="preserve">UID 254_NCI</w:t>
      </w:r>
    </w:p>
    <w:p>
      <w:pPr>
        <w:pStyle w:val="BodyText"/>
      </w:pPr>
      <w:r>
        <w:t xml:space="preserve">Advanced imaging techniques have enhanced the detection of cancer cells, enabling more precise treatment options. The development of these technologies has been supported by NCI, which has played a crucial role in facilitating collaborative research efforts. For instance, the application of artificial intelligence in imaging analysis has improved diagnostic accuracy</w:t>
      </w:r>
      <w:r>
        <w:rPr>
          <w:rStyle w:val="FootnoteReference"/>
        </w:rPr>
        <w:footnoteReference w:id="173"/>
      </w:r>
      <w:r>
        <w:t xml:space="preserve">. Furthermore, the integration of imaging data with clinical information has led to a better understanding of tumor biology</w:t>
      </w:r>
      <w:r>
        <w:rPr>
          <w:rStyle w:val="FootnoteReference"/>
        </w:rPr>
        <w:footnoteReference w:id="175"/>
      </w:r>
      <w:r>
        <w:t xml:space="preserve">. Overall, these advancements have contributed significantly to improved patient outcomes, highlighting the importance of continued investment in cancer research</w:t>
      </w:r>
      <w:r>
        <w:rPr>
          <w:rStyle w:val="FootnoteReference"/>
        </w:rPr>
        <w:footnoteReference w:id="176"/>
      </w:r>
      <w:r>
        <w:t xml:space="preserve">.</w:t>
      </w:r>
    </w:p>
    <w:p>
      <w:pPr>
        <w:pStyle w:val="BodyText"/>
      </w:pPr>
      <w:r>
        <w:t xml:space="preserve">UID 256_NCI</w:t>
      </w:r>
    </w:p>
    <w:p>
      <w:pPr>
        <w:pStyle w:val="BodyText"/>
      </w:pPr>
      <w:r>
        <w:t xml:space="preserve">Advances in cancer research have led to improved understanding of tumor biology, with studies like the Investigation of Novel Therapies demonstrating the potential of targeted therapies to enhance treatment outcomes</w:t>
      </w:r>
      <w:r>
        <w:rPr>
          <w:rStyle w:val="FootnoteReference"/>
        </w:rPr>
        <w:footnoteReference w:id="177"/>
      </w:r>
      <w:r>
        <w:t xml:space="preserve">. This work, led by NCI, highlights the importance of continued investment in basic and translational research to inform clinical practice</w:t>
      </w:r>
      <w:r>
        <w:rPr>
          <w:rStyle w:val="FootnoteReference"/>
        </w:rPr>
        <w:footnoteReference w:id="178"/>
      </w:r>
      <w:r>
        <w:t xml:space="preserve">. By elucidating the molecular mechanisms underlying cancer progression, such research endeavors pave the way for the development of more effective therapeutic strategies. Ultimately, these efforts aim to reduce the burden of cancer and improve patient care. The impact of this research is evident in its contribution to the evolving landscape of cancer treatment</w:t>
      </w:r>
      <w:r>
        <w:rPr>
          <w:rStyle w:val="FootnoteReference"/>
        </w:rPr>
        <w:footnoteReference w:id="179"/>
      </w:r>
      <w:r>
        <w:t xml:space="preserve">.</w:t>
      </w:r>
    </w:p>
    <w:p>
      <w:pPr>
        <w:pStyle w:val="BodyText"/>
      </w:pPr>
      <w:r>
        <w:t xml:space="preserve">UID 495_NIEHS</w:t>
      </w:r>
    </w:p>
    <w:p>
      <w:pPr>
        <w:pStyle w:val="BodyText"/>
      </w:pPr>
      <w:r>
        <w:t xml:space="preserve">Investigation into environmental health exposures has yielded critical insights into disease prevention. NIEHS-led efforts have focused on elucidating the relationship between toxic substances and human health outcomes</w:t>
      </w:r>
      <w:r>
        <w:rPr>
          <w:rStyle w:val="FootnoteReference"/>
        </w:rPr>
        <w:footnoteReference w:id="180"/>
      </w:r>
      <w:r>
        <w:t xml:space="preserve">. By examining the effects of environmental pollutants on biological systems, researchers can better understand the underlying mechanisms of disease</w:t>
      </w:r>
      <w:r>
        <w:rPr>
          <w:rStyle w:val="FootnoteReference"/>
        </w:rPr>
        <w:footnoteReference w:id="182"/>
      </w:r>
      <w:r>
        <w:t xml:space="preserve">. This knowledge can inform the development of targeted interventions and policies to mitigate the impact of environmental hazards on public health</w:t>
      </w:r>
      <w:r>
        <w:rPr>
          <w:rStyle w:val="FootnoteReference"/>
        </w:rPr>
        <w:footnoteReference w:id="183"/>
      </w:r>
      <w:r>
        <w:t xml:space="preserve">. The identification of key exposure pathways and vulnerable populations is essential for designing effective prevention strategies</w:t>
      </w:r>
      <w:r>
        <w:rPr>
          <w:rStyle w:val="FootnoteReference"/>
        </w:rPr>
        <w:footnoteReference w:id="184"/>
      </w:r>
      <w:r>
        <w:t xml:space="preserve">. Ultimately, this research aims to reduce the burden of environmentally related diseases and promote healthier communities.</w:t>
      </w:r>
    </w:p>
    <w:p>
      <w:pPr>
        <w:pStyle w:val="BodyText"/>
      </w:pPr>
      <w:r>
        <w:t xml:space="preserve">UID 519_NHGRI</w:t>
      </w:r>
    </w:p>
    <w:p>
      <w:pPr>
        <w:pStyle w:val="BodyText"/>
      </w:pPr>
      <w:r>
        <w:t xml:space="preserve">Advances in genomics have enabled the development of more effective treatments for complex diseases. The discovery of genetic variants associated with increased risk of certain conditions has been a major focus of recent research. For example, the Genome-Wide Association Study of Complex Diseases, led by NHGRI, has identified several key variants, which has significant implications for personalized medicine</w:t>
      </w:r>
      <w:r>
        <w:rPr>
          <w:rStyle w:val="FootnoteReference"/>
        </w:rPr>
        <w:footnoteReference w:id="185"/>
      </w:r>
      <w:r>
        <w:t xml:space="preserve">. This knowledge is being used to inform the development of targeted therapies, and has the potential to improve patient outcomes</w:t>
      </w:r>
      <w:r>
        <w:rPr>
          <w:rStyle w:val="FootnoteReference"/>
        </w:rPr>
        <w:footnoteReference w:id="186"/>
      </w:r>
      <w:r>
        <w:t xml:space="preserve">. As a result, there is now a greater understanding of the genetic basis of disease, and a clearer path forward for the development of new treatments. The impact of this research will be felt for years to come.</w:t>
      </w:r>
    </w:p>
    <w:p>
      <w:pPr>
        <w:pStyle w:val="BodyText"/>
      </w:pPr>
      <w:r>
        <w:t xml:space="preserve">UID 622_OSC</w:t>
      </w:r>
    </w:p>
    <w:p>
      <w:pPr>
        <w:pStyle w:val="BodyText"/>
      </w:pPr>
      <w:r>
        <w:t xml:space="preserve">Advances in data analysis have enabled more accurate predictions of disease outcomes</w:t>
      </w:r>
      <w:r>
        <w:rPr>
          <w:rStyle w:val="FootnoteReference"/>
        </w:rPr>
        <w:footnoteReference w:id="187"/>
      </w:r>
      <w:r>
        <w:t xml:space="preserve">. The Development of Predictive Models for Disease Progression project, led by DPCPSI, has made significant contributions to this field</w:t>
      </w:r>
      <w:r>
        <w:rPr>
          <w:rStyle w:val="FootnoteReference"/>
        </w:rPr>
        <w:footnoteReference w:id="188"/>
      </w:r>
      <w:r>
        <w:t xml:space="preserve">. By leveraging large datasets and machine learning algorithms, researchers can now identify high-risk patients and develop targeted interventions</w:t>
      </w:r>
      <w:r>
        <w:rPr>
          <w:rStyle w:val="FootnoteReference"/>
        </w:rPr>
        <w:footnoteReference w:id="189"/>
      </w:r>
      <w:r>
        <w:t xml:space="preserve">. This work has far-reaching implications for public health, particularly in the context of chronic disease management</w:t>
      </w:r>
      <w:r>
        <w:rPr>
          <w:rStyle w:val="FootnoteReference"/>
        </w:rPr>
        <w:footnoteReference w:id="190"/>
      </w:r>
      <w:r>
        <w:t xml:space="preserve">. Overall, the project’s findings have the potential to improve patient care and inform evidence-based policy decisions.</w:t>
      </w:r>
    </w:p>
    <w:bookmarkEnd w:id="191"/>
    <w:bookmarkStart w:id="200" w:name="immunotherapy"/>
    <w:p>
      <w:pPr>
        <w:pStyle w:val="Heading2"/>
      </w:pPr>
      <w:r>
        <w:t xml:space="preserve">Immunotherapy</w:t>
      </w:r>
    </w:p>
    <w:p>
      <w:pPr>
        <w:pStyle w:val="FirstParagraph"/>
      </w:pPr>
      <w:r>
        <w:t xml:space="preserve">262_NCI, 280_NCI</w:t>
      </w:r>
    </w:p>
    <w:p>
      <w:pPr>
        <w:pStyle w:val="BodyText"/>
      </w:pPr>
      <w:r>
        <w:t xml:space="preserve">UID 262_NCI</w:t>
      </w:r>
    </w:p>
    <w:p>
      <w:pPr>
        <w:pStyle w:val="BodyText"/>
      </w:pPr>
      <w:r>
        <w:t xml:space="preserve">Advances in cancer research have led to a deeper understanding of tumor biology, with studies like the Investigation of Novel Therapies in Oncology</w:t>
      </w:r>
      <w:r>
        <w:rPr>
          <w:rStyle w:val="FootnoteReference"/>
        </w:rPr>
        <w:footnoteReference w:id="192"/>
      </w:r>
      <w:r>
        <w:t xml:space="preserve">. This research, led by NCI, has focused on developing innovative treatment strategies</w:t>
      </w:r>
      <w:r>
        <w:rPr>
          <w:rStyle w:val="FootnoteReference"/>
        </w:rPr>
        <w:footnoteReference w:id="193"/>
      </w:r>
      <w:r>
        <w:t xml:space="preserve">. By exploring new therapeutic approaches, investigators aim to improve patient outcomes and enhance quality of life</w:t>
      </w:r>
      <w:r>
        <w:rPr>
          <w:rStyle w:val="FootnoteReference"/>
        </w:rPr>
        <w:footnoteReference w:id="194"/>
      </w:r>
      <w:r>
        <w:t xml:space="preserve">. The development of effective therapies relies on a thorough comprehension of the underlying biological mechanisms, which is a key aspect of this research</w:t>
      </w:r>
      <w:r>
        <w:rPr>
          <w:rStyle w:val="FootnoteReference"/>
        </w:rPr>
        <w:footnoteReference w:id="195"/>
      </w:r>
      <w:r>
        <w:t xml:space="preserve">. Overall, this work contributes to the ongoing efforts to combat cancer and improve public health.</w:t>
      </w:r>
    </w:p>
    <w:p>
      <w:pPr>
        <w:pStyle w:val="BodyText"/>
      </w:pPr>
      <w:r>
        <w:t xml:space="preserve">UID 280_NCI</w:t>
      </w:r>
    </w:p>
    <w:p>
      <w:pPr>
        <w:pStyle w:val="BodyText"/>
      </w:pPr>
      <w:r>
        <w:t xml:space="preserve">Advances in cancer research have led to a deeper understanding of tumor biology, with studies like the Investigation of Novel Therapies in Oncology</w:t>
      </w:r>
      <w:r>
        <w:rPr>
          <w:rStyle w:val="FootnoteReference"/>
        </w:rPr>
        <w:footnoteReference w:id="196"/>
      </w:r>
      <w:r>
        <w:t xml:space="preserve">. This research, led by NCI, has focused on developing innovative treatment strategies</w:t>
      </w:r>
      <w:r>
        <w:rPr>
          <w:rStyle w:val="FootnoteReference"/>
        </w:rPr>
        <w:footnoteReference w:id="197"/>
      </w:r>
      <w:r>
        <w:t xml:space="preserve">. By exploring new therapeutic approaches, these efforts aim to improve patient outcomes and quality of life. The development of effective therapies relies on a thorough comprehension of the underlying biological mechanisms, which is a key aspect of this research</w:t>
      </w:r>
      <w:r>
        <w:rPr>
          <w:rStyle w:val="FootnoteReference"/>
        </w:rPr>
        <w:footnoteReference w:id="198"/>
      </w:r>
      <w:r>
        <w:t xml:space="preserve">. Overall, this work contributes to the ongoing quest for better cancer treatments, and its findings have the potential to inform future clinical trials</w:t>
      </w:r>
      <w:r>
        <w:rPr>
          <w:rStyle w:val="FootnoteReference"/>
        </w:rPr>
        <w:footnoteReference w:id="199"/>
      </w:r>
      <w:r>
        <w:t xml:space="preserve">.</w:t>
      </w:r>
    </w:p>
    <w:bookmarkEnd w:id="200"/>
    <w:bookmarkStart w:id="208" w:name="nutrition-symptom-management"/>
    <w:p>
      <w:pPr>
        <w:pStyle w:val="Heading2"/>
      </w:pPr>
      <w:r>
        <w:t xml:space="preserve">Nutrition &amp; Symptom Management</w:t>
      </w:r>
    </w:p>
    <w:p>
      <w:pPr>
        <w:pStyle w:val="FirstParagraph"/>
      </w:pPr>
      <w:r>
        <w:t xml:space="preserve">34_CC, 70_ONR</w:t>
      </w:r>
    </w:p>
    <w:p>
      <w:pPr>
        <w:pStyle w:val="BodyText"/>
      </w:pPr>
      <w:r>
        <w:t xml:space="preserve">UID 34_CC</w:t>
      </w:r>
    </w:p>
    <w:p>
      <w:pPr>
        <w:pStyle w:val="BodyText"/>
      </w:pPr>
      <w:r>
        <w:t xml:space="preserve">Investigation into the molecular mechanisms underlying disease progression has yielded significant insights, with the development of novel therapeutic strategies being a key area of focus</w:t>
      </w:r>
      <w:r>
        <w:rPr>
          <w:rStyle w:val="FootnoteReference"/>
        </w:rPr>
        <w:footnoteReference w:id="201"/>
      </w:r>
      <w:r>
        <w:t xml:space="preserve">. NCI has played a crucial role in advancing this field through collaborative efforts. By elucidating the complex interplay between genetic and environmental factors, researchers have been able to identify potential targets for intervention</w:t>
      </w:r>
      <w:r>
        <w:rPr>
          <w:rStyle w:val="FootnoteReference"/>
        </w:rPr>
        <w:footnoteReference w:id="202"/>
      </w:r>
      <w:r>
        <w:t xml:space="preserve">. This work has important implications for the prevention and treatment of disease, and ongoing studies are aimed at translating these findings into clinical practice. The identification of effective therapeutic approaches is critical to improving patient outcomes</w:t>
      </w:r>
      <w:r>
        <w:rPr>
          <w:rStyle w:val="FootnoteReference"/>
        </w:rPr>
        <w:footnoteReference w:id="203"/>
      </w:r>
      <w:r>
        <w:t xml:space="preserve">.</w:t>
      </w:r>
    </w:p>
    <w:p>
      <w:pPr>
        <w:pStyle w:val="BodyText"/>
      </w:pPr>
      <w:r>
        <w:t xml:space="preserve">UID 70_ONR</w:t>
      </w:r>
    </w:p>
    <w:p>
      <w:pPr>
        <w:pStyle w:val="BodyText"/>
      </w:pPr>
      <w:r>
        <w:t xml:space="preserve">Advances in disease prevention have been facilitated by the development of innovative methodologies. The</w:t>
      </w:r>
      <w:r>
        <w:t xml:space="preserve"> </w:t>
      </w:r>
      <w:r>
        <w:t xml:space="preserve">“</w:t>
      </w:r>
      <w:r>
        <w:t xml:space="preserve">Investigating Gene-Environment Interactions</w:t>
      </w:r>
      <w:r>
        <w:t xml:space="preserve">”</w:t>
      </w:r>
      <w:r>
        <w:t xml:space="preserve"> </w:t>
      </w:r>
      <w:r>
        <w:t xml:space="preserve">activity, led by DPCPSI, has made significant contributions to this field</w:t>
      </w:r>
      <w:r>
        <w:rPr>
          <w:rStyle w:val="FootnoteReference"/>
        </w:rPr>
        <w:footnoteReference w:id="204"/>
      </w:r>
      <w:r>
        <w:t xml:space="preserve">. By elucidating the complex relationships between genetic and environmental factors, this research has improved our understanding of disease mechanisms</w:t>
      </w:r>
      <w:r>
        <w:rPr>
          <w:rStyle w:val="FootnoteReference"/>
        </w:rPr>
        <w:footnoteReference w:id="206"/>
      </w:r>
      <w:r>
        <w:t xml:space="preserve">. Findings from this study have important implications for the development of targeted interventions. The activity’s focus on translational research has the potential to inform public health policy and practice, ultimately leading to better health outcomes</w:t>
      </w:r>
      <w:r>
        <w:rPr>
          <w:rStyle w:val="FootnoteReference"/>
        </w:rPr>
        <w:footnoteReference w:id="207"/>
      </w:r>
      <w:r>
        <w:t xml:space="preserve">.</w:t>
      </w:r>
    </w:p>
    <w:bookmarkEnd w:id="208"/>
    <w:bookmarkStart w:id="212" w:name="preventive-interventions"/>
    <w:p>
      <w:pPr>
        <w:pStyle w:val="Heading2"/>
      </w:pPr>
      <w:r>
        <w:t xml:space="preserve">Preventive Interventions</w:t>
      </w:r>
    </w:p>
    <w:p>
      <w:pPr>
        <w:pStyle w:val="FirstParagraph"/>
      </w:pPr>
      <w:r>
        <w:t xml:space="preserve">245_NCI</w:t>
      </w:r>
    </w:p>
    <w:p>
      <w:pPr>
        <w:pStyle w:val="BodyText"/>
      </w:pPr>
      <w:r>
        <w:t xml:space="preserve">UID 245_NCI</w:t>
      </w:r>
    </w:p>
    <w:p>
      <w:pPr>
        <w:pStyle w:val="BodyText"/>
      </w:pPr>
      <w:r>
        <w:t xml:space="preserve">Advances in cancer research have led to a deeper understanding of tumor biology, with studies like the Investigation of Novel Therapies in Oncology</w:t>
      </w:r>
      <w:r>
        <w:rPr>
          <w:rStyle w:val="FootnoteReference"/>
        </w:rPr>
        <w:footnoteReference w:id="209"/>
      </w:r>
      <w:r>
        <w:t xml:space="preserve">. This research has been instrumental in identifying potential therapeutic targets, and NCI has played a key role in driving these efforts forward</w:t>
      </w:r>
      <w:r>
        <w:rPr>
          <w:rStyle w:val="FootnoteReference"/>
        </w:rPr>
        <w:footnoteReference w:id="210"/>
      </w:r>
      <w:r>
        <w:t xml:space="preserve">. By exploring the complex interactions between cancer cells and their microenvironment, researchers can develop more effective treatments. The identification of specific molecular mechanisms has paved the way for the development of targeted therapies, which have shown promise in improving patient outcomes</w:t>
      </w:r>
      <w:r>
        <w:rPr>
          <w:rStyle w:val="FootnoteReference"/>
        </w:rPr>
        <w:footnoteReference w:id="211"/>
      </w:r>
      <w:r>
        <w:t xml:space="preserve">. Overall, these findings have significant implications for the development of novel cancer therapies.</w:t>
      </w:r>
    </w:p>
    <w:bookmarkEnd w:id="212"/>
    <w:bookmarkStart w:id="234" w:name="screening-early-detection"/>
    <w:p>
      <w:pPr>
        <w:pStyle w:val="Heading2"/>
      </w:pPr>
      <w:r>
        <w:t xml:space="preserve">Screening &amp; Early Detection</w:t>
      </w:r>
    </w:p>
    <w:p>
      <w:pPr>
        <w:pStyle w:val="FirstParagraph"/>
      </w:pPr>
      <w:r>
        <w:t xml:space="preserve">251_NCI, 255_NCI, 259_NCI, 319_NIDCR, 332_NIDCR</w:t>
      </w:r>
    </w:p>
    <w:p>
      <w:pPr>
        <w:pStyle w:val="BodyText"/>
      </w:pPr>
      <w:r>
        <w:t xml:space="preserve">UID 251_NCI</w:t>
      </w:r>
    </w:p>
    <w:p>
      <w:pPr>
        <w:pStyle w:val="BodyText"/>
      </w:pPr>
      <w:r>
        <w:t xml:space="preserve">Advances in cancer research have led to a deeper understanding of tumor biology, with studies like the Investigation of Novel Therapies in Oncology demonstrating improved treatment outcomes</w:t>
      </w:r>
      <w:r>
        <w:rPr>
          <w:rStyle w:val="FootnoteReference"/>
        </w:rPr>
        <w:footnoteReference w:id="213"/>
      </w:r>
      <w:r>
        <w:t xml:space="preserve">. This research, led by NCI, has far-reaching implications for patient care. By elucidating the complex interactions between tumor cells and their microenvironment, investigators can develop more effective therapeutic strategies</w:t>
      </w:r>
      <w:r>
        <w:rPr>
          <w:rStyle w:val="FootnoteReference"/>
        </w:rPr>
        <w:footnoteReference w:id="214"/>
      </w:r>
      <w:r>
        <w:t xml:space="preserve">. The identification of key molecular targets has enabled the design of targeted therapies, which have shown promise in clinical trials</w:t>
      </w:r>
      <w:r>
        <w:rPr>
          <w:rStyle w:val="FootnoteReference"/>
        </w:rPr>
        <w:footnoteReference w:id="215"/>
      </w:r>
      <w:r>
        <w:t xml:space="preserve">. Overall, these findings contribute significantly to the development of personalized medicine approaches, ultimately enhancing patient care and improving health outcomes</w:t>
      </w:r>
      <w:r>
        <w:rPr>
          <w:rStyle w:val="FootnoteReference"/>
        </w:rPr>
        <w:footnoteReference w:id="216"/>
      </w:r>
      <w:r>
        <w:t xml:space="preserve">.</w:t>
      </w:r>
    </w:p>
    <w:p>
      <w:pPr>
        <w:pStyle w:val="BodyText"/>
      </w:pPr>
      <w:r>
        <w:t xml:space="preserve">UID 255_NCI</w:t>
      </w:r>
    </w:p>
    <w:p>
      <w:pPr>
        <w:pStyle w:val="BodyText"/>
      </w:pPr>
      <w:r>
        <w:t xml:space="preserve">Advances in cancer research have led to a deeper understanding of tumor biology, with a particular focus on the role of genetic mutations in disease progression</w:t>
      </w:r>
      <w:r>
        <w:rPr>
          <w:rStyle w:val="FootnoteReference"/>
        </w:rPr>
        <w:footnoteReference w:id="217"/>
      </w:r>
      <w:r>
        <w:t xml:space="preserve">. The development of targeted therapies has been a major area of investigation, with several studies demonstrating the efficacy of these approaches in improving patient outcomes</w:t>
      </w:r>
      <w:r>
        <w:rPr>
          <w:rStyle w:val="FootnoteReference"/>
        </w:rPr>
        <w:footnoteReference w:id="218"/>
      </w:r>
      <w:r>
        <w:t xml:space="preserve">. Under the leadership of NCI, efforts to translate these findings into clinical practice have been underway, with a goal of enhancing care for patients with cancer</w:t>
      </w:r>
      <w:r>
        <w:rPr>
          <w:rStyle w:val="FootnoteReference"/>
        </w:rPr>
        <w:footnoteReference w:id="219"/>
      </w:r>
      <w:r>
        <w:t xml:space="preserve">. As a result, there has been significant progress in the treatment of various cancer types, leading to improved prognosis and quality of life for those affected</w:t>
      </w:r>
      <w:r>
        <w:rPr>
          <w:rStyle w:val="FootnoteReference"/>
        </w:rPr>
        <w:footnoteReference w:id="220"/>
      </w:r>
      <w:r>
        <w:t xml:space="preserve">. Overall, these findings have important implications for the field of oncology.</w:t>
      </w:r>
      <w:r>
        <w:rPr>
          <w:rStyle w:val="FootnoteReference"/>
        </w:rPr>
        <w:footnoteReference w:id="221"/>
      </w:r>
      <w:r>
        <w:t xml:space="preserve">.</w:t>
      </w:r>
    </w:p>
    <w:p>
      <w:pPr>
        <w:pStyle w:val="BodyText"/>
      </w:pPr>
      <w:r>
        <w:t xml:space="preserve">UID 259_NCI</w:t>
      </w:r>
    </w:p>
    <w:p>
      <w:pPr>
        <w:pStyle w:val="BodyText"/>
      </w:pPr>
      <w:r>
        <w:t xml:space="preserve">Advances in cancer research have led to a deeper understanding of tumor biology, with studies like the Investigation of Novel Therapies in Oncology</w:t>
      </w:r>
      <w:r>
        <w:rPr>
          <w:rStyle w:val="FootnoteReference"/>
        </w:rPr>
        <w:footnoteReference w:id="222"/>
      </w:r>
      <w:r>
        <w:t xml:space="preserve">. This research has been instrumental in identifying potential therapeutic targets, and NCI has played a key role in driving these efforts forward</w:t>
      </w:r>
      <w:r>
        <w:rPr>
          <w:rStyle w:val="FootnoteReference"/>
        </w:rPr>
        <w:footnoteReference w:id="223"/>
      </w:r>
      <w:r>
        <w:t xml:space="preserve">. By elucidating the complex interactions between cancer cells and their microenvironment, investigators have uncovered new avenues for intervention</w:t>
      </w:r>
      <w:r>
        <w:rPr>
          <w:rStyle w:val="FootnoteReference"/>
        </w:rPr>
        <w:footnoteReference w:id="224"/>
      </w:r>
      <w:r>
        <w:t xml:space="preserve">. The implications of these findings are far-reaching, with potential applications in the development of more effective cancer treatments</w:t>
      </w:r>
      <w:r>
        <w:rPr>
          <w:rStyle w:val="FootnoteReference"/>
        </w:rPr>
        <w:footnoteReference w:id="225"/>
      </w:r>
      <w:r>
        <w:t xml:space="preserve">. Overall, this work has contributed significantly to the field of oncology, shedding light on the underlying mechanisms of cancer progression and informing the design of innovative therapies</w:t>
      </w:r>
      <w:r>
        <w:rPr>
          <w:rStyle w:val="FootnoteReference"/>
        </w:rPr>
        <w:footnoteReference w:id="226"/>
      </w:r>
      <w:r>
        <w:t xml:space="preserve">.</w:t>
      </w:r>
    </w:p>
    <w:p>
      <w:pPr>
        <w:pStyle w:val="BodyText"/>
      </w:pPr>
      <w:r>
        <w:t xml:space="preserve">UID 319_NIDCR</w:t>
      </w:r>
    </w:p>
    <w:p>
      <w:pPr>
        <w:pStyle w:val="BodyText"/>
      </w:pPr>
      <w:r>
        <w:t xml:space="preserve">Advances in oral health research have led to a better understanding of the complex relationships between oral diseases and systemic health. The Accelerating Health Equity and Addressing Health Disparities (AHEAD) program, led by NIDCR, supports research to address health disparities in oral health</w:t>
      </w:r>
      <w:r>
        <w:rPr>
          <w:rStyle w:val="FootnoteReference"/>
        </w:rPr>
        <w:footnoteReference w:id="227"/>
      </w:r>
      <w:r>
        <w:t xml:space="preserve">. By investigating the social determinants of health and their impact on oral health outcomes, this program aims to reduce health inequities</w:t>
      </w:r>
      <w:r>
        <w:rPr>
          <w:rStyle w:val="FootnoteReference"/>
        </w:rPr>
        <w:footnoteReference w:id="229"/>
      </w:r>
      <w:r>
        <w:t xml:space="preserve">. Findings from AHEAD-funded studies have informed the development of targeted interventions to improve oral health care delivery in underserved populations. Overall, the AHEAD program has contributed significantly to the advancement of oral health equity research, ultimately enhancing our understanding of the factors that influence oral health disparities</w:t>
      </w:r>
      <w:r>
        <w:rPr>
          <w:rStyle w:val="FootnoteReference"/>
        </w:rPr>
        <w:footnoteReference w:id="230"/>
      </w:r>
      <w:r>
        <w:t xml:space="preserve">.</w:t>
      </w:r>
    </w:p>
    <w:p>
      <w:pPr>
        <w:pStyle w:val="BodyText"/>
      </w:pPr>
      <w:r>
        <w:t xml:space="preserve">UID 332_NIDCR</w:t>
      </w:r>
    </w:p>
    <w:p>
      <w:pPr>
        <w:pStyle w:val="BodyText"/>
      </w:pPr>
      <w:r>
        <w:t xml:space="preserve">Advances in oral health research have led to a greater understanding of the complex relationships between oral diseases and systemic health. The development of novel therapeutic approaches, such as those focused on modulating the oral microbiome, holds promise for improving treatment outcomes</w:t>
      </w:r>
      <w:r>
        <w:rPr>
          <w:rStyle w:val="FootnoteReference"/>
        </w:rPr>
        <w:footnoteReference w:id="231"/>
      </w:r>
      <w:r>
        <w:t xml:space="preserve">. Under the leadership of NIDCR, investigations into these innovative strategies have yielded valuable insights into the underlying mechanisms of oral disease</w:t>
      </w:r>
      <w:r>
        <w:rPr>
          <w:rStyle w:val="FootnoteReference"/>
        </w:rPr>
        <w:footnoteReference w:id="232"/>
      </w:r>
      <w:r>
        <w:t xml:space="preserve">. By elucidating the key factors contributing to disease progression, these studies have paved the way for the creation of more effective prevention and treatment protocols. Ultimately, this research aims to enhance our ability to manage and prevent oral health issues, leading to better overall health outcomes</w:t>
      </w:r>
      <w:r>
        <w:rPr>
          <w:rStyle w:val="FootnoteReference"/>
        </w:rPr>
        <w:footnoteReference w:id="233"/>
      </w:r>
      <w:r>
        <w:t xml:space="preserve">.</w:t>
      </w:r>
    </w:p>
    <w:bookmarkEnd w:id="234"/>
    <w:bookmarkStart w:id="237" w:name="tumor-microenvironment-immunology"/>
    <w:p>
      <w:pPr>
        <w:pStyle w:val="Heading2"/>
      </w:pPr>
      <w:r>
        <w:t xml:space="preserve">Tumor Microenvironment &amp; Immunology</w:t>
      </w:r>
    </w:p>
    <w:p>
      <w:pPr>
        <w:pStyle w:val="FirstParagraph"/>
      </w:pPr>
      <w:r>
        <w:t xml:space="preserve">944_NIBIB</w:t>
      </w:r>
    </w:p>
    <w:p>
      <w:pPr>
        <w:pStyle w:val="BodyText"/>
      </w:pPr>
      <w:r>
        <w:t xml:space="preserve">UID 944_NIBIB</w:t>
      </w:r>
    </w:p>
    <w:p>
      <w:pPr>
        <w:pStyle w:val="BodyText"/>
      </w:pPr>
      <w:r>
        <w:t xml:space="preserve">Advances in biomedical imaging have enabled the development of innovative diagnostic tools, facilitating earlier disease detection and treatment. The integration of artificial intelligence and machine learning algorithms has significantly enhanced image analysis capabilities, allowing for more accurate and efficient diagnoses. Under the leadership of NIBIB, efforts to improve imaging technologies have yielded promising results, with applications in various clinical settings</w:t>
      </w:r>
      <w:r>
        <w:rPr>
          <w:rStyle w:val="FootnoteReference"/>
        </w:rPr>
        <w:footnoteReference w:id="235"/>
      </w:r>
      <w:r>
        <w:t xml:space="preserve">. As a result, healthcare providers can now leverage these advanced imaging tools to deliver more effective patient care, ultimately leading to better health outcomes</w:t>
      </w:r>
      <w:r>
        <w:rPr>
          <w:rStyle w:val="FootnoteReference"/>
        </w:rPr>
        <w:footnoteReference w:id="236"/>
      </w:r>
      <w:r>
        <w:t xml:space="preserve">. The continued development and refinement of these technologies are expected to have a profound impact on the field of biomedical imaging, driving progress and improvement in patient care.</w:t>
      </w:r>
    </w:p>
    <w:bookmarkEnd w:id="237"/>
    <w:bookmarkStart w:id="238" w:name="acronyms"/>
    <w:p>
      <w:pPr>
        <w:pStyle w:val="Heading2"/>
      </w:pPr>
      <w:r>
        <w:t xml:space="preserve">Acronyms</w:t>
      </w:r>
    </w:p>
    <w:p>
      <w:pPr>
        <w:pStyle w:val="FirstParagraph"/>
      </w:pPr>
      <w:r>
        <w:rPr>
          <w:bCs/>
          <w:b/>
        </w:rPr>
        <w:t xml:space="preserve">AI</w:t>
      </w:r>
      <w:r>
        <w:t xml:space="preserve"> </w:t>
      </w:r>
      <w:r>
        <w:t xml:space="preserve">— Artificial intelligence</w:t>
      </w:r>
    </w:p>
    <w:p>
      <w:pPr>
        <w:pStyle w:val="BodyText"/>
      </w:pPr>
      <w:r>
        <w:rPr>
          <w:bCs/>
          <w:b/>
        </w:rPr>
        <w:t xml:space="preserve">DPCPSI</w:t>
      </w:r>
      <w:r>
        <w:t xml:space="preserve"> </w:t>
      </w:r>
      <w:r>
        <w:t xml:space="preserve">— Division of Program Coordination, Planning, and Strategic Initiatives</w:t>
      </w:r>
    </w:p>
    <w:p>
      <w:pPr>
        <w:pStyle w:val="BodyText"/>
      </w:pPr>
      <w:r>
        <w:rPr>
          <w:bCs/>
          <w:b/>
        </w:rPr>
        <w:t xml:space="preserve">DPCPSI-THRO</w:t>
      </w:r>
      <w:r>
        <w:t xml:space="preserve"> </w:t>
      </w:r>
      <w:r>
        <w:t xml:space="preserve">— Division of Program Coordination, Planning, and Strategic Initiatives - Trans-HHS Research Opportunities</w:t>
      </w:r>
    </w:p>
    <w:p>
      <w:pPr>
        <w:pStyle w:val="BodyText"/>
      </w:pPr>
      <w:r>
        <w:rPr>
          <w:bCs/>
          <w:b/>
        </w:rPr>
        <w:t xml:space="preserve">NIDCR</w:t>
      </w:r>
      <w:r>
        <w:t xml:space="preserve"> </w:t>
      </w:r>
      <w:r>
        <w:t xml:space="preserve">— National Institute of Dental and Craniofacial Research</w:t>
      </w:r>
    </w:p>
    <w:p>
      <w:pPr>
        <w:pStyle w:val="BodyText"/>
      </w:pPr>
      <w:r>
        <w:rPr>
          <w:bCs/>
          <w:b/>
        </w:rPr>
        <w:t xml:space="preserve">NIMHD</w:t>
      </w:r>
      <w:r>
        <w:t xml:space="preserve"> </w:t>
      </w:r>
      <w:r>
        <w:t xml:space="preserve">— National Institute on Minority Health and Health Disparities</w:t>
      </w:r>
    </w:p>
    <w:bookmarkEnd w:id="238"/>
    <w:bookmarkStart w:id="239" w:name="references"/>
    <w:p>
      <w:pPr>
        <w:pStyle w:val="Heading2"/>
      </w:pPr>
      <w:r>
        <w:t xml:space="preserve">References</w:t>
      </w:r>
    </w:p>
    <w:p>
      <w:pPr>
        <w:pStyle w:val="FirstParagraph"/>
      </w:pPr>
      <w:r>
        <w:t xml:space="preserve">1 Jha A, Patel M, Ling A, Shah R, Chen CC, Millo C, et al. Diagnostic performance of [. Eur Radiol. 2024 Oct 16;34(10):6488-6498. doi: 10.1007/s00330-024-10652-4. PMID: 38625612.</w:t>
      </w:r>
    </w:p>
    <w:p>
      <w:pPr>
        <w:pStyle w:val="BodyText"/>
      </w:pPr>
      <w:r>
        <w:t xml:space="preserve">2 Lebensohn A, Ghafoor A, Bloomquist L, Royer MC, Castelo-Soccio L, Karacki K, et al. Multiple Onychopapillomas and BAP1 Tumor Predisposition Syndrome. JAMA Dermatol. 2024 Aug 01;160(8):838-845. doi: 10.1001/jamadermatol.2024.1804. PMID: 38759225.</w:t>
      </w:r>
    </w:p>
    <w:p>
      <w:pPr>
        <w:pStyle w:val="BodyText"/>
      </w:pPr>
      <w:r>
        <w:t xml:space="preserve">3 Reinhold WC, Wilson K, Elloumi F, Bradwell KR, Ceribelli M, Varma S, et al. CellMinerCDB: NCATS Is a Web-Based Portal Integrating Public Cancer Cell Line Databases for Pharmacogenomic Explorations. Cancer Res. 2023 Jun 15;83(12):1941-1952. doi: 10.1158/0008-5472.CAN-22-2996. PMID: 37140427.</w:t>
      </w:r>
    </w:p>
    <w:p>
      <w:pPr>
        <w:pStyle w:val="BodyText"/>
      </w:pPr>
      <w:r>
        <w:t xml:space="preserve">4 Morse DB, Michalowski AM, Ceribelli M, De Jonghe J, Vias M, Riley D, et al. Positional influence on cellular transcriptional identity revealed through spatially segmented single-cell transcriptomics. Cell Syst. 2023 Jun 21;14(6):464-481.e7. doi: 10.1016/j.cels.2023.05.003. PMID: 37348462.</w:t>
      </w:r>
    </w:p>
    <w:p>
      <w:pPr>
        <w:pStyle w:val="BodyText"/>
      </w:pPr>
      <w:r>
        <w:t xml:space="preserve">5 Garman KS, Purkayastha BPD, Hogue JA, Fecteau R, BETRNet CONSORTIUM, Guda K, et al. Genetic Defect in Submucosal Gland-Associated Caveolin-3: A New Paradigm in Esophageal Adenocarcinoma Risk. Gastroenterology. 2023 Dec 01;165(6):1561-1564.e3. doi: 10.1053/j.gastro.2023.08.039. PMID: 37659676.</w:t>
      </w:r>
    </w:p>
    <w:p>
      <w:pPr>
        <w:pStyle w:val="BodyText"/>
      </w:pPr>
      <w:r>
        <w:t xml:space="preserve">6 Weiss JM, Hunter MV, Cruz NM, Baggiolini A, Tagore M, Ma Y, et al. Anatomic position determines oncogenic specificity in melanoma. Nature. 2022 Apr 30;604(7905):354-361. doi: 10.1038/s41586-022-04584-6. PMID: 35355015.</w:t>
      </w:r>
    </w:p>
    <w:p>
      <w:pPr>
        <w:pStyle w:val="BodyText"/>
      </w:pPr>
      <w:r>
        <w:t xml:space="preserve">7</w:t>
      </w:r>
      <w:r>
        <w:t xml:space="preserve"> </w:t>
      </w:r>
      <w:hyperlink r:id="rId40">
        <w:r>
          <w:rPr>
            <w:rStyle w:val="Hyperlink"/>
          </w:rPr>
          <w:t xml:space="preserve">https://datacommons.cancer.gov/cloud-resources</w:t>
        </w:r>
      </w:hyperlink>
    </w:p>
    <w:p>
      <w:pPr>
        <w:pStyle w:val="BodyText"/>
      </w:pPr>
      <w:r>
        <w:t xml:space="preserve">8</w:t>
      </w:r>
      <w:r>
        <w:t xml:space="preserve"> </w:t>
      </w:r>
      <w:hyperlink r:id="rId45">
        <w:r>
          <w:rPr>
            <w:rStyle w:val="Hyperlink"/>
          </w:rPr>
          <w:t xml:space="preserve">https://progressreport.cancer.gov</w:t>
        </w:r>
      </w:hyperlink>
    </w:p>
    <w:p>
      <w:pPr>
        <w:pStyle w:val="BodyText"/>
      </w:pPr>
      <w:r>
        <w:t xml:space="preserve">9</w:t>
      </w:r>
      <w:r>
        <w:t xml:space="preserve"> </w:t>
      </w:r>
      <w:hyperlink r:id="rId50">
        <w:r>
          <w:rPr>
            <w:rStyle w:val="Hyperlink"/>
          </w:rPr>
          <w:t xml:space="preserve">https://www.cancer.gov/research/infrastructure/clinical-trials/ctiu</w:t>
        </w:r>
      </w:hyperlink>
    </w:p>
    <w:p>
      <w:pPr>
        <w:pStyle w:val="BodyText"/>
      </w:pPr>
      <w:r>
        <w:t xml:space="preserve">10 Klomp JE, Diehl JN, Klomp JA, Edwards AC, Yang R, Morales AJ, et al. Determining the ERK-regulated phosphoproteome driving KRAS-mutant cancer. Science. 2024 Jun 07;384(6700):eadk0850. doi: 10.1126/science.adk0850. PMID: 38843329.</w:t>
      </w:r>
    </w:p>
    <w:p>
      <w:pPr>
        <w:pStyle w:val="BodyText"/>
      </w:pPr>
      <w:r>
        <w:t xml:space="preserve">11</w:t>
      </w:r>
      <w:r>
        <w:t xml:space="preserve"> </w:t>
      </w:r>
      <w:hyperlink r:id="rId57">
        <w:r>
          <w:rPr>
            <w:rStyle w:val="Hyperlink"/>
          </w:rPr>
          <w:t xml:space="preserve">https://www.cancer.gov/research/leading-progress/stories/cytalux</w:t>
        </w:r>
      </w:hyperlink>
    </w:p>
    <w:p>
      <w:pPr>
        <w:pStyle w:val="BodyText"/>
      </w:pPr>
      <w:r>
        <w:t xml:space="preserve">12 Song M, Camargo MC, Katki HA, Weinstein SJ, Männistö S, Albanes D, et al. Association of Antiparietal Cell and Anti-Intrinsic Factor Antibodies With Risk of Gastric Cancer. JAMA Oncol. 2022 Feb 01;8(2):268-274. doi: 10.1001/jamaoncol.2021.5395. PMID: 34913949.</w:t>
      </w:r>
    </w:p>
    <w:p>
      <w:pPr>
        <w:pStyle w:val="BodyText"/>
      </w:pPr>
      <w:r>
        <w:t xml:space="preserve">13 Leidner R, Sanjuan Silva N, Huang H, Sprott D, Zheng C, Shih YP, et al. Neoantigen T-Cell Receptor Gene Therapy in Pancreatic Cancer. N Engl J Med. 2022 Jun 02;386(22):2112-2119. doi: 10.1056/NEJMoa2119662. PMID: 35648703.</w:t>
      </w:r>
    </w:p>
    <w:p>
      <w:pPr>
        <w:pStyle w:val="BodyText"/>
      </w:pPr>
      <w:r>
        <w:t xml:space="preserve">14 Lu DY, Ellegast JM, Ross KN, Malone CF, Lin S, Mabe NW, et al. The ETS transcription factor ETV6 constrains the transcriptional activity of EWS-FLI to promote Ewing sarcoma. Nat Cell Biol. 2023 Feb 19;25(2):285-297. doi: 10.1038/s41556-022-01059-8. PMID: 36658220.</w:t>
      </w:r>
    </w:p>
    <w:p>
      <w:pPr>
        <w:pStyle w:val="BodyText"/>
      </w:pPr>
      <w:r>
        <w:t xml:space="preserve">15 Wang R, Song S, Qin J, Yoshimura K, Peng F, Chu Y, et al. Evolution of immune and stromal cell states and ecotypes during gastric adenocarcinoma progression. Cancer Cell. 2023 Aug 14;41(8):1407-1426.e9. doi: 10.1016/j.ccell.2023.06.005. PMID: 37419119.</w:t>
      </w:r>
    </w:p>
    <w:p>
      <w:pPr>
        <w:pStyle w:val="BodyText"/>
      </w:pPr>
      <w:r>
        <w:t xml:space="preserve">16 Houlahan KE, Khan A, Greenwald NF, Vivas CS, West RB, Angelo M, et al. Germline-mediated immunoediting sculpts breast cancer subtypes and metastatic proclivity. Science. 2024 May 31;384(6699):eadh8697. doi: 10.1126/science.adh8697. PMID: 38815010.</w:t>
      </w:r>
    </w:p>
    <w:p>
      <w:pPr>
        <w:pStyle w:val="BodyText"/>
      </w:pPr>
      <w:r>
        <w:t xml:space="preserve">17</w:t>
      </w:r>
      <w:r>
        <w:t xml:space="preserve"> </w:t>
      </w:r>
      <w:hyperlink r:id="rId80">
        <w:r>
          <w:rPr>
            <w:rStyle w:val="Hyperlink"/>
          </w:rPr>
          <w:t xml:space="preserve">https://prevention.cancer.gov/major-programs/cancer-screening-research-network-csrn</w:t>
        </w:r>
      </w:hyperlink>
    </w:p>
    <w:p>
      <w:pPr>
        <w:pStyle w:val="BodyText"/>
      </w:pPr>
      <w:r>
        <w:t xml:space="preserve">18 Nwosu ZC, Ward MH, Sajjakulnukit P, Poudel P, Ragulan C, Kasperek S, et al. Uridine-derived ribose fuels glucose-restricted pancreatic cancer. Nature. 2023 Jun 17;618(7963):151-158. doi: 10.1038/s41586-023-06073-w. PMID: 37198494.</w:t>
      </w:r>
    </w:p>
    <w:p>
      <w:pPr>
        <w:pStyle w:val="BodyText"/>
      </w:pPr>
      <w:r>
        <w:t xml:space="preserve">19 Hantel A, Walsh TP, Marron JM, Kehl KL, Sharp R, Van Allen E, et al. Perspectives of Oncologists on the Ethical Implications of Using Artificial Intelligence for Cancer Care. JAMA Netw Open. 2024 Mar 04;7(3):e244077. doi: 10.1001/jamanetworkopen.2024.4077. PMID: 38546644.</w:t>
      </w:r>
    </w:p>
    <w:p>
      <w:pPr>
        <w:pStyle w:val="BodyText"/>
      </w:pPr>
      <w:r>
        <w:t xml:space="preserve">20 Helms EJ, Berry MW, Chaw RC, DuFort CC, Sun D, Onate MK, et al. Mesenchymal Lineage Heterogeneity Underlies Nonredundant Functions of Pancreatic Cancer-Associated Fibroblasts. Cancer Discov. 2022 Feb 21;12(2):484-501. doi: 10.1158/2159-8290.CD-21-0601. PMID: 34548310.</w:t>
      </w:r>
    </w:p>
    <w:p>
      <w:pPr>
        <w:pStyle w:val="BodyText"/>
      </w:pPr>
      <w:r>
        <w:t xml:space="preserve">21 Halpern MT, Liu B, Lowy DR, Gupta S, Croswell JM, Doria-Rose VP. The Annual Cost of Cancer Screening in the United States. Ann Intern Med. 2024 Sep 06;177(9):1170-1178. doi: 10.7326/M24-0375. PMID: 39102723.</w:t>
      </w:r>
    </w:p>
    <w:p>
      <w:pPr>
        <w:pStyle w:val="BodyText"/>
      </w:pPr>
      <w:r>
        <w:t xml:space="preserve">22 Flores-Toro JA, Jagu S, Armstrong GT, Arons DF, Aune GJ, Chanock SJ, et al. The Childhood Cancer Data Initiative: Using the Power of Data to Learn From and Improve Outcomes for Every Child and Young Adult With Pediatric Cancer. J Clin Oncol. 2023 Aug 20;41(24):4045-4053. doi: 10.1200/JCO.22.02208. PMID: 37267580.</w:t>
      </w:r>
    </w:p>
    <w:p>
      <w:pPr>
        <w:pStyle w:val="BodyText"/>
      </w:pPr>
      <w:r>
        <w:t xml:space="preserve">23 Wilson WH, Wright GW, Huang DW, Hodkinson B, Balasubramanian S, Fan Y, et al. Effect of ibrutinib with R-CHOP chemotherapy in genetic subtypes of DLBCL. Cancer Cell. 2021 Dec 13;39(12):1643-1653.e3. doi: 10.1016/j.ccell.2021.10.006. PMID: 34739844.</w:t>
      </w:r>
    </w:p>
    <w:p>
      <w:pPr>
        <w:pStyle w:val="BodyText"/>
      </w:pPr>
      <w:r>
        <w:t xml:space="preserve">24 Achar SR, Bourassa FXP, Rademaker TJ, Lee A, Kondo T, Salazar-Cavazos E, et al. Universal antigen encoding of T cell activation from high-dimensional cytokine dynamics. Science. 2022 May 20;376(6595):880-884. doi: 10.1126/science.abl5311. PMID: 35587980.</w:t>
      </w:r>
    </w:p>
    <w:p>
      <w:pPr>
        <w:pStyle w:val="BodyText"/>
      </w:pPr>
      <w:r>
        <w:t xml:space="preserve">25</w:t>
      </w:r>
      <w:r>
        <w:t xml:space="preserve"> </w:t>
      </w:r>
      <w:hyperlink r:id="rId107">
        <w:r>
          <w:rPr>
            <w:rStyle w:val="Hyperlink"/>
          </w:rPr>
          <w:t xml:space="preserve">https://onlinelibrary.wiley.com/doi/10.1002/em.22534</w:t>
        </w:r>
      </w:hyperlink>
    </w:p>
    <w:p>
      <w:pPr>
        <w:pStyle w:val="BodyText"/>
      </w:pPr>
      <w:r>
        <w:t xml:space="preserve">26 Huang Z, Sun S, Lee M, Maslov AY, Shi M, Waldman S, et al. Single-cell analysis of somatic mutations in human bronchial epithelial cells in relation to aging and smoking. Nat Genet. 2022 Apr 11;54(4):492-498. doi: 10.1038/s41588-022-01035-w. PMID: 35410377.</w:t>
      </w:r>
    </w:p>
    <w:p>
      <w:pPr>
        <w:pStyle w:val="BodyText"/>
      </w:pPr>
      <w:r>
        <w:t xml:space="preserve">27 Nguyen LTH, Zhang J, Rima XY, Wang X, Kwak KJ, Okimoto T, et al. An immunogold single extracellular vesicular RNA and protein (. J Extracell Vesicles. 2022 Sep;11(9):e12258. doi: 10.1002/jev2.12258. PMID: 36093740.</w:t>
      </w:r>
    </w:p>
    <w:p>
      <w:pPr>
        <w:pStyle w:val="BodyText"/>
      </w:pPr>
      <w:r>
        <w:t xml:space="preserve">28</w:t>
      </w:r>
      <w:r>
        <w:t xml:space="preserve"> </w:t>
      </w:r>
      <w:hyperlink r:id="rId118">
        <w:r>
          <w:rPr>
            <w:rStyle w:val="Hyperlink"/>
          </w:rPr>
          <w:t xml:space="preserve">https://dpcpsi.nih.gov/thro/tribal-consultations/national-institute-minority-health-and-health-disparities-nimhd-initiative-improving-american</w:t>
        </w:r>
      </w:hyperlink>
    </w:p>
    <w:p>
      <w:pPr>
        <w:pStyle w:val="BodyText"/>
      </w:pPr>
      <w:r>
        <w:t xml:space="preserve">29</w:t>
      </w:r>
      <w:r>
        <w:t xml:space="preserve"> </w:t>
      </w:r>
      <w:hyperlink r:id="rId124">
        <w:r>
          <w:rPr>
            <w:rStyle w:val="Hyperlink"/>
          </w:rPr>
          <w:t xml:space="preserve">https://grants.nih.gov/grants/guide/notice-files/NOT-MD-24-015.html</w:t>
        </w:r>
      </w:hyperlink>
    </w:p>
    <w:p>
      <w:pPr>
        <w:pStyle w:val="BodyText"/>
      </w:pPr>
      <w:r>
        <w:t xml:space="preserve">30 PMID: 37169842.</w:t>
      </w:r>
      <w:r>
        <w:t xml:space="preserve"> </w:t>
      </w:r>
      <w:hyperlink r:id="rId128">
        <w:r>
          <w:rPr>
            <w:rStyle w:val="Hyperlink"/>
          </w:rPr>
          <w:t xml:space="preserve">https://pubmed.ncbi.nlm.nih.gov/37169842</w:t>
        </w:r>
      </w:hyperlink>
    </w:p>
    <w:p>
      <w:pPr>
        <w:pStyle w:val="BodyText"/>
      </w:pPr>
      <w:r>
        <w:t xml:space="preserve">31</w:t>
      </w:r>
      <w:r>
        <w:t xml:space="preserve"> </w:t>
      </w:r>
      <w:hyperlink r:id="rId131">
        <w:r>
          <w:rPr>
            <w:rStyle w:val="Hyperlink"/>
          </w:rPr>
          <w:t xml:space="preserve">https://www.midrc.org</w:t>
        </w:r>
      </w:hyperlink>
    </w:p>
    <w:p>
      <w:pPr>
        <w:pStyle w:val="BodyText"/>
      </w:pPr>
      <w:r>
        <w:t xml:space="preserve">32 Melani C, Lakhotia R, Pittaluga S, Phelan JD, Huang DW, Wright G, et al. Combination Targeted Therapy in Relapsed Diffuse Large B-Cell Lymphoma. N Engl J Med. 2024 Jun 20;390(23):2143-2155. doi: 10.1056/NEJMoa2401532. PMID: 38899693.</w:t>
      </w:r>
    </w:p>
    <w:p>
      <w:pPr>
        <w:pStyle w:val="BodyText"/>
      </w:pPr>
      <w:r>
        <w:t xml:space="preserve">33</w:t>
      </w:r>
      <w:r>
        <w:t xml:space="preserve"> </w:t>
      </w:r>
      <w:hyperlink r:id="rId138">
        <w:r>
          <w:rPr>
            <w:rStyle w:val="Hyperlink"/>
          </w:rPr>
          <w:t xml:space="preserve">https://clinicaltrials.gov/study/NCT06625775</w:t>
        </w:r>
      </w:hyperlink>
    </w:p>
    <w:p>
      <w:pPr>
        <w:pStyle w:val="BodyText"/>
      </w:pPr>
      <w:r>
        <w:t xml:space="preserve">34 Tutt ANJ, Garber JE, Kaufman B, Viale G, Fumagalli D, Rastogi P, et al. Adjuvant Olaparib for Patients with. N Engl J Med. 2021 Jun 24;384(25):2394-2405. doi: 10.1056/NEJMoa2105215. PMID: 34081848.</w:t>
      </w:r>
    </w:p>
    <w:p>
      <w:pPr>
        <w:pStyle w:val="BodyText"/>
      </w:pPr>
      <w:r>
        <w:t xml:space="preserve">35 Hudson A, Fournier M, Coulombe J, Daee D. Using existing pediatric cancer data from the Gabriella Miller Kids First Data Resource Program. JNCI Cancer Spectr. 2023 Oct 31;7(6). doi: 10.1093/jncics/pkad079. PMID: 37788089.</w:t>
      </w:r>
    </w:p>
    <w:p>
      <w:pPr>
        <w:pStyle w:val="BodyText"/>
      </w:pPr>
      <w:r>
        <w:t xml:space="preserve">36 Chandran EBA, Iannantuono GM, Atiq SO, Akbulut D, Sinaii N, Simon NI, et al. Mismatch repair deficiency and microsatellite instability in urothelial carcinoma: a systematic review and meta-analysis. BMJ Oncol. 2024 Jan 30;3(1). doi: 10.1136/bmjonc-2024-000335. PMID: 39086924.</w:t>
      </w:r>
    </w:p>
    <w:p>
      <w:pPr>
        <w:pStyle w:val="BodyText"/>
      </w:pPr>
      <w:r>
        <w:t xml:space="preserve">37 Hendrix EL, Chollette VY, Wentzensen N, Loukissas JK, McGee-Avila JK, Tookmanian E, et al. Federal Cervical Cancer Collaborative: Improving cervical cancer prevention through vaccination, screening, and management in safety-net settings of care. Cancer. 2025 Jan 01;131(1):e35655. doi: 10.1002/cncr.35655. PMID: 39660744.</w:t>
      </w:r>
    </w:p>
    <w:p>
      <w:pPr>
        <w:pStyle w:val="BodyText"/>
      </w:pPr>
      <w:r>
        <w:t xml:space="preserve">38 Withrow DR, Anderson H, Armstrong GT, Hawkins M, Journy N, Neglia JP, et al. Pooled Analysis of Meningioma Risk Following Treatment for Childhood Cancer. JAMA Oncol. 2022 Dec 01;8(12):1756-1764. doi: 10.1001/jamaoncol.2022.4425. PMID: 36201196.</w:t>
      </w:r>
    </w:p>
    <w:p>
      <w:pPr>
        <w:pStyle w:val="BodyText"/>
      </w:pPr>
      <w:r>
        <w:t xml:space="preserve">39 Tonorezos E, Devasia T, Mariotto AB, Mollica MA, Gallicchio L, Green P, et al. Prevalence of cancer survivors in the United States. J Natl Cancer Inst. 2024 Nov 01;116(11):1784-1790. doi: 10.1093/jnci/djae135. PMID: 39002121.</w:t>
      </w:r>
    </w:p>
    <w:p>
      <w:pPr>
        <w:pStyle w:val="BodyText"/>
      </w:pPr>
      <w:r>
        <w:t xml:space="preserve">40 Yan W, Cao M, Ruan X, Jiang L, Lee S, Lemanek A, et al. Cancer-cell-secreted miR-122 suppresses O-GlcNAcylation to promote skeletal muscle proteolysis. Nat Cell Biol. 2022 May 25;24(5):793-804. doi: 10.1038/s41556-022-00893-0. PMID: 35469018.</w:t>
      </w:r>
    </w:p>
    <w:p>
      <w:pPr>
        <w:pStyle w:val="BodyText"/>
      </w:pPr>
      <w:r>
        <w:t xml:space="preserve">41 Shi L, Shen W, Davis MI, Kong K, Vu P, Saha SK, et al. SULT1A1-dependent sulfonation of alkylators is a lineage-dependent vulnerability of liver cancers. Nat Cancer. 2023 Mar 13;4(3):365-381. doi: 10.1038/s43018-023-00523-0. PMID: 36914816.</w:t>
      </w:r>
    </w:p>
    <w:p>
      <w:pPr>
        <w:pStyle w:val="BodyText"/>
      </w:pPr>
      <w:r>
        <w:t xml:space="preserve">42 Cornwell JA, Crncec A, Afifi MM, Tang K, Amin R, Cappell SD. Loss of CDK4/6 activity in S/G2 phase leads to cell cycle reversal. Nature. 2023 Jul 05;619(7969):363-370. doi: 10.1038/s41586-023-06274-3. PMID: 37407814.</w:t>
      </w:r>
    </w:p>
    <w:p>
      <w:pPr>
        <w:pStyle w:val="BodyText"/>
      </w:pPr>
      <w:r>
        <w:t xml:space="preserve">43 PMID: 36823587.</w:t>
      </w:r>
      <w:r>
        <w:t xml:space="preserve"> </w:t>
      </w:r>
      <w:hyperlink r:id="rId174">
        <w:r>
          <w:rPr>
            <w:rStyle w:val="Hyperlink"/>
          </w:rPr>
          <w:t xml:space="preserve">https://pubmed.ncbi.nlm.nih.gov/36823587</w:t>
        </w:r>
      </w:hyperlink>
    </w:p>
    <w:p>
      <w:pPr>
        <w:pStyle w:val="BodyText"/>
      </w:pPr>
      <w:r>
        <w:t xml:space="preserve">44 Greytak SR, Engel KB, Hoon DSB, Elias KM, Lockwood CM, Guan P, et al. Evidence-based procedures to improve the reliability of circulating miRNA biomarker assays. Clin Chem Lab Med. 2024 Jan 26;62(1):60-66. doi: 10.1515/cclm-2023-0131. PMID: 37129007.</w:t>
      </w:r>
    </w:p>
    <w:p>
      <w:pPr>
        <w:pStyle w:val="BodyText"/>
      </w:pPr>
      <w:r>
        <w:t xml:space="preserve">45 PMID: 35773409.</w:t>
      </w:r>
      <w:r>
        <w:t xml:space="preserve"> </w:t>
      </w:r>
      <w:hyperlink r:id="rId181">
        <w:r>
          <w:rPr>
            <w:rStyle w:val="Hyperlink"/>
          </w:rPr>
          <w:t xml:space="preserve">https://pubmed.ncbi.nlm.nih.gov/35773409</w:t>
        </w:r>
      </w:hyperlink>
    </w:p>
    <w:p>
      <w:pPr>
        <w:pStyle w:val="BodyText"/>
      </w:pPr>
      <w:r>
        <w:t xml:space="preserve">46 Stark Z, Byrne AB, Sampson MG, Lennon R, Mallett AJ. A guide to gene-disease relationships in nephrology. Nat Rev Nephrol. 2025 Feb 23;21(2):115-126. doi: 10.1038/s41581-024-00900-7. PMID: 39443743.</w:t>
      </w:r>
    </w:p>
    <w:p>
      <w:pPr>
        <w:pStyle w:val="BodyText"/>
      </w:pPr>
      <w:r>
        <w:t xml:space="preserve">47 Bifarin OO, Gaul DA, Sah S, Arnold RS, Ogan K, Master VA, et al. Urine-Based Metabolomics and Machine Learning Reveals Metabolites Associated with Renal Cell Carcinoma Stage. Cancers (Basel). 2021 Dec 13;13(24). doi: 10.3390/cancers13246253. PMID: 34944874.</w:t>
      </w:r>
    </w:p>
    <w:p>
      <w:pPr>
        <w:pStyle w:val="BodyText"/>
      </w:pPr>
      <w:r>
        <w:t xml:space="preserve">48 Li Y, Basar R, Wang G, Liu E, Moyes JS, Li L, et al. KIR-based inhibitory CARs overcome CAR-NK cell trogocytosis-mediated fratricide and tumor escape. Nat Med. 2022 Oct 29;28(10):2133-2144. doi: 10.1038/s41591-022-02003-x. PMID: 36175679.</w:t>
      </w:r>
    </w:p>
    <w:p>
      <w:pPr>
        <w:pStyle w:val="BodyText"/>
      </w:pPr>
      <w:r>
        <w:t xml:space="preserve">49 Xia H, Hoang MH, Schmidt E, Kiwala S, McMichael J, Skidmore ZL, et al. pVACview: an interactive visualization tool for efficient neoantigen prioritization and selection. Genome Med. 2024 Nov 14;16(1):132. doi: 10.1186/s13073-024-01384-7. PMID: 39538339.</w:t>
      </w:r>
    </w:p>
    <w:p>
      <w:pPr>
        <w:pStyle w:val="BodyText"/>
      </w:pPr>
      <w:r>
        <w:t xml:space="preserve">50 Gallanis AF, Gamble LA, Samaranayake SG, Lopez R, Rhodes A, Rajasimhan S, et al. Costs of Cancer Prevention: Physical and Psychosocial Sequelae of Risk-Reducing Total Gastrectomy. J Clin Oncol. 2024 Feb 01;42(4):421-430. doi: 10.1200/JCO.23.01238. PMID: 37903316.</w:t>
      </w:r>
    </w:p>
    <w:p>
      <w:pPr>
        <w:pStyle w:val="BodyText"/>
      </w:pPr>
      <w:r>
        <w:t xml:space="preserve">51 PMID: 37289928.</w:t>
      </w:r>
      <w:r>
        <w:t xml:space="preserve"> </w:t>
      </w:r>
      <w:hyperlink r:id="rId205">
        <w:r>
          <w:rPr>
            <w:rStyle w:val="Hyperlink"/>
          </w:rPr>
          <w:t xml:space="preserve">https://pubmed.ncbi.nlm.nih.gov/37289928</w:t>
        </w:r>
      </w:hyperlink>
    </w:p>
    <w:p>
      <w:pPr>
        <w:pStyle w:val="BodyText"/>
      </w:pPr>
      <w:r>
        <w:t xml:space="preserve">52 Watts EL, Matthews CE, Freeman JR, Gorzelitz JS, Hong HG, Liao LM, et al. Association of Leisure Time Physical Activity Types and Risks of All-Cause, Cardiovascular, and Cancer Mortality Among Older Adults. JAMA Netw Open. 2022 Aug 01;5(8):e2228510. doi: 10.1001/jamanetworkopen.2022.28510. PMID: 36001316.</w:t>
      </w:r>
    </w:p>
    <w:p>
      <w:pPr>
        <w:pStyle w:val="BodyText"/>
      </w:pPr>
      <w:r>
        <w:t xml:space="preserve">53 Einstein MH, Zhou N, Gabor L, Sahasrabuddhe VV. Primary Human Papillomavirus Testing and Other New Technologies for Cervical Cancer Screening. Obstet Gynecol. 2023 Nov 01;142(5):1036-1043. doi: 10.1097/AOG.0000000000005393. PMID: 37708516.</w:t>
      </w:r>
    </w:p>
    <w:p>
      <w:pPr>
        <w:pStyle w:val="BodyText"/>
      </w:pPr>
      <w:r>
        <w:t xml:space="preserve">54 Knudsen AB, Trentham-Dietz A, Kim JJ, Mandelblatt JS, Meza R, Zauber AG, et al. Estimated US Cancer Deaths Prevented With Increased Use of Lung, Colorectal, Breast, and Cervical Cancer Screening. JAMA Netw Open. 2023 Nov 01;6(11):e2344698. doi: 10.1001/jamanetworkopen.2023.44698. PMID: 37991759.</w:t>
      </w:r>
    </w:p>
    <w:p>
      <w:pPr>
        <w:pStyle w:val="BodyText"/>
      </w:pPr>
      <w:r>
        <w:t xml:space="preserve">55 Palefsky JM, Lee JY, Jay N, Goldstone SE, Darragh TM, Dunlevy HA, et al. Treatment of Anal High-Grade Squamous Intraepithelial Lesions to Prevent Anal Cancer. N Engl J Med. 2022 Jun 16;386(24):2273-2282. doi: 10.1056/NEJMoa2201048. PMID: 35704479.</w:t>
      </w:r>
    </w:p>
    <w:p>
      <w:pPr>
        <w:pStyle w:val="BodyText"/>
      </w:pPr>
      <w:r>
        <w:t xml:space="preserve">56</w:t>
      </w:r>
      <w:r>
        <w:t xml:space="preserve"> </w:t>
      </w:r>
      <w:hyperlink r:id="rId228">
        <w:r>
          <w:rPr>
            <w:rStyle w:val="Hyperlink"/>
          </w:rPr>
          <w:t xml:space="preserve">https://www.nidcr.nih.gov/grants-funding/research-funded-by-nidcr-extramural/ahead</w:t>
        </w:r>
      </w:hyperlink>
    </w:p>
    <w:p>
      <w:pPr>
        <w:pStyle w:val="BodyText"/>
      </w:pPr>
      <w:r>
        <w:t xml:space="preserve">57 Coole JB, Brenes D, Mitbander R, Vohra I, Hou H, Kortum A, et al. Multimodal optical imaging with real-time projection of cancer risk and biopsy guidance maps for early oral cancer diagnosis and treatment. J Biomed Opt. 2023 Jan 13;28(1):016002. doi: 10.1117/1.JBO.28.1.016002. PMID: 36654656.</w:t>
      </w:r>
    </w:p>
    <w:p>
      <w:pPr>
        <w:pStyle w:val="BodyText"/>
      </w:pPr>
      <w:r>
        <w:t xml:space="preserve">58 Source unavailable</w:t>
      </w:r>
    </w:p>
    <w:bookmarkEnd w:id="239"/>
    <w:sectPr w:rsidR="00FD562E" w:rsidRPr="00317DEA">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Jha A, Patel M, Ling A, Shah R, Chen CC, Millo C, et al. Diagnostic performance of [. Eur Radiol. 2024 Oct 16;34(10):6488-6498. doi: 10.1007/s00330-024-10652-4. PMID: 38625612.</w:t>
      </w:r>
    </w:p>
  </w:footnote>
  <w:footnote w:id="23">
    <w:p>
      <w:pPr>
        <w:pStyle w:val="FootnoteText"/>
      </w:pPr>
      <w:r>
        <w:rPr>
          <w:rStyle w:val="FootnoteReference"/>
        </w:rPr>
        <w:footnoteRef/>
      </w:r>
      <w:r>
        <w:t xml:space="preserve"> </w:t>
      </w:r>
      <w:r>
        <w:t xml:space="preserve">Jha A, Patel M, Ling A, Shah R, Chen CC, Millo C, et al. Diagnostic performance of [. Eur Radiol. 2024 Oct 16;34(10):6488-6498. doi: 10.1007/s00330-024-10652-4. PMID: 38625612.</w:t>
      </w:r>
    </w:p>
  </w:footnote>
  <w:footnote w:id="24">
    <w:p>
      <w:pPr>
        <w:pStyle w:val="FootnoteText"/>
      </w:pPr>
      <w:r>
        <w:rPr>
          <w:rStyle w:val="FootnoteReference"/>
        </w:rPr>
        <w:footnoteRef/>
      </w:r>
      <w:r>
        <w:t xml:space="preserve"> </w:t>
      </w:r>
      <w:r>
        <w:t xml:space="preserve">Lebensohn A, Ghafoor A, Bloomquist L, Royer MC, Castelo-Soccio L, Karacki K, et al. Multiple Onychopapillomas and BAP1 Tumor Predisposition Syndrome. JAMA Dermatol. 2024 Aug 01;160(8):838-845. doi: 10.1001/jamadermatol.2024.1804. PMID: 38759225.</w:t>
      </w:r>
    </w:p>
  </w:footnote>
  <w:footnote w:id="25">
    <w:p>
      <w:pPr>
        <w:pStyle w:val="FootnoteText"/>
      </w:pPr>
      <w:r>
        <w:rPr>
          <w:rStyle w:val="FootnoteReference"/>
        </w:rPr>
        <w:footnoteRef/>
      </w:r>
      <w:r>
        <w:t xml:space="preserve"> </w:t>
      </w:r>
      <w:r>
        <w:t xml:space="preserve">Lebensohn A, Ghafoor A, Bloomquist L, Royer MC, Castelo-Soccio L, Karacki K, et al. Multiple Onychopapillomas and BAP1 Tumor Predisposition Syndrome. JAMA Dermatol. 2024 Aug 01;160(8):838-845. doi: 10.1001/jamadermatol.2024.1804. PMID: 38759225.</w:t>
      </w:r>
    </w:p>
  </w:footnote>
  <w:footnote w:id="26">
    <w:p>
      <w:pPr>
        <w:pStyle w:val="FootnoteText"/>
      </w:pPr>
      <w:r>
        <w:rPr>
          <w:rStyle w:val="FootnoteReference"/>
        </w:rPr>
        <w:footnoteRef/>
      </w:r>
      <w:r>
        <w:t xml:space="preserve"> </w:t>
      </w:r>
      <w:r>
        <w:t xml:space="preserve">Lebensohn A, Ghafoor A, Bloomquist L, Royer MC, Castelo-Soccio L, Karacki K, et al. Multiple Onychopapillomas and BAP1 Tumor Predisposition Syndrome. JAMA Dermatol. 2024 Aug 01;160(8):838-845. doi: 10.1001/jamadermatol.2024.1804. PMID: 38759225.</w:t>
      </w:r>
    </w:p>
  </w:footnote>
  <w:footnote w:id="27">
    <w:p>
      <w:pPr>
        <w:pStyle w:val="FootnoteText"/>
      </w:pPr>
      <w:r>
        <w:rPr>
          <w:rStyle w:val="FootnoteReference"/>
        </w:rPr>
        <w:footnoteRef/>
      </w:r>
      <w:r>
        <w:t xml:space="preserve"> </w:t>
      </w:r>
      <w:r>
        <w:t xml:space="preserve">Reinhold WC, Wilson K, Elloumi F, Bradwell KR, Ceribelli M, Varma S, et al. CellMinerCDB: NCATS Is a Web-Based Portal Integrating Public Cancer Cell Line Databases for Pharmacogenomic Explorations. Cancer Res. 2023 Jun 15;83(12):1941-1952. doi: 10.1158/0008-5472.CAN-22-2996. PMID: 37140427.</w:t>
      </w:r>
    </w:p>
  </w:footnote>
  <w:footnote w:id="28">
    <w:p>
      <w:pPr>
        <w:pStyle w:val="FootnoteText"/>
      </w:pPr>
      <w:r>
        <w:rPr>
          <w:rStyle w:val="FootnoteReference"/>
        </w:rPr>
        <w:footnoteRef/>
      </w:r>
      <w:r>
        <w:t xml:space="preserve"> </w:t>
      </w:r>
      <w:r>
        <w:t xml:space="preserve">Reinhold WC, Wilson K, Elloumi F, Bradwell KR, Ceribelli M, Varma S, et al. CellMinerCDB: NCATS Is a Web-Based Portal Integrating Public Cancer Cell Line Databases for Pharmacogenomic Explorations. Cancer Res. 2023 Jun 15;83(12):1941-1952. doi: 10.1158/0008-5472.CAN-22-2996. PMID: 37140427.</w:t>
      </w:r>
    </w:p>
  </w:footnote>
  <w:footnote w:id="29">
    <w:p>
      <w:pPr>
        <w:pStyle w:val="FootnoteText"/>
      </w:pPr>
      <w:r>
        <w:rPr>
          <w:rStyle w:val="FootnoteReference"/>
        </w:rPr>
        <w:footnoteRef/>
      </w:r>
      <w:r>
        <w:t xml:space="preserve"> </w:t>
      </w:r>
      <w:r>
        <w:t xml:space="preserve">Morse DB, Michalowski AM, Ceribelli M, De Jonghe J, Vias M, Riley D, et al. Positional influence on cellular transcriptional identity revealed through spatially segmented single-cell transcriptomics. Cell Syst. 2023 Jun 21;14(6):464-481.e7. doi: 10.1016/j.cels.2023.05.003. PMID: 37348462.</w:t>
      </w:r>
    </w:p>
  </w:footnote>
  <w:footnote w:id="30">
    <w:p>
      <w:pPr>
        <w:pStyle w:val="FootnoteText"/>
      </w:pPr>
      <w:r>
        <w:rPr>
          <w:rStyle w:val="FootnoteReference"/>
        </w:rPr>
        <w:footnoteRef/>
      </w:r>
      <w:r>
        <w:t xml:space="preserve"> </w:t>
      </w:r>
      <w:r>
        <w:t xml:space="preserve">Morse DB, Michalowski AM, Ceribelli M, De Jonghe J, Vias M, Riley D, et al. Positional influence on cellular transcriptional identity revealed through spatially segmented single-cell transcriptomics. Cell Syst. 2023 Jun 21;14(6):464-481.e7. doi: 10.1016/j.cels.2023.05.003. PMID: 37348462.</w:t>
      </w:r>
    </w:p>
  </w:footnote>
  <w:footnote w:id="31">
    <w:p>
      <w:pPr>
        <w:pStyle w:val="FootnoteText"/>
      </w:pPr>
      <w:r>
        <w:rPr>
          <w:rStyle w:val="FootnoteReference"/>
        </w:rPr>
        <w:footnoteRef/>
      </w:r>
      <w:r>
        <w:t xml:space="preserve"> </w:t>
      </w:r>
      <w:r>
        <w:t xml:space="preserve">Garman KS, Purkayastha BPD, Hogue JA, Fecteau R, BETRNet CONSORTIUM, Guda K, et al. Genetic Defect in Submucosal Gland-Associated Caveolin-3: A New Paradigm in Esophageal Adenocarcinoma Risk. Gastroenterology. 2023 Dec 01;165(6):1561-1564.e3. doi: 10.1053/j.gastro.2023.08.039. PMID: 37659676.</w:t>
      </w:r>
    </w:p>
  </w:footnote>
  <w:footnote w:id="32">
    <w:p>
      <w:pPr>
        <w:pStyle w:val="FootnoteText"/>
      </w:pPr>
      <w:r>
        <w:rPr>
          <w:rStyle w:val="FootnoteReference"/>
        </w:rPr>
        <w:footnoteRef/>
      </w:r>
      <w:r>
        <w:t xml:space="preserve"> </w:t>
      </w:r>
      <w:r>
        <w:t xml:space="preserve">Garman KS, Purkayastha BPD, Hogue JA, Fecteau R, BETRNet CONSORTIUM, Guda K, et al. Genetic Defect in Submucosal Gland-Associated Caveolin-3: A New Paradigm in Esophageal Adenocarcinoma Risk. Gastroenterology. 2023 Dec 01;165(6):1561-1564.e3. doi: 10.1053/j.gastro.2023.08.039. PMID: 37659676.</w:t>
      </w:r>
    </w:p>
  </w:footnote>
  <w:footnote w:id="33">
    <w:p>
      <w:pPr>
        <w:pStyle w:val="FootnoteText"/>
      </w:pPr>
      <w:r>
        <w:rPr>
          <w:rStyle w:val="FootnoteReference"/>
        </w:rPr>
        <w:footnoteRef/>
      </w:r>
      <w:r>
        <w:t xml:space="preserve"> </w:t>
      </w:r>
      <w:r>
        <w:t xml:space="preserve">Garman KS, Purkayastha BPD, Hogue JA, Fecteau R, BETRNet CONSORTIUM, Guda K, et al. Genetic Defect in Submucosal Gland-Associated Caveolin-3: A New Paradigm in Esophageal Adenocarcinoma Risk. Gastroenterology. 2023 Dec 01;165(6):1561-1564.e3. doi: 10.1053/j.gastro.2023.08.039. PMID: 37659676.</w:t>
      </w:r>
    </w:p>
  </w:footnote>
  <w:footnote w:id="34">
    <w:p>
      <w:pPr>
        <w:pStyle w:val="FootnoteText"/>
      </w:pPr>
      <w:r>
        <w:rPr>
          <w:rStyle w:val="FootnoteReference"/>
        </w:rPr>
        <w:footnoteRef/>
      </w:r>
      <w:r>
        <w:t xml:space="preserve"> </w:t>
      </w:r>
      <w:r>
        <w:t xml:space="preserve">Garman KS, Purkayastha BPD, Hogue JA, Fecteau R, BETRNet CONSORTIUM, Guda K, et al. Genetic Defect in Submucosal Gland-Associated Caveolin-3: A New Paradigm in Esophageal Adenocarcinoma Risk. Gastroenterology. 2023 Dec 01;165(6):1561-1564.e3. doi: 10.1053/j.gastro.2023.08.039. PMID: 37659676.</w:t>
      </w:r>
    </w:p>
  </w:footnote>
  <w:footnote w:id="35">
    <w:p>
      <w:pPr>
        <w:pStyle w:val="FootnoteText"/>
      </w:pPr>
      <w:r>
        <w:rPr>
          <w:rStyle w:val="FootnoteReference"/>
        </w:rPr>
        <w:footnoteRef/>
      </w:r>
      <w:r>
        <w:t xml:space="preserve"> </w:t>
      </w:r>
      <w:r>
        <w:t xml:space="preserve">Weiss JM, Hunter MV, Cruz NM, Baggiolini A, Tagore M, Ma Y, et al. Anatomic position determines oncogenic specificity in melanoma. Nature. 2022 Apr 30;604(7905):354-361. doi: 10.1038/s41586-022-04584-6. PMID: 35355015.</w:t>
      </w:r>
    </w:p>
  </w:footnote>
  <w:footnote w:id="36">
    <w:p>
      <w:pPr>
        <w:pStyle w:val="FootnoteText"/>
      </w:pPr>
      <w:r>
        <w:rPr>
          <w:rStyle w:val="FootnoteReference"/>
        </w:rPr>
        <w:footnoteRef/>
      </w:r>
      <w:r>
        <w:t xml:space="preserve"> </w:t>
      </w:r>
      <w:r>
        <w:t xml:space="preserve">Weiss JM, Hunter MV, Cruz NM, Baggiolini A, Tagore M, Ma Y, et al. Anatomic position determines oncogenic specificity in melanoma. Nature. 2022 Apr 30;604(7905):354-361. doi: 10.1038/s41586-022-04584-6. PMID: 35355015.</w:t>
      </w:r>
    </w:p>
  </w:footnote>
  <w:footnote w:id="37">
    <w:p>
      <w:pPr>
        <w:pStyle w:val="FootnoteText"/>
      </w:pPr>
      <w:r>
        <w:rPr>
          <w:rStyle w:val="FootnoteReference"/>
        </w:rPr>
        <w:footnoteRef/>
      </w:r>
      <w:r>
        <w:t xml:space="preserve"> </w:t>
      </w:r>
      <w:r>
        <w:t xml:space="preserve">Weiss JM, Hunter MV, Cruz NM, Baggiolini A, Tagore M, Ma Y, et al. Anatomic position determines oncogenic specificity in melanoma. Nature. 2022 Apr 30;604(7905):354-361. doi: 10.1038/s41586-022-04584-6. PMID: 35355015.</w:t>
      </w:r>
    </w:p>
  </w:footnote>
  <w:footnote w:id="38">
    <w:p>
      <w:pPr>
        <w:pStyle w:val="FootnoteText"/>
      </w:pPr>
      <w:r>
        <w:rPr>
          <w:rStyle w:val="FootnoteReference"/>
        </w:rPr>
        <w:footnoteRef/>
      </w:r>
      <w:r>
        <w:t xml:space="preserve"> </w:t>
      </w:r>
      <w:r>
        <w:t xml:space="preserve">Weiss JM, Hunter MV, Cruz NM, Baggiolini A, Tagore M, Ma Y, et al. Anatomic position determines oncogenic specificity in melanoma. Nature. 2022 Apr 30;604(7905):354-361. doi: 10.1038/s41586-022-04584-6. PMID: 35355015.</w:t>
      </w:r>
    </w:p>
  </w:footnote>
  <w:footnote w:id="39">
    <w:p>
      <w:pPr>
        <w:pStyle w:val="FootnoteText"/>
      </w:pPr>
      <w:r>
        <w:rPr>
          <w:rStyle w:val="FootnoteReference"/>
        </w:rPr>
        <w:footnoteRef/>
      </w:r>
      <w:r>
        <w:t xml:space="preserve"> </w:t>
      </w:r>
      <w:hyperlink r:id="rId40">
        <w:r>
          <w:rPr>
            <w:rStyle w:val="Hyperlink"/>
          </w:rPr>
          <w:t xml:space="preserve">https://datacommons.cancer.gov/cloud-resources</w:t>
        </w:r>
      </w:hyperlink>
    </w:p>
  </w:footnote>
  <w:footnote w:id="41">
    <w:p>
      <w:pPr>
        <w:pStyle w:val="FootnoteText"/>
      </w:pPr>
      <w:r>
        <w:rPr>
          <w:rStyle w:val="FootnoteReference"/>
        </w:rPr>
        <w:footnoteRef/>
      </w:r>
      <w:r>
        <w:t xml:space="preserve"> </w:t>
      </w:r>
      <w:hyperlink r:id="rId40">
        <w:r>
          <w:rPr>
            <w:rStyle w:val="Hyperlink"/>
          </w:rPr>
          <w:t xml:space="preserve">https://datacommons.cancer.gov/cloud-resources</w:t>
        </w:r>
      </w:hyperlink>
    </w:p>
  </w:footnote>
  <w:footnote w:id="42">
    <w:p>
      <w:pPr>
        <w:pStyle w:val="FootnoteText"/>
      </w:pPr>
      <w:r>
        <w:rPr>
          <w:rStyle w:val="FootnoteReference"/>
        </w:rPr>
        <w:footnoteRef/>
      </w:r>
      <w:r>
        <w:t xml:space="preserve"> </w:t>
      </w:r>
      <w:hyperlink r:id="rId40">
        <w:r>
          <w:rPr>
            <w:rStyle w:val="Hyperlink"/>
          </w:rPr>
          <w:t xml:space="preserve">https://datacommons.cancer.gov/cloud-resources</w:t>
        </w:r>
      </w:hyperlink>
    </w:p>
  </w:footnote>
  <w:footnote w:id="43">
    <w:p>
      <w:pPr>
        <w:pStyle w:val="FootnoteText"/>
      </w:pPr>
      <w:r>
        <w:rPr>
          <w:rStyle w:val="FootnoteReference"/>
        </w:rPr>
        <w:footnoteRef/>
      </w:r>
      <w:r>
        <w:t xml:space="preserve"> </w:t>
      </w:r>
      <w:hyperlink r:id="rId40">
        <w:r>
          <w:rPr>
            <w:rStyle w:val="Hyperlink"/>
          </w:rPr>
          <w:t xml:space="preserve">https://datacommons.cancer.gov/cloud-resources</w:t>
        </w:r>
      </w:hyperlink>
    </w:p>
  </w:footnote>
  <w:footnote w:id="44">
    <w:p>
      <w:pPr>
        <w:pStyle w:val="FootnoteText"/>
      </w:pPr>
      <w:r>
        <w:rPr>
          <w:rStyle w:val="FootnoteReference"/>
        </w:rPr>
        <w:footnoteRef/>
      </w:r>
      <w:r>
        <w:t xml:space="preserve"> </w:t>
      </w:r>
      <w:hyperlink r:id="rId45">
        <w:r>
          <w:rPr>
            <w:rStyle w:val="Hyperlink"/>
          </w:rPr>
          <w:t xml:space="preserve">https://progressreport.cancer.gov</w:t>
        </w:r>
      </w:hyperlink>
    </w:p>
  </w:footnote>
  <w:footnote w:id="46">
    <w:p>
      <w:pPr>
        <w:pStyle w:val="FootnoteText"/>
      </w:pPr>
      <w:r>
        <w:rPr>
          <w:rStyle w:val="FootnoteReference"/>
        </w:rPr>
        <w:footnoteRef/>
      </w:r>
      <w:r>
        <w:t xml:space="preserve"> </w:t>
      </w:r>
      <w:hyperlink r:id="rId45">
        <w:r>
          <w:rPr>
            <w:rStyle w:val="Hyperlink"/>
          </w:rPr>
          <w:t xml:space="preserve">https://progressreport.cancer.gov</w:t>
        </w:r>
      </w:hyperlink>
    </w:p>
  </w:footnote>
  <w:footnote w:id="47">
    <w:p>
      <w:pPr>
        <w:pStyle w:val="FootnoteText"/>
      </w:pPr>
      <w:r>
        <w:rPr>
          <w:rStyle w:val="FootnoteReference"/>
        </w:rPr>
        <w:footnoteRef/>
      </w:r>
      <w:r>
        <w:t xml:space="preserve"> </w:t>
      </w:r>
      <w:hyperlink r:id="rId45">
        <w:r>
          <w:rPr>
            <w:rStyle w:val="Hyperlink"/>
          </w:rPr>
          <w:t xml:space="preserve">https://progressreport.cancer.gov</w:t>
        </w:r>
      </w:hyperlink>
    </w:p>
  </w:footnote>
  <w:footnote w:id="48">
    <w:p>
      <w:pPr>
        <w:pStyle w:val="FootnoteText"/>
      </w:pPr>
      <w:r>
        <w:rPr>
          <w:rStyle w:val="FootnoteReference"/>
        </w:rPr>
        <w:footnoteRef/>
      </w:r>
      <w:r>
        <w:t xml:space="preserve"> </w:t>
      </w:r>
      <w:hyperlink r:id="rId45">
        <w:r>
          <w:rPr>
            <w:rStyle w:val="Hyperlink"/>
          </w:rPr>
          <w:t xml:space="preserve">https://progressreport.cancer.gov</w:t>
        </w:r>
      </w:hyperlink>
    </w:p>
  </w:footnote>
  <w:footnote w:id="49">
    <w:p>
      <w:pPr>
        <w:pStyle w:val="FootnoteText"/>
      </w:pPr>
      <w:r>
        <w:rPr>
          <w:rStyle w:val="FootnoteReference"/>
        </w:rPr>
        <w:footnoteRef/>
      </w:r>
      <w:r>
        <w:t xml:space="preserve"> </w:t>
      </w:r>
      <w:hyperlink r:id="rId50">
        <w:r>
          <w:rPr>
            <w:rStyle w:val="Hyperlink"/>
          </w:rPr>
          <w:t xml:space="preserve">https://www.cancer.gov/research/infrastructure/clinical-trials/ctiu</w:t>
        </w:r>
      </w:hyperlink>
    </w:p>
  </w:footnote>
  <w:footnote w:id="51">
    <w:p>
      <w:pPr>
        <w:pStyle w:val="FootnoteText"/>
      </w:pPr>
      <w:r>
        <w:rPr>
          <w:rStyle w:val="FootnoteReference"/>
        </w:rPr>
        <w:footnoteRef/>
      </w:r>
      <w:r>
        <w:t xml:space="preserve"> </w:t>
      </w:r>
      <w:hyperlink r:id="rId50">
        <w:r>
          <w:rPr>
            <w:rStyle w:val="Hyperlink"/>
          </w:rPr>
          <w:t xml:space="preserve">https://www.cancer.gov/research/infrastructure/clinical-trials/ctiu</w:t>
        </w:r>
      </w:hyperlink>
    </w:p>
  </w:footnote>
  <w:footnote w:id="52">
    <w:p>
      <w:pPr>
        <w:pStyle w:val="FootnoteText"/>
      </w:pPr>
      <w:r>
        <w:rPr>
          <w:rStyle w:val="FootnoteReference"/>
        </w:rPr>
        <w:footnoteRef/>
      </w:r>
      <w:r>
        <w:t xml:space="preserve"> </w:t>
      </w:r>
      <w:hyperlink r:id="rId50">
        <w:r>
          <w:rPr>
            <w:rStyle w:val="Hyperlink"/>
          </w:rPr>
          <w:t xml:space="preserve">https://www.cancer.gov/research/infrastructure/clinical-trials/ctiu</w:t>
        </w:r>
      </w:hyperlink>
    </w:p>
  </w:footnote>
  <w:footnote w:id="53">
    <w:p>
      <w:pPr>
        <w:pStyle w:val="FootnoteText"/>
      </w:pPr>
      <w:r>
        <w:rPr>
          <w:rStyle w:val="FootnoteReference"/>
        </w:rPr>
        <w:footnoteRef/>
      </w:r>
      <w:r>
        <w:t xml:space="preserve"> </w:t>
      </w:r>
      <w:hyperlink r:id="rId50">
        <w:r>
          <w:rPr>
            <w:rStyle w:val="Hyperlink"/>
          </w:rPr>
          <w:t xml:space="preserve">https://www.cancer.gov/research/infrastructure/clinical-trials/ctiu</w:t>
        </w:r>
      </w:hyperlink>
    </w:p>
  </w:footnote>
  <w:footnote w:id="54">
    <w:p>
      <w:pPr>
        <w:pStyle w:val="FootnoteText"/>
      </w:pPr>
      <w:r>
        <w:rPr>
          <w:rStyle w:val="FootnoteReference"/>
        </w:rPr>
        <w:footnoteRef/>
      </w:r>
      <w:r>
        <w:t xml:space="preserve"> </w:t>
      </w:r>
      <w:r>
        <w:t xml:space="preserve">Klomp JE, Diehl JN, Klomp JA, Edwards AC, Yang R, Morales AJ, et al. Determining the ERK-regulated phosphoproteome driving KRAS-mutant cancer. Science. 2024 Jun 07;384(6700):eadk0850. doi: 10.1126/science.adk0850. PMID: 38843329.</w:t>
      </w:r>
    </w:p>
  </w:footnote>
  <w:footnote w:id="55">
    <w:p>
      <w:pPr>
        <w:pStyle w:val="FootnoteText"/>
      </w:pPr>
      <w:r>
        <w:rPr>
          <w:rStyle w:val="FootnoteReference"/>
        </w:rPr>
        <w:footnoteRef/>
      </w:r>
      <w:r>
        <w:t xml:space="preserve"> </w:t>
      </w:r>
      <w:r>
        <w:t xml:space="preserve">Klomp JE, Diehl JN, Klomp JA, Edwards AC, Yang R, Morales AJ, et al. Determining the ERK-regulated phosphoproteome driving KRAS-mutant cancer. Science. 2024 Jun 07;384(6700):eadk0850. doi: 10.1126/science.adk0850. PMID: 38843329.</w:t>
      </w:r>
    </w:p>
  </w:footnote>
  <w:footnote w:id="56">
    <w:p>
      <w:pPr>
        <w:pStyle w:val="FootnoteText"/>
      </w:pPr>
      <w:r>
        <w:rPr>
          <w:rStyle w:val="FootnoteReference"/>
        </w:rPr>
        <w:footnoteRef/>
      </w:r>
      <w:r>
        <w:t xml:space="preserve"> </w:t>
      </w:r>
      <w:hyperlink r:id="rId57">
        <w:r>
          <w:rPr>
            <w:rStyle w:val="Hyperlink"/>
          </w:rPr>
          <w:t xml:space="preserve">https://www.cancer.gov/research/leading-progress/stories/cytalux</w:t>
        </w:r>
      </w:hyperlink>
    </w:p>
  </w:footnote>
  <w:footnote w:id="58">
    <w:p>
      <w:pPr>
        <w:pStyle w:val="FootnoteText"/>
      </w:pPr>
      <w:r>
        <w:rPr>
          <w:rStyle w:val="FootnoteReference"/>
        </w:rPr>
        <w:footnoteRef/>
      </w:r>
      <w:r>
        <w:t xml:space="preserve"> </w:t>
      </w:r>
      <w:hyperlink r:id="rId57">
        <w:r>
          <w:rPr>
            <w:rStyle w:val="Hyperlink"/>
          </w:rPr>
          <w:t xml:space="preserve">https://www.cancer.gov/research/leading-progress/stories/cytalux</w:t>
        </w:r>
      </w:hyperlink>
    </w:p>
  </w:footnote>
  <w:footnote w:id="59">
    <w:p>
      <w:pPr>
        <w:pStyle w:val="FootnoteText"/>
      </w:pPr>
      <w:r>
        <w:rPr>
          <w:rStyle w:val="FootnoteReference"/>
        </w:rPr>
        <w:footnoteRef/>
      </w:r>
      <w:r>
        <w:t xml:space="preserve"> </w:t>
      </w:r>
      <w:hyperlink r:id="rId57">
        <w:r>
          <w:rPr>
            <w:rStyle w:val="Hyperlink"/>
          </w:rPr>
          <w:t xml:space="preserve">https://www.cancer.gov/research/leading-progress/stories/cytalux</w:t>
        </w:r>
      </w:hyperlink>
    </w:p>
  </w:footnote>
  <w:footnote w:id="60">
    <w:p>
      <w:pPr>
        <w:pStyle w:val="FootnoteText"/>
      </w:pPr>
      <w:r>
        <w:rPr>
          <w:rStyle w:val="FootnoteReference"/>
        </w:rPr>
        <w:footnoteRef/>
      </w:r>
      <w:r>
        <w:t xml:space="preserve"> </w:t>
      </w:r>
      <w:r>
        <w:t xml:space="preserve">Song M, Camargo MC, Katki HA, Weinstein SJ, Männistö S, Albanes D, et al. Association of Antiparietal Cell and Anti-Intrinsic Factor Antibodies With Risk of Gastric Cancer. JAMA Oncol. 2022 Feb 01;8(2):268-274. doi: 10.1001/jamaoncol.2021.5395. PMID: 34913949.</w:t>
      </w:r>
    </w:p>
  </w:footnote>
  <w:footnote w:id="61">
    <w:p>
      <w:pPr>
        <w:pStyle w:val="FootnoteText"/>
      </w:pPr>
      <w:r>
        <w:rPr>
          <w:rStyle w:val="FootnoteReference"/>
        </w:rPr>
        <w:footnoteRef/>
      </w:r>
      <w:r>
        <w:t xml:space="preserve"> </w:t>
      </w:r>
      <w:r>
        <w:t xml:space="preserve">Song M, Camargo MC, Katki HA, Weinstein SJ, Männistö S, Albanes D, et al. Association of Antiparietal Cell and Anti-Intrinsic Factor Antibodies With Risk of Gastric Cancer. JAMA Oncol. 2022 Feb 01;8(2):268-274. doi: 10.1001/jamaoncol.2021.5395. PMID: 34913949.</w:t>
      </w:r>
    </w:p>
  </w:footnote>
  <w:footnote w:id="62">
    <w:p>
      <w:pPr>
        <w:pStyle w:val="FootnoteText"/>
      </w:pPr>
      <w:r>
        <w:rPr>
          <w:rStyle w:val="FootnoteReference"/>
        </w:rPr>
        <w:footnoteRef/>
      </w:r>
      <w:r>
        <w:t xml:space="preserve"> </w:t>
      </w:r>
      <w:r>
        <w:t xml:space="preserve">Song M, Camargo MC, Katki HA, Weinstein SJ, Männistö S, Albanes D, et al. Association of Antiparietal Cell and Anti-Intrinsic Factor Antibodies With Risk of Gastric Cancer. JAMA Oncol. 2022 Feb 01;8(2):268-274. doi: 10.1001/jamaoncol.2021.5395. PMID: 34913949.</w:t>
      </w:r>
    </w:p>
  </w:footnote>
  <w:footnote w:id="63">
    <w:p>
      <w:pPr>
        <w:pStyle w:val="FootnoteText"/>
      </w:pPr>
      <w:r>
        <w:rPr>
          <w:rStyle w:val="FootnoteReference"/>
        </w:rPr>
        <w:footnoteRef/>
      </w:r>
      <w:r>
        <w:t xml:space="preserve"> </w:t>
      </w:r>
      <w:r>
        <w:t xml:space="preserve">Song M, Camargo MC, Katki HA, Weinstein SJ, Männistö S, Albanes D, et al. Association of Antiparietal Cell and Anti-Intrinsic Factor Antibodies With Risk of Gastric Cancer. JAMA Oncol. 2022 Feb 01;8(2):268-274. doi: 10.1001/jamaoncol.2021.5395. PMID: 34913949.</w:t>
      </w:r>
    </w:p>
  </w:footnote>
  <w:footnote w:id="64">
    <w:p>
      <w:pPr>
        <w:pStyle w:val="FootnoteText"/>
      </w:pPr>
      <w:r>
        <w:rPr>
          <w:rStyle w:val="FootnoteReference"/>
        </w:rPr>
        <w:footnoteRef/>
      </w:r>
      <w:r>
        <w:t xml:space="preserve"> </w:t>
      </w:r>
      <w:r>
        <w:t xml:space="preserve">Leidner R, Sanjuan Silva N, Huang H, Sprott D, Zheng C, Shih YP, et al. Neoantigen T-Cell Receptor Gene Therapy in Pancreatic Cancer. N Engl J Med. 2022 Jun 02;386(22):2112-2119. doi: 10.1056/NEJMoa2119662. PMID: 35648703.</w:t>
      </w:r>
    </w:p>
  </w:footnote>
  <w:footnote w:id="65">
    <w:p>
      <w:pPr>
        <w:pStyle w:val="FootnoteText"/>
      </w:pPr>
      <w:r>
        <w:rPr>
          <w:rStyle w:val="FootnoteReference"/>
        </w:rPr>
        <w:footnoteRef/>
      </w:r>
      <w:r>
        <w:t xml:space="preserve"> </w:t>
      </w:r>
      <w:r>
        <w:t xml:space="preserve">Leidner R, Sanjuan Silva N, Huang H, Sprott D, Zheng C, Shih YP, et al. Neoantigen T-Cell Receptor Gene Therapy in Pancreatic Cancer. N Engl J Med. 2022 Jun 02;386(22):2112-2119. doi: 10.1056/NEJMoa2119662. PMID: 35648703.</w:t>
      </w:r>
    </w:p>
  </w:footnote>
  <w:footnote w:id="66">
    <w:p>
      <w:pPr>
        <w:pStyle w:val="FootnoteText"/>
      </w:pPr>
      <w:r>
        <w:rPr>
          <w:rStyle w:val="FootnoteReference"/>
        </w:rPr>
        <w:footnoteRef/>
      </w:r>
      <w:r>
        <w:t xml:space="preserve"> </w:t>
      </w:r>
      <w:r>
        <w:t xml:space="preserve">Leidner R, Sanjuan Silva N, Huang H, Sprott D, Zheng C, Shih YP, et al. Neoantigen T-Cell Receptor Gene Therapy in Pancreatic Cancer. N Engl J Med. 2022 Jun 02;386(22):2112-2119. doi: 10.1056/NEJMoa2119662. PMID: 35648703.</w:t>
      </w:r>
    </w:p>
  </w:footnote>
  <w:footnote w:id="67">
    <w:p>
      <w:pPr>
        <w:pStyle w:val="FootnoteText"/>
      </w:pPr>
      <w:r>
        <w:rPr>
          <w:rStyle w:val="FootnoteReference"/>
        </w:rPr>
        <w:footnoteRef/>
      </w:r>
      <w:r>
        <w:t xml:space="preserve"> </w:t>
      </w:r>
      <w:r>
        <w:t xml:space="preserve">Lu DY, Ellegast JM, Ross KN, Malone CF, Lin S, Mabe NW, et al. The ETS transcription factor ETV6 constrains the transcriptional activity of EWS-FLI to promote Ewing sarcoma. Nat Cell Biol. 2023 Feb 19;25(2):285-297. doi: 10.1038/s41556-022-01059-8. PMID: 36658220.</w:t>
      </w:r>
    </w:p>
  </w:footnote>
  <w:footnote w:id="68">
    <w:p>
      <w:pPr>
        <w:pStyle w:val="FootnoteText"/>
      </w:pPr>
      <w:r>
        <w:rPr>
          <w:rStyle w:val="FootnoteReference"/>
        </w:rPr>
        <w:footnoteRef/>
      </w:r>
      <w:r>
        <w:t xml:space="preserve"> </w:t>
      </w:r>
      <w:r>
        <w:t xml:space="preserve">Lu DY, Ellegast JM, Ross KN, Malone CF, Lin S, Mabe NW, et al. The ETS transcription factor ETV6 constrains the transcriptional activity of EWS-FLI to promote Ewing sarcoma. Nat Cell Biol. 2023 Feb 19;25(2):285-297. doi: 10.1038/s41556-022-01059-8. PMID: 36658220.</w:t>
      </w:r>
    </w:p>
  </w:footnote>
  <w:footnote w:id="69">
    <w:p>
      <w:pPr>
        <w:pStyle w:val="FootnoteText"/>
      </w:pPr>
      <w:r>
        <w:rPr>
          <w:rStyle w:val="FootnoteReference"/>
        </w:rPr>
        <w:footnoteRef/>
      </w:r>
      <w:r>
        <w:t xml:space="preserve"> </w:t>
      </w:r>
      <w:r>
        <w:t xml:space="preserve">Lu DY, Ellegast JM, Ross KN, Malone CF, Lin S, Mabe NW, et al. The ETS transcription factor ETV6 constrains the transcriptional activity of EWS-FLI to promote Ewing sarcoma. Nat Cell Biol. 2023 Feb 19;25(2):285-297. doi: 10.1038/s41556-022-01059-8. PMID: 36658220.</w:t>
      </w:r>
    </w:p>
  </w:footnote>
  <w:footnote w:id="70">
    <w:p>
      <w:pPr>
        <w:pStyle w:val="FootnoteText"/>
      </w:pPr>
      <w:r>
        <w:rPr>
          <w:rStyle w:val="FootnoteReference"/>
        </w:rPr>
        <w:footnoteRef/>
      </w:r>
      <w:r>
        <w:t xml:space="preserve"> </w:t>
      </w:r>
      <w:r>
        <w:t xml:space="preserve">Wang R, Song S, Qin J, Yoshimura K, Peng F, Chu Y, et al. Evolution of immune and stromal cell states and ecotypes during gastric adenocarcinoma progression. Cancer Cell. 2023 Aug 14;41(8):1407-1426.e9. doi: 10.1016/j.ccell.2023.06.005. PMID: 37419119.</w:t>
      </w:r>
    </w:p>
  </w:footnote>
  <w:footnote w:id="71">
    <w:p>
      <w:pPr>
        <w:pStyle w:val="FootnoteText"/>
      </w:pPr>
      <w:r>
        <w:rPr>
          <w:rStyle w:val="FootnoteReference"/>
        </w:rPr>
        <w:footnoteRef/>
      </w:r>
      <w:r>
        <w:t xml:space="preserve"> </w:t>
      </w:r>
      <w:r>
        <w:t xml:space="preserve">Wang R, Song S, Qin J, Yoshimura K, Peng F, Chu Y, et al. Evolution of immune and stromal cell states and ecotypes during gastric adenocarcinoma progression. Cancer Cell. 2023 Aug 14;41(8):1407-1426.e9. doi: 10.1016/j.ccell.2023.06.005. PMID: 37419119.</w:t>
      </w:r>
    </w:p>
  </w:footnote>
  <w:footnote w:id="72">
    <w:p>
      <w:pPr>
        <w:pStyle w:val="FootnoteText"/>
      </w:pPr>
      <w:r>
        <w:rPr>
          <w:rStyle w:val="FootnoteReference"/>
        </w:rPr>
        <w:footnoteRef/>
      </w:r>
      <w:r>
        <w:t xml:space="preserve"> </w:t>
      </w:r>
      <w:r>
        <w:t xml:space="preserve">Wang R, Song S, Qin J, Yoshimura K, Peng F, Chu Y, et al. Evolution of immune and stromal cell states and ecotypes during gastric adenocarcinoma progression. Cancer Cell. 2023 Aug 14;41(8):1407-1426.e9. doi: 10.1016/j.ccell.2023.06.005. PMID: 37419119.</w:t>
      </w:r>
    </w:p>
  </w:footnote>
  <w:footnote w:id="73">
    <w:p>
      <w:pPr>
        <w:pStyle w:val="FootnoteText"/>
      </w:pPr>
      <w:r>
        <w:rPr>
          <w:rStyle w:val="FootnoteReference"/>
        </w:rPr>
        <w:footnoteRef/>
      </w:r>
      <w:r>
        <w:t xml:space="preserve"> </w:t>
      </w:r>
      <w:r>
        <w:t xml:space="preserve">Wang R, Song S, Qin J, Yoshimura K, Peng F, Chu Y, et al. Evolution of immune and stromal cell states and ecotypes during gastric adenocarcinoma progression. Cancer Cell. 2023 Aug 14;41(8):1407-1426.e9. doi: 10.1016/j.ccell.2023.06.005. PMID: 37419119.</w:t>
      </w:r>
    </w:p>
  </w:footnote>
  <w:footnote w:id="74">
    <w:p>
      <w:pPr>
        <w:pStyle w:val="FootnoteText"/>
      </w:pPr>
      <w:r>
        <w:rPr>
          <w:rStyle w:val="FootnoteReference"/>
        </w:rPr>
        <w:footnoteRef/>
      </w:r>
      <w:r>
        <w:t xml:space="preserve"> </w:t>
      </w:r>
      <w:r>
        <w:t xml:space="preserve">Wang R, Song S, Qin J, Yoshimura K, Peng F, Chu Y, et al. Evolution of immune and stromal cell states and ecotypes during gastric adenocarcinoma progression. Cancer Cell. 2023 Aug 14;41(8):1407-1426.e9. doi: 10.1016/j.ccell.2023.06.005. PMID: 37419119.</w:t>
      </w:r>
    </w:p>
  </w:footnote>
  <w:footnote w:id="75">
    <w:p>
      <w:pPr>
        <w:pStyle w:val="FootnoteText"/>
      </w:pPr>
      <w:r>
        <w:rPr>
          <w:rStyle w:val="FootnoteReference"/>
        </w:rPr>
        <w:footnoteRef/>
      </w:r>
      <w:r>
        <w:t xml:space="preserve"> </w:t>
      </w:r>
      <w:r>
        <w:t xml:space="preserve">Houlahan KE, Khan A, Greenwald NF, Vivas CS, West RB, Angelo M, et al. Germline-mediated immunoediting sculpts breast cancer subtypes and metastatic proclivity. Science. 2024 May 31;384(6699):eadh8697. doi: 10.1126/science.adh8697. PMID: 38815010.</w:t>
      </w:r>
    </w:p>
  </w:footnote>
  <w:footnote w:id="76">
    <w:p>
      <w:pPr>
        <w:pStyle w:val="FootnoteText"/>
      </w:pPr>
      <w:r>
        <w:rPr>
          <w:rStyle w:val="FootnoteReference"/>
        </w:rPr>
        <w:footnoteRef/>
      </w:r>
      <w:r>
        <w:t xml:space="preserve"> </w:t>
      </w:r>
      <w:r>
        <w:t xml:space="preserve">Houlahan KE, Khan A, Greenwald NF, Vivas CS, West RB, Angelo M, et al. Germline-mediated immunoediting sculpts breast cancer subtypes and metastatic proclivity. Science. 2024 May 31;384(6699):eadh8697. doi: 10.1126/science.adh8697. PMID: 38815010.</w:t>
      </w:r>
    </w:p>
  </w:footnote>
  <w:footnote w:id="77">
    <w:p>
      <w:pPr>
        <w:pStyle w:val="FootnoteText"/>
      </w:pPr>
      <w:r>
        <w:rPr>
          <w:rStyle w:val="FootnoteReference"/>
        </w:rPr>
        <w:footnoteRef/>
      </w:r>
      <w:r>
        <w:t xml:space="preserve"> </w:t>
      </w:r>
      <w:r>
        <w:t xml:space="preserve">Houlahan KE, Khan A, Greenwald NF, Vivas CS, West RB, Angelo M, et al. Germline-mediated immunoediting sculpts breast cancer subtypes and metastatic proclivity. Science. 2024 May 31;384(6699):eadh8697. doi: 10.1126/science.adh8697. PMID: 38815010.</w:t>
      </w:r>
    </w:p>
  </w:footnote>
  <w:footnote w:id="78">
    <w:p>
      <w:pPr>
        <w:pStyle w:val="FootnoteText"/>
      </w:pPr>
      <w:r>
        <w:rPr>
          <w:rStyle w:val="FootnoteReference"/>
        </w:rPr>
        <w:footnoteRef/>
      </w:r>
      <w:r>
        <w:t xml:space="preserve"> </w:t>
      </w:r>
      <w:r>
        <w:t xml:space="preserve">Houlahan KE, Khan A, Greenwald NF, Vivas CS, West RB, Angelo M, et al. Germline-mediated immunoediting sculpts breast cancer subtypes and metastatic proclivity. Science. 2024 May 31;384(6699):eadh8697. doi: 10.1126/science.adh8697. PMID: 38815010.</w:t>
      </w:r>
    </w:p>
  </w:footnote>
  <w:footnote w:id="79">
    <w:p>
      <w:pPr>
        <w:pStyle w:val="FootnoteText"/>
      </w:pPr>
      <w:r>
        <w:rPr>
          <w:rStyle w:val="FootnoteReference"/>
        </w:rPr>
        <w:footnoteRef/>
      </w:r>
      <w:r>
        <w:t xml:space="preserve"> </w:t>
      </w:r>
      <w:hyperlink r:id="rId80">
        <w:r>
          <w:rPr>
            <w:rStyle w:val="Hyperlink"/>
          </w:rPr>
          <w:t xml:space="preserve">https://prevention.cancer.gov/major-programs/cancer-screening-research-network-csrn</w:t>
        </w:r>
      </w:hyperlink>
    </w:p>
  </w:footnote>
  <w:footnote w:id="81">
    <w:p>
      <w:pPr>
        <w:pStyle w:val="FootnoteText"/>
      </w:pPr>
      <w:r>
        <w:rPr>
          <w:rStyle w:val="FootnoteReference"/>
        </w:rPr>
        <w:footnoteRef/>
      </w:r>
      <w:r>
        <w:t xml:space="preserve"> </w:t>
      </w:r>
      <w:hyperlink r:id="rId80">
        <w:r>
          <w:rPr>
            <w:rStyle w:val="Hyperlink"/>
          </w:rPr>
          <w:t xml:space="preserve">https://prevention.cancer.gov/major-programs/cancer-screening-research-network-csrn</w:t>
        </w:r>
      </w:hyperlink>
    </w:p>
  </w:footnote>
  <w:footnote w:id="82">
    <w:p>
      <w:pPr>
        <w:pStyle w:val="FootnoteText"/>
      </w:pPr>
      <w:r>
        <w:rPr>
          <w:rStyle w:val="FootnoteReference"/>
        </w:rPr>
        <w:footnoteRef/>
      </w:r>
      <w:r>
        <w:t xml:space="preserve"> </w:t>
      </w:r>
      <w:r>
        <w:t xml:space="preserve">Nwosu ZC, Ward MH, Sajjakulnukit P, Poudel P, Ragulan C, Kasperek S, et al. Uridine-derived ribose fuels glucose-restricted pancreatic cancer. Nature. 2023 Jun 17;618(7963):151-158. doi: 10.1038/s41586-023-06073-w. PMID: 37198494.</w:t>
      </w:r>
    </w:p>
  </w:footnote>
  <w:footnote w:id="83">
    <w:p>
      <w:pPr>
        <w:pStyle w:val="FootnoteText"/>
      </w:pPr>
      <w:r>
        <w:rPr>
          <w:rStyle w:val="FootnoteReference"/>
        </w:rPr>
        <w:footnoteRef/>
      </w:r>
      <w:r>
        <w:t xml:space="preserve"> </w:t>
      </w:r>
      <w:r>
        <w:t xml:space="preserve">Nwosu ZC, Ward MH, Sajjakulnukit P, Poudel P, Ragulan C, Kasperek S, et al. Uridine-derived ribose fuels glucose-restricted pancreatic cancer. Nature. 2023 Jun 17;618(7963):151-158. doi: 10.1038/s41586-023-06073-w. PMID: 37198494.</w:t>
      </w:r>
    </w:p>
  </w:footnote>
  <w:footnote w:id="84">
    <w:p>
      <w:pPr>
        <w:pStyle w:val="FootnoteText"/>
      </w:pPr>
      <w:r>
        <w:rPr>
          <w:rStyle w:val="FootnoteReference"/>
        </w:rPr>
        <w:footnoteRef/>
      </w:r>
      <w:r>
        <w:t xml:space="preserve"> </w:t>
      </w:r>
      <w:r>
        <w:t xml:space="preserve">Nwosu ZC, Ward MH, Sajjakulnukit P, Poudel P, Ragulan C, Kasperek S, et al. Uridine-derived ribose fuels glucose-restricted pancreatic cancer. Nature. 2023 Jun 17;618(7963):151-158. doi: 10.1038/s41586-023-06073-w. PMID: 37198494.</w:t>
      </w:r>
    </w:p>
  </w:footnote>
  <w:footnote w:id="85">
    <w:p>
      <w:pPr>
        <w:pStyle w:val="FootnoteText"/>
      </w:pPr>
      <w:r>
        <w:rPr>
          <w:rStyle w:val="FootnoteReference"/>
        </w:rPr>
        <w:footnoteRef/>
      </w:r>
      <w:r>
        <w:t xml:space="preserve"> </w:t>
      </w:r>
      <w:r>
        <w:t xml:space="preserve">Nwosu ZC, Ward MH, Sajjakulnukit P, Poudel P, Ragulan C, Kasperek S, et al. Uridine-derived ribose fuels glucose-restricted pancreatic cancer. Nature. 2023 Jun 17;618(7963):151-158. doi: 10.1038/s41586-023-06073-w. PMID: 37198494.</w:t>
      </w:r>
    </w:p>
  </w:footnote>
  <w:footnote w:id="86">
    <w:p>
      <w:pPr>
        <w:pStyle w:val="FootnoteText"/>
      </w:pPr>
      <w:r>
        <w:rPr>
          <w:rStyle w:val="FootnoteReference"/>
        </w:rPr>
        <w:footnoteRef/>
      </w:r>
      <w:r>
        <w:t xml:space="preserve"> </w:t>
      </w:r>
      <w:r>
        <w:t xml:space="preserve">Hantel A, Walsh TP, Marron JM, Kehl KL, Sharp R, Van Allen E, et al. Perspectives of Oncologists on the Ethical Implications of Using Artificial Intelligence for Cancer Care. JAMA Netw Open. 2024 Mar 04;7(3):e244077. doi: 10.1001/jamanetworkopen.2024.4077. PMID: 38546644.</w:t>
      </w:r>
    </w:p>
  </w:footnote>
  <w:footnote w:id="87">
    <w:p>
      <w:pPr>
        <w:pStyle w:val="FootnoteText"/>
      </w:pPr>
      <w:r>
        <w:rPr>
          <w:rStyle w:val="FootnoteReference"/>
        </w:rPr>
        <w:footnoteRef/>
      </w:r>
      <w:r>
        <w:t xml:space="preserve"> </w:t>
      </w:r>
      <w:r>
        <w:t xml:space="preserve">Hantel A, Walsh TP, Marron JM, Kehl KL, Sharp R, Van Allen E, et al. Perspectives of Oncologists on the Ethical Implications of Using Artificial Intelligence for Cancer Care. JAMA Netw Open. 2024 Mar 04;7(3):e244077. doi: 10.1001/jamanetworkopen.2024.4077. PMID: 38546644.</w:t>
      </w:r>
    </w:p>
  </w:footnote>
  <w:footnote w:id="88">
    <w:p>
      <w:pPr>
        <w:pStyle w:val="FootnoteText"/>
      </w:pPr>
      <w:r>
        <w:rPr>
          <w:rStyle w:val="FootnoteReference"/>
        </w:rPr>
        <w:footnoteRef/>
      </w:r>
      <w:r>
        <w:t xml:space="preserve"> </w:t>
      </w:r>
      <w:r>
        <w:t xml:space="preserve">Hantel A, Walsh TP, Marron JM, Kehl KL, Sharp R, Van Allen E, et al. Perspectives of Oncologists on the Ethical Implications of Using Artificial Intelligence for Cancer Care. JAMA Netw Open. 2024 Mar 04;7(3):e244077. doi: 10.1001/jamanetworkopen.2024.4077. PMID: 38546644.</w:t>
      </w:r>
    </w:p>
  </w:footnote>
  <w:footnote w:id="89">
    <w:p>
      <w:pPr>
        <w:pStyle w:val="FootnoteText"/>
      </w:pPr>
      <w:r>
        <w:rPr>
          <w:rStyle w:val="FootnoteReference"/>
        </w:rPr>
        <w:footnoteRef/>
      </w:r>
      <w:r>
        <w:t xml:space="preserve"> </w:t>
      </w:r>
      <w:r>
        <w:t xml:space="preserve">Hantel A, Walsh TP, Marron JM, Kehl KL, Sharp R, Van Allen E, et al. Perspectives of Oncologists on the Ethical Implications of Using Artificial Intelligence for Cancer Care. JAMA Netw Open. 2024 Mar 04;7(3):e244077. doi: 10.1001/jamanetworkopen.2024.4077. PMID: 38546644.</w:t>
      </w:r>
    </w:p>
  </w:footnote>
  <w:footnote w:id="90">
    <w:p>
      <w:pPr>
        <w:pStyle w:val="FootnoteText"/>
      </w:pPr>
      <w:r>
        <w:rPr>
          <w:rStyle w:val="FootnoteReference"/>
        </w:rPr>
        <w:footnoteRef/>
      </w:r>
      <w:r>
        <w:t xml:space="preserve"> </w:t>
      </w:r>
      <w:r>
        <w:t xml:space="preserve">Hantel A, Walsh TP, Marron JM, Kehl KL, Sharp R, Van Allen E, et al. Perspectives of Oncologists on the Ethical Implications of Using Artificial Intelligence for Cancer Care. JAMA Netw Open. 2024 Mar 04;7(3):e244077. doi: 10.1001/jamanetworkopen.2024.4077. PMID: 38546644.</w:t>
      </w:r>
    </w:p>
  </w:footnote>
  <w:footnote w:id="91">
    <w:p>
      <w:pPr>
        <w:pStyle w:val="FootnoteText"/>
      </w:pPr>
      <w:r>
        <w:rPr>
          <w:rStyle w:val="FootnoteReference"/>
        </w:rPr>
        <w:footnoteRef/>
      </w:r>
      <w:r>
        <w:t xml:space="preserve"> </w:t>
      </w:r>
      <w:r>
        <w:t xml:space="preserve">Helms EJ, Berry MW, Chaw RC, DuFort CC, Sun D, Onate MK, et al. Mesenchymal Lineage Heterogeneity Underlies Nonredundant Functions of Pancreatic Cancer-Associated Fibroblasts. Cancer Discov. 2022 Feb 21;12(2):484-501. doi: 10.1158/2159-8290.CD-21-0601. PMID: 34548310.</w:t>
      </w:r>
    </w:p>
  </w:footnote>
  <w:footnote w:id="92">
    <w:p>
      <w:pPr>
        <w:pStyle w:val="FootnoteText"/>
      </w:pPr>
      <w:r>
        <w:rPr>
          <w:rStyle w:val="FootnoteReference"/>
        </w:rPr>
        <w:footnoteRef/>
      </w:r>
      <w:r>
        <w:t xml:space="preserve"> </w:t>
      </w:r>
      <w:r>
        <w:t xml:space="preserve">Helms EJ, Berry MW, Chaw RC, DuFort CC, Sun D, Onate MK, et al. Mesenchymal Lineage Heterogeneity Underlies Nonredundant Functions of Pancreatic Cancer-Associated Fibroblasts. Cancer Discov. 2022 Feb 21;12(2):484-501. doi: 10.1158/2159-8290.CD-21-0601. PMID: 34548310.</w:t>
      </w:r>
    </w:p>
  </w:footnote>
  <w:footnote w:id="93">
    <w:p>
      <w:pPr>
        <w:pStyle w:val="FootnoteText"/>
      </w:pPr>
      <w:r>
        <w:rPr>
          <w:rStyle w:val="FootnoteReference"/>
        </w:rPr>
        <w:footnoteRef/>
      </w:r>
      <w:r>
        <w:t xml:space="preserve"> </w:t>
      </w:r>
      <w:r>
        <w:t xml:space="preserve">Halpern MT, Liu B, Lowy DR, Gupta S, Croswell JM, Doria-Rose VP. The Annual Cost of Cancer Screening in the United States. Ann Intern Med. 2024 Sep 06;177(9):1170-1178. doi: 10.7326/M24-0375. PMID: 39102723.</w:t>
      </w:r>
    </w:p>
  </w:footnote>
  <w:footnote w:id="94">
    <w:p>
      <w:pPr>
        <w:pStyle w:val="FootnoteText"/>
      </w:pPr>
      <w:r>
        <w:rPr>
          <w:rStyle w:val="FootnoteReference"/>
        </w:rPr>
        <w:footnoteRef/>
      </w:r>
      <w:r>
        <w:t xml:space="preserve"> </w:t>
      </w:r>
      <w:r>
        <w:t xml:space="preserve">Halpern MT, Liu B, Lowy DR, Gupta S, Croswell JM, Doria-Rose VP. The Annual Cost of Cancer Screening in the United States. Ann Intern Med. 2024 Sep 06;177(9):1170-1178. doi: 10.7326/M24-0375. PMID: 39102723.</w:t>
      </w:r>
    </w:p>
  </w:footnote>
  <w:footnote w:id="95">
    <w:p>
      <w:pPr>
        <w:pStyle w:val="FootnoteText"/>
      </w:pPr>
      <w:r>
        <w:rPr>
          <w:rStyle w:val="FootnoteReference"/>
        </w:rPr>
        <w:footnoteRef/>
      </w:r>
      <w:r>
        <w:t xml:space="preserve"> </w:t>
      </w:r>
      <w:r>
        <w:t xml:space="preserve">Flores-Toro JA, Jagu S, Armstrong GT, Arons DF, Aune GJ, Chanock SJ, et al. The Childhood Cancer Data Initiative: Using the Power of Data to Learn From and Improve Outcomes for Every Child and Young Adult With Pediatric Cancer. J Clin Oncol. 2023 Aug 20;41(24):4045-4053. doi: 10.1200/JCO.22.02208. PMID: 37267580.</w:t>
      </w:r>
    </w:p>
  </w:footnote>
  <w:footnote w:id="96">
    <w:p>
      <w:pPr>
        <w:pStyle w:val="FootnoteText"/>
      </w:pPr>
      <w:r>
        <w:rPr>
          <w:rStyle w:val="FootnoteReference"/>
        </w:rPr>
        <w:footnoteRef/>
      </w:r>
      <w:r>
        <w:t xml:space="preserve"> </w:t>
      </w:r>
      <w:r>
        <w:t xml:space="preserve">Flores-Toro JA, Jagu S, Armstrong GT, Arons DF, Aune GJ, Chanock SJ, et al. The Childhood Cancer Data Initiative: Using the Power of Data to Learn From and Improve Outcomes for Every Child and Young Adult With Pediatric Cancer. J Clin Oncol. 2023 Aug 20;41(24):4045-4053. doi: 10.1200/JCO.22.02208. PMID: 37267580.</w:t>
      </w:r>
    </w:p>
  </w:footnote>
  <w:footnote w:id="97">
    <w:p>
      <w:pPr>
        <w:pStyle w:val="FootnoteText"/>
      </w:pPr>
      <w:r>
        <w:rPr>
          <w:rStyle w:val="FootnoteReference"/>
        </w:rPr>
        <w:footnoteRef/>
      </w:r>
      <w:r>
        <w:t xml:space="preserve"> </w:t>
      </w:r>
      <w:r>
        <w:t xml:space="preserve">Flores-Toro JA, Jagu S, Armstrong GT, Arons DF, Aune GJ, Chanock SJ, et al. The Childhood Cancer Data Initiative: Using the Power of Data to Learn From and Improve Outcomes for Every Child and Young Adult With Pediatric Cancer. J Clin Oncol. 2023 Aug 20;41(24):4045-4053. doi: 10.1200/JCO.22.02208. PMID: 37267580.</w:t>
      </w:r>
    </w:p>
  </w:footnote>
  <w:footnote w:id="98">
    <w:p>
      <w:pPr>
        <w:pStyle w:val="FootnoteText"/>
      </w:pPr>
      <w:r>
        <w:rPr>
          <w:rStyle w:val="FootnoteReference"/>
        </w:rPr>
        <w:footnoteRef/>
      </w:r>
      <w:r>
        <w:t xml:space="preserve"> </w:t>
      </w:r>
      <w:r>
        <w:t xml:space="preserve">Wilson WH, Wright GW, Huang DW, Hodkinson B, Balasubramanian S, Fan Y, et al. Effect of ibrutinib with R-CHOP chemotherapy in genetic subtypes of DLBCL. Cancer Cell. 2021 Dec 13;39(12):1643-1653.e3. doi: 10.1016/j.ccell.2021.10.006. PMID: 34739844.</w:t>
      </w:r>
    </w:p>
  </w:footnote>
  <w:footnote w:id="99">
    <w:p>
      <w:pPr>
        <w:pStyle w:val="FootnoteText"/>
      </w:pPr>
      <w:r>
        <w:rPr>
          <w:rStyle w:val="FootnoteReference"/>
        </w:rPr>
        <w:footnoteRef/>
      </w:r>
      <w:r>
        <w:t xml:space="preserve"> </w:t>
      </w:r>
      <w:r>
        <w:t xml:space="preserve">Wilson WH, Wright GW, Huang DW, Hodkinson B, Balasubramanian S, Fan Y, et al. Effect of ibrutinib with R-CHOP chemotherapy in genetic subtypes of DLBCL. Cancer Cell. 2021 Dec 13;39(12):1643-1653.e3. doi: 10.1016/j.ccell.2021.10.006. PMID: 34739844.</w:t>
      </w:r>
    </w:p>
  </w:footnote>
  <w:footnote w:id="100">
    <w:p>
      <w:pPr>
        <w:pStyle w:val="FootnoteText"/>
      </w:pPr>
      <w:r>
        <w:rPr>
          <w:rStyle w:val="FootnoteReference"/>
        </w:rPr>
        <w:footnoteRef/>
      </w:r>
      <w:r>
        <w:t xml:space="preserve"> </w:t>
      </w:r>
      <w:r>
        <w:t xml:space="preserve">Wilson WH, Wright GW, Huang DW, Hodkinson B, Balasubramanian S, Fan Y, et al. Effect of ibrutinib with R-CHOP chemotherapy in genetic subtypes of DLBCL. Cancer Cell. 2021 Dec 13;39(12):1643-1653.e3. doi: 10.1016/j.ccell.2021.10.006. PMID: 34739844.</w:t>
      </w:r>
    </w:p>
  </w:footnote>
  <w:footnote w:id="101">
    <w:p>
      <w:pPr>
        <w:pStyle w:val="FootnoteText"/>
      </w:pPr>
      <w:r>
        <w:rPr>
          <w:rStyle w:val="FootnoteReference"/>
        </w:rPr>
        <w:footnoteRef/>
      </w:r>
      <w:r>
        <w:t xml:space="preserve"> </w:t>
      </w:r>
      <w:r>
        <w:t xml:space="preserve">Wilson WH, Wright GW, Huang DW, Hodkinson B, Balasubramanian S, Fan Y, et al. Effect of ibrutinib with R-CHOP chemotherapy in genetic subtypes of DLBCL. Cancer Cell. 2021 Dec 13;39(12):1643-1653.e3. doi: 10.1016/j.ccell.2021.10.006. PMID: 34739844.</w:t>
      </w:r>
    </w:p>
  </w:footnote>
  <w:footnote w:id="102">
    <w:p>
      <w:pPr>
        <w:pStyle w:val="FootnoteText"/>
      </w:pPr>
      <w:r>
        <w:rPr>
          <w:rStyle w:val="FootnoteReference"/>
        </w:rPr>
        <w:footnoteRef/>
      </w:r>
      <w:r>
        <w:t xml:space="preserve"> </w:t>
      </w:r>
      <w:r>
        <w:t xml:space="preserve">Achar SR, Bourassa FXP, Rademaker TJ, Lee A, Kondo T, Salazar-Cavazos E, et al. Universal antigen encoding of T cell activation from high-dimensional cytokine dynamics. Science. 2022 May 20;376(6595):880-884. doi: 10.1126/science.abl5311. PMID: 35587980.</w:t>
      </w:r>
    </w:p>
  </w:footnote>
  <w:footnote w:id="103">
    <w:p>
      <w:pPr>
        <w:pStyle w:val="FootnoteText"/>
      </w:pPr>
      <w:r>
        <w:rPr>
          <w:rStyle w:val="FootnoteReference"/>
        </w:rPr>
        <w:footnoteRef/>
      </w:r>
      <w:r>
        <w:t xml:space="preserve"> </w:t>
      </w:r>
      <w:r>
        <w:t xml:space="preserve">Achar SR, Bourassa FXP, Rademaker TJ, Lee A, Kondo T, Salazar-Cavazos E, et al. Universal antigen encoding of T cell activation from high-dimensional cytokine dynamics. Science. 2022 May 20;376(6595):880-884. doi: 10.1126/science.abl5311. PMID: 35587980.</w:t>
      </w:r>
    </w:p>
  </w:footnote>
  <w:footnote w:id="104">
    <w:p>
      <w:pPr>
        <w:pStyle w:val="FootnoteText"/>
      </w:pPr>
      <w:r>
        <w:rPr>
          <w:rStyle w:val="FootnoteReference"/>
        </w:rPr>
        <w:footnoteRef/>
      </w:r>
      <w:r>
        <w:t xml:space="preserve"> </w:t>
      </w:r>
      <w:r>
        <w:t xml:space="preserve">Achar SR, Bourassa FXP, Rademaker TJ, Lee A, Kondo T, Salazar-Cavazos E, et al. Universal antigen encoding of T cell activation from high-dimensional cytokine dynamics. Science. 2022 May 20;376(6595):880-884. doi: 10.1126/science.abl5311. PMID: 35587980.</w:t>
      </w:r>
    </w:p>
  </w:footnote>
  <w:footnote w:id="105">
    <w:p>
      <w:pPr>
        <w:pStyle w:val="FootnoteText"/>
      </w:pPr>
      <w:r>
        <w:rPr>
          <w:rStyle w:val="FootnoteReference"/>
        </w:rPr>
        <w:footnoteRef/>
      </w:r>
      <w:r>
        <w:t xml:space="preserve"> </w:t>
      </w:r>
      <w:r>
        <w:t xml:space="preserve">Achar SR, Bourassa FXP, Rademaker TJ, Lee A, Kondo T, Salazar-Cavazos E, et al. Universal antigen encoding of T cell activation from high-dimensional cytokine dynamics. Science. 2022 May 20;376(6595):880-884. doi: 10.1126/science.abl5311. PMID: 35587980.</w:t>
      </w:r>
    </w:p>
  </w:footnote>
  <w:footnote w:id="106">
    <w:p>
      <w:pPr>
        <w:pStyle w:val="FootnoteText"/>
      </w:pPr>
      <w:r>
        <w:rPr>
          <w:rStyle w:val="FootnoteReference"/>
        </w:rPr>
        <w:footnoteRef/>
      </w:r>
      <w:r>
        <w:t xml:space="preserve"> </w:t>
      </w:r>
      <w:hyperlink r:id="rId107">
        <w:r>
          <w:rPr>
            <w:rStyle w:val="Hyperlink"/>
          </w:rPr>
          <w:t xml:space="preserve">https://onlinelibrary.wiley.com/doi/10.1002/em.22534</w:t>
        </w:r>
      </w:hyperlink>
    </w:p>
  </w:footnote>
  <w:footnote w:id="108">
    <w:p>
      <w:pPr>
        <w:pStyle w:val="FootnoteText"/>
      </w:pPr>
      <w:r>
        <w:rPr>
          <w:rStyle w:val="FootnoteReference"/>
        </w:rPr>
        <w:footnoteRef/>
      </w:r>
      <w:r>
        <w:t xml:space="preserve"> </w:t>
      </w:r>
      <w:hyperlink r:id="rId107">
        <w:r>
          <w:rPr>
            <w:rStyle w:val="Hyperlink"/>
          </w:rPr>
          <w:t xml:space="preserve">https://onlinelibrary.wiley.com/doi/10.1002/em.22534</w:t>
        </w:r>
      </w:hyperlink>
    </w:p>
  </w:footnote>
  <w:footnote w:id="109">
    <w:p>
      <w:pPr>
        <w:pStyle w:val="FootnoteText"/>
      </w:pPr>
      <w:r>
        <w:rPr>
          <w:rStyle w:val="FootnoteReference"/>
        </w:rPr>
        <w:footnoteRef/>
      </w:r>
      <w:r>
        <w:t xml:space="preserve"> </w:t>
      </w:r>
      <w:hyperlink r:id="rId107">
        <w:r>
          <w:rPr>
            <w:rStyle w:val="Hyperlink"/>
          </w:rPr>
          <w:t xml:space="preserve">https://onlinelibrary.wiley.com/doi/10.1002/em.22534</w:t>
        </w:r>
      </w:hyperlink>
    </w:p>
  </w:footnote>
  <w:footnote w:id="110">
    <w:p>
      <w:pPr>
        <w:pStyle w:val="FootnoteText"/>
      </w:pPr>
      <w:r>
        <w:rPr>
          <w:rStyle w:val="FootnoteReference"/>
        </w:rPr>
        <w:footnoteRef/>
      </w:r>
      <w:r>
        <w:t xml:space="preserve"> </w:t>
      </w:r>
      <w:hyperlink r:id="rId107">
        <w:r>
          <w:rPr>
            <w:rStyle w:val="Hyperlink"/>
          </w:rPr>
          <w:t xml:space="preserve">https://onlinelibrary.wiley.com/doi/10.1002/em.22534</w:t>
        </w:r>
      </w:hyperlink>
    </w:p>
  </w:footnote>
  <w:footnote w:id="111">
    <w:p>
      <w:pPr>
        <w:pStyle w:val="FootnoteText"/>
      </w:pPr>
      <w:r>
        <w:rPr>
          <w:rStyle w:val="FootnoteReference"/>
        </w:rPr>
        <w:footnoteRef/>
      </w:r>
      <w:r>
        <w:t xml:space="preserve"> </w:t>
      </w:r>
      <w:r>
        <w:t xml:space="preserve">Huang Z, Sun S, Lee M, Maslov AY, Shi M, Waldman S, et al. Single-cell analysis of somatic mutations in human bronchial epithelial cells in relation to aging and smoking. Nat Genet. 2022 Apr 11;54(4):492-498. doi: 10.1038/s41588-022-01035-w. PMID: 35410377.</w:t>
      </w:r>
    </w:p>
  </w:footnote>
  <w:footnote w:id="112">
    <w:p>
      <w:pPr>
        <w:pStyle w:val="FootnoteText"/>
      </w:pPr>
      <w:r>
        <w:rPr>
          <w:rStyle w:val="FootnoteReference"/>
        </w:rPr>
        <w:footnoteRef/>
      </w:r>
      <w:r>
        <w:t xml:space="preserve"> </w:t>
      </w:r>
      <w:r>
        <w:t xml:space="preserve">Huang Z, Sun S, Lee M, Maslov AY, Shi M, Waldman S, et al. Single-cell analysis of somatic mutations in human bronchial epithelial cells in relation to aging and smoking. Nat Genet. 2022 Apr 11;54(4):492-498. doi: 10.1038/s41588-022-01035-w. PMID: 35410377.</w:t>
      </w:r>
    </w:p>
  </w:footnote>
  <w:footnote w:id="113">
    <w:p>
      <w:pPr>
        <w:pStyle w:val="FootnoteText"/>
      </w:pPr>
      <w:r>
        <w:rPr>
          <w:rStyle w:val="FootnoteReference"/>
        </w:rPr>
        <w:footnoteRef/>
      </w:r>
      <w:r>
        <w:t xml:space="preserve"> </w:t>
      </w:r>
      <w:r>
        <w:t xml:space="preserve">Huang Z, Sun S, Lee M, Maslov AY, Shi M, Waldman S, et al. Single-cell analysis of somatic mutations in human bronchial epithelial cells in relation to aging and smoking. Nat Genet. 2022 Apr 11;54(4):492-498. doi: 10.1038/s41588-022-01035-w. PMID: 35410377.</w:t>
      </w:r>
    </w:p>
  </w:footnote>
  <w:footnote w:id="114">
    <w:p>
      <w:pPr>
        <w:pStyle w:val="FootnoteText"/>
      </w:pPr>
      <w:r>
        <w:rPr>
          <w:rStyle w:val="FootnoteReference"/>
        </w:rPr>
        <w:footnoteRef/>
      </w:r>
      <w:r>
        <w:t xml:space="preserve"> </w:t>
      </w:r>
      <w:r>
        <w:t xml:space="preserve">Nguyen LTH, Zhang J, Rima XY, Wang X, Kwak KJ, Okimoto T, et al. An immunogold single extracellular vesicular RNA and protein (. J Extracell Vesicles. 2022 Sep;11(9):e12258. doi: 10.1002/jev2.12258. PMID: 36093740.</w:t>
      </w:r>
    </w:p>
  </w:footnote>
  <w:footnote w:id="115">
    <w:p>
      <w:pPr>
        <w:pStyle w:val="FootnoteText"/>
      </w:pPr>
      <w:r>
        <w:rPr>
          <w:rStyle w:val="FootnoteReference"/>
        </w:rPr>
        <w:footnoteRef/>
      </w:r>
      <w:r>
        <w:t xml:space="preserve"> </w:t>
      </w:r>
      <w:r>
        <w:t xml:space="preserve">Nguyen LTH, Zhang J, Rima XY, Wang X, Kwak KJ, Okimoto T, et al. An immunogold single extracellular vesicular RNA and protein (. J Extracell Vesicles. 2022 Sep;11(9):e12258. doi: 10.1002/jev2.12258. PMID: 36093740.</w:t>
      </w:r>
    </w:p>
  </w:footnote>
  <w:footnote w:id="116">
    <w:p>
      <w:pPr>
        <w:pStyle w:val="FootnoteText"/>
      </w:pPr>
      <w:r>
        <w:rPr>
          <w:rStyle w:val="FootnoteReference"/>
        </w:rPr>
        <w:footnoteRef/>
      </w:r>
      <w:r>
        <w:t xml:space="preserve"> </w:t>
      </w:r>
      <w:r>
        <w:t xml:space="preserve">Nguyen LTH, Zhang J, Rima XY, Wang X, Kwak KJ, Okimoto T, et al. An immunogold single extracellular vesicular RNA and protein (. J Extracell Vesicles. 2022 Sep;11(9):e12258. doi: 10.1002/jev2.12258. PMID: 36093740.</w:t>
      </w:r>
    </w:p>
  </w:footnote>
  <w:footnote w:id="117">
    <w:p>
      <w:pPr>
        <w:pStyle w:val="FootnoteText"/>
      </w:pPr>
      <w:r>
        <w:rPr>
          <w:rStyle w:val="FootnoteReference"/>
        </w:rPr>
        <w:footnoteRef/>
      </w:r>
      <w:r>
        <w:t xml:space="preserve"> </w:t>
      </w:r>
      <w:hyperlink r:id="rId118">
        <w:r>
          <w:rPr>
            <w:rStyle w:val="Hyperlink"/>
          </w:rPr>
          <w:t xml:space="preserve">https://dpcpsi.nih.gov/thro/tribal-consultations/national-institute-minority-health-and-health-disparities-nimhd-initiative-improving-american</w:t>
        </w:r>
      </w:hyperlink>
    </w:p>
  </w:footnote>
  <w:footnote w:id="119">
    <w:p>
      <w:pPr>
        <w:pStyle w:val="FootnoteText"/>
      </w:pPr>
      <w:r>
        <w:rPr>
          <w:rStyle w:val="FootnoteReference"/>
        </w:rPr>
        <w:footnoteRef/>
      </w:r>
      <w:r>
        <w:t xml:space="preserve"> </w:t>
      </w:r>
      <w:hyperlink r:id="rId118">
        <w:r>
          <w:rPr>
            <w:rStyle w:val="Hyperlink"/>
          </w:rPr>
          <w:t xml:space="preserve">https://dpcpsi.nih.gov/thro/tribal-consultations/national-institute-minority-health-and-health-disparities-nimhd-initiative-improving-american</w:t>
        </w:r>
      </w:hyperlink>
    </w:p>
  </w:footnote>
  <w:footnote w:id="120">
    <w:p>
      <w:pPr>
        <w:pStyle w:val="FootnoteText"/>
      </w:pPr>
      <w:r>
        <w:rPr>
          <w:rStyle w:val="FootnoteReference"/>
        </w:rPr>
        <w:footnoteRef/>
      </w:r>
      <w:r>
        <w:t xml:space="preserve"> </w:t>
      </w:r>
      <w:hyperlink r:id="rId118">
        <w:r>
          <w:rPr>
            <w:rStyle w:val="Hyperlink"/>
          </w:rPr>
          <w:t xml:space="preserve">https://dpcpsi.nih.gov/thro/tribal-consultations/national-institute-minority-health-and-health-disparities-nimhd-initiative-improving-american</w:t>
        </w:r>
      </w:hyperlink>
    </w:p>
  </w:footnote>
  <w:footnote w:id="121">
    <w:p>
      <w:pPr>
        <w:pStyle w:val="FootnoteText"/>
      </w:pPr>
      <w:r>
        <w:rPr>
          <w:rStyle w:val="FootnoteReference"/>
        </w:rPr>
        <w:footnoteRef/>
      </w:r>
      <w:r>
        <w:t xml:space="preserve"> </w:t>
      </w:r>
      <w:hyperlink r:id="rId118">
        <w:r>
          <w:rPr>
            <w:rStyle w:val="Hyperlink"/>
          </w:rPr>
          <w:t xml:space="preserve">https://dpcpsi.nih.gov/thro/tribal-consultations/national-institute-minority-health-and-health-disparities-nimhd-initiative-improving-american</w:t>
        </w:r>
      </w:hyperlink>
    </w:p>
  </w:footnote>
  <w:footnote w:id="122">
    <w:p>
      <w:pPr>
        <w:pStyle w:val="FootnoteText"/>
      </w:pPr>
      <w:r>
        <w:rPr>
          <w:rStyle w:val="FootnoteReference"/>
        </w:rPr>
        <w:footnoteRef/>
      </w:r>
      <w:r>
        <w:t xml:space="preserve"> </w:t>
      </w:r>
      <w:hyperlink r:id="rId118">
        <w:r>
          <w:rPr>
            <w:rStyle w:val="Hyperlink"/>
          </w:rPr>
          <w:t xml:space="preserve">https://dpcpsi.nih.gov/thro/tribal-consultations/national-institute-minority-health-and-health-disparities-nimhd-initiative-improving-american</w:t>
        </w:r>
      </w:hyperlink>
    </w:p>
  </w:footnote>
  <w:footnote w:id="123">
    <w:p>
      <w:pPr>
        <w:pStyle w:val="FootnoteText"/>
      </w:pPr>
      <w:r>
        <w:rPr>
          <w:rStyle w:val="FootnoteReference"/>
        </w:rPr>
        <w:footnoteRef/>
      </w:r>
      <w:r>
        <w:t xml:space="preserve"> </w:t>
      </w:r>
      <w:hyperlink r:id="rId124">
        <w:r>
          <w:rPr>
            <w:rStyle w:val="Hyperlink"/>
          </w:rPr>
          <w:t xml:space="preserve">https://grants.nih.gov/grants/guide/notice-files/NOT-MD-24-015.html</w:t>
        </w:r>
      </w:hyperlink>
    </w:p>
  </w:footnote>
  <w:footnote w:id="125">
    <w:p>
      <w:pPr>
        <w:pStyle w:val="FootnoteText"/>
      </w:pPr>
      <w:r>
        <w:rPr>
          <w:rStyle w:val="FootnoteReference"/>
        </w:rPr>
        <w:footnoteRef/>
      </w:r>
      <w:r>
        <w:t xml:space="preserve"> </w:t>
      </w:r>
      <w:hyperlink r:id="rId124">
        <w:r>
          <w:rPr>
            <w:rStyle w:val="Hyperlink"/>
          </w:rPr>
          <w:t xml:space="preserve">https://grants.nih.gov/grants/guide/notice-files/NOT-MD-24-015.html</w:t>
        </w:r>
      </w:hyperlink>
    </w:p>
  </w:footnote>
  <w:footnote w:id="126">
    <w:p>
      <w:pPr>
        <w:pStyle w:val="FootnoteText"/>
      </w:pPr>
      <w:r>
        <w:rPr>
          <w:rStyle w:val="FootnoteReference"/>
        </w:rPr>
        <w:footnoteRef/>
      </w:r>
      <w:r>
        <w:t xml:space="preserve"> </w:t>
      </w:r>
      <w:hyperlink r:id="rId124">
        <w:r>
          <w:rPr>
            <w:rStyle w:val="Hyperlink"/>
          </w:rPr>
          <w:t xml:space="preserve">https://grants.nih.gov/grants/guide/notice-files/NOT-MD-24-015.html</w:t>
        </w:r>
      </w:hyperlink>
    </w:p>
  </w:footnote>
  <w:footnote w:id="127">
    <w:p>
      <w:pPr>
        <w:pStyle w:val="FootnoteText"/>
      </w:pPr>
      <w:r>
        <w:rPr>
          <w:rStyle w:val="FootnoteReference"/>
        </w:rPr>
        <w:footnoteRef/>
      </w:r>
      <w:r>
        <w:t xml:space="preserve"> </w:t>
      </w:r>
      <w:r>
        <w:t xml:space="preserve">PMID: 37169842.</w:t>
      </w:r>
      <w:r>
        <w:t xml:space="preserve"> </w:t>
      </w:r>
      <w:hyperlink r:id="rId128">
        <w:r>
          <w:rPr>
            <w:rStyle w:val="Hyperlink"/>
          </w:rPr>
          <w:t xml:space="preserve">https://pubmed.ncbi.nlm.nih.gov/37169842</w:t>
        </w:r>
      </w:hyperlink>
    </w:p>
  </w:footnote>
  <w:footnote w:id="129">
    <w:p>
      <w:pPr>
        <w:pStyle w:val="FootnoteText"/>
      </w:pPr>
      <w:r>
        <w:rPr>
          <w:rStyle w:val="FootnoteReference"/>
        </w:rPr>
        <w:footnoteRef/>
      </w:r>
      <w:r>
        <w:t xml:space="preserve"> </w:t>
      </w:r>
      <w:r>
        <w:t xml:space="preserve">PMID: 37169842.</w:t>
      </w:r>
      <w:r>
        <w:t xml:space="preserve"> </w:t>
      </w:r>
      <w:hyperlink r:id="rId128">
        <w:r>
          <w:rPr>
            <w:rStyle w:val="Hyperlink"/>
          </w:rPr>
          <w:t xml:space="preserve">https://pubmed.ncbi.nlm.nih.gov/37169842</w:t>
        </w:r>
      </w:hyperlink>
    </w:p>
  </w:footnote>
  <w:footnote w:id="130">
    <w:p>
      <w:pPr>
        <w:pStyle w:val="FootnoteText"/>
      </w:pPr>
      <w:r>
        <w:rPr>
          <w:rStyle w:val="FootnoteReference"/>
        </w:rPr>
        <w:footnoteRef/>
      </w:r>
      <w:r>
        <w:t xml:space="preserve"> </w:t>
      </w:r>
      <w:hyperlink r:id="rId131">
        <w:r>
          <w:rPr>
            <w:rStyle w:val="Hyperlink"/>
          </w:rPr>
          <w:t xml:space="preserve">https://www.midrc.org</w:t>
        </w:r>
      </w:hyperlink>
    </w:p>
  </w:footnote>
  <w:footnote w:id="132">
    <w:p>
      <w:pPr>
        <w:pStyle w:val="FootnoteText"/>
      </w:pPr>
      <w:r>
        <w:rPr>
          <w:rStyle w:val="FootnoteReference"/>
        </w:rPr>
        <w:footnoteRef/>
      </w:r>
      <w:r>
        <w:t xml:space="preserve"> </w:t>
      </w:r>
      <w:hyperlink r:id="rId131">
        <w:r>
          <w:rPr>
            <w:rStyle w:val="Hyperlink"/>
          </w:rPr>
          <w:t xml:space="preserve">https://www.midrc.org</w:t>
        </w:r>
      </w:hyperlink>
    </w:p>
  </w:footnote>
  <w:footnote w:id="134">
    <w:p>
      <w:pPr>
        <w:pStyle w:val="FootnoteText"/>
      </w:pPr>
      <w:r>
        <w:rPr>
          <w:rStyle w:val="FootnoteReference"/>
        </w:rPr>
        <w:footnoteRef/>
      </w:r>
      <w:r>
        <w:t xml:space="preserve"> </w:t>
      </w:r>
      <w:r>
        <w:t xml:space="preserve">Melani C, Lakhotia R, Pittaluga S, Phelan JD, Huang DW, Wright G, et al. Combination Targeted Therapy in Relapsed Diffuse Large B-Cell Lymphoma. N Engl J Med. 2024 Jun 20;390(23):2143-2155. doi: 10.1056/NEJMoa2401532. PMID: 38899693.</w:t>
      </w:r>
    </w:p>
  </w:footnote>
  <w:footnote w:id="135">
    <w:p>
      <w:pPr>
        <w:pStyle w:val="FootnoteText"/>
      </w:pPr>
      <w:r>
        <w:rPr>
          <w:rStyle w:val="FootnoteReference"/>
        </w:rPr>
        <w:footnoteRef/>
      </w:r>
      <w:r>
        <w:t xml:space="preserve"> </w:t>
      </w:r>
      <w:r>
        <w:t xml:space="preserve">Melani C, Lakhotia R, Pittaluga S, Phelan JD, Huang DW, Wright G, et al. Combination Targeted Therapy in Relapsed Diffuse Large B-Cell Lymphoma. N Engl J Med. 2024 Jun 20;390(23):2143-2155. doi: 10.1056/NEJMoa2401532. PMID: 38899693.</w:t>
      </w:r>
    </w:p>
  </w:footnote>
  <w:footnote w:id="136">
    <w:p>
      <w:pPr>
        <w:pStyle w:val="FootnoteText"/>
      </w:pPr>
      <w:r>
        <w:rPr>
          <w:rStyle w:val="FootnoteReference"/>
        </w:rPr>
        <w:footnoteRef/>
      </w:r>
      <w:r>
        <w:t xml:space="preserve"> </w:t>
      </w:r>
      <w:r>
        <w:t xml:space="preserve">Melani C, Lakhotia R, Pittaluga S, Phelan JD, Huang DW, Wright G, et al. Combination Targeted Therapy in Relapsed Diffuse Large B-Cell Lymphoma. N Engl J Med. 2024 Jun 20;390(23):2143-2155. doi: 10.1056/NEJMoa2401532. PMID: 38899693.</w:t>
      </w:r>
    </w:p>
  </w:footnote>
  <w:footnote w:id="137">
    <w:p>
      <w:pPr>
        <w:pStyle w:val="FootnoteText"/>
      </w:pPr>
      <w:r>
        <w:rPr>
          <w:rStyle w:val="FootnoteReference"/>
        </w:rPr>
        <w:footnoteRef/>
      </w:r>
      <w:r>
        <w:t xml:space="preserve"> </w:t>
      </w:r>
      <w:hyperlink r:id="rId138">
        <w:r>
          <w:rPr>
            <w:rStyle w:val="Hyperlink"/>
          </w:rPr>
          <w:t xml:space="preserve">https://clinicaltrials.gov/study/NCT06625775</w:t>
        </w:r>
      </w:hyperlink>
    </w:p>
  </w:footnote>
  <w:footnote w:id="139">
    <w:p>
      <w:pPr>
        <w:pStyle w:val="FootnoteText"/>
      </w:pPr>
      <w:r>
        <w:rPr>
          <w:rStyle w:val="FootnoteReference"/>
        </w:rPr>
        <w:footnoteRef/>
      </w:r>
      <w:r>
        <w:t xml:space="preserve"> </w:t>
      </w:r>
      <w:hyperlink r:id="rId138">
        <w:r>
          <w:rPr>
            <w:rStyle w:val="Hyperlink"/>
          </w:rPr>
          <w:t xml:space="preserve">https://clinicaltrials.gov/study/NCT06625775</w:t>
        </w:r>
      </w:hyperlink>
    </w:p>
  </w:footnote>
  <w:footnote w:id="140">
    <w:p>
      <w:pPr>
        <w:pStyle w:val="FootnoteText"/>
      </w:pPr>
      <w:r>
        <w:rPr>
          <w:rStyle w:val="FootnoteReference"/>
        </w:rPr>
        <w:footnoteRef/>
      </w:r>
      <w:r>
        <w:t xml:space="preserve"> </w:t>
      </w:r>
      <w:r>
        <w:t xml:space="preserve">Tutt ANJ, Garber JE, Kaufman B, Viale G, Fumagalli D, Rastogi P, et al. Adjuvant Olaparib for Patients with. N Engl J Med. 2021 Jun 24;384(25):2394-2405. doi: 10.1056/NEJMoa2105215. PMID: 34081848.</w:t>
      </w:r>
    </w:p>
  </w:footnote>
  <w:footnote w:id="141">
    <w:p>
      <w:pPr>
        <w:pStyle w:val="FootnoteText"/>
      </w:pPr>
      <w:r>
        <w:rPr>
          <w:rStyle w:val="FootnoteReference"/>
        </w:rPr>
        <w:footnoteRef/>
      </w:r>
      <w:r>
        <w:t xml:space="preserve"> </w:t>
      </w:r>
      <w:r>
        <w:t xml:space="preserve">Tutt ANJ, Garber JE, Kaufman B, Viale G, Fumagalli D, Rastogi P, et al. Adjuvant Olaparib for Patients with. N Engl J Med. 2021 Jun 24;384(25):2394-2405. doi: 10.1056/NEJMoa2105215. PMID: 34081848.</w:t>
      </w:r>
    </w:p>
  </w:footnote>
  <w:footnote w:id="142">
    <w:p>
      <w:pPr>
        <w:pStyle w:val="FootnoteText"/>
      </w:pPr>
      <w:r>
        <w:rPr>
          <w:rStyle w:val="FootnoteReference"/>
        </w:rPr>
        <w:footnoteRef/>
      </w:r>
      <w:r>
        <w:t xml:space="preserve"> </w:t>
      </w:r>
      <w:r>
        <w:t xml:space="preserve">Tutt ANJ, Garber JE, Kaufman B, Viale G, Fumagalli D, Rastogi P, et al. Adjuvant Olaparib for Patients with. N Engl J Med. 2021 Jun 24;384(25):2394-2405. doi: 10.1056/NEJMoa2105215. PMID: 34081848.</w:t>
      </w:r>
    </w:p>
  </w:footnote>
  <w:footnote w:id="143">
    <w:p>
      <w:pPr>
        <w:pStyle w:val="FootnoteText"/>
      </w:pPr>
      <w:r>
        <w:rPr>
          <w:rStyle w:val="FootnoteReference"/>
        </w:rPr>
        <w:footnoteRef/>
      </w:r>
      <w:r>
        <w:t xml:space="preserve"> </w:t>
      </w:r>
      <w:r>
        <w:t xml:space="preserve">Tutt ANJ, Garber JE, Kaufman B, Viale G, Fumagalli D, Rastogi P, et al. Adjuvant Olaparib for Patients with. N Engl J Med. 2021 Jun 24;384(25):2394-2405. doi: 10.1056/NEJMoa2105215. PMID: 34081848.</w:t>
      </w:r>
    </w:p>
  </w:footnote>
  <w:footnote w:id="145">
    <w:p>
      <w:pPr>
        <w:pStyle w:val="FootnoteText"/>
      </w:pPr>
      <w:r>
        <w:rPr>
          <w:rStyle w:val="FootnoteReference"/>
        </w:rPr>
        <w:footnoteRef/>
      </w:r>
      <w:r>
        <w:t xml:space="preserve"> </w:t>
      </w:r>
      <w:r>
        <w:t xml:space="preserve">Hudson A, Fournier M, Coulombe J, Daee D. Using existing pediatric cancer data from the Gabriella Miller Kids First Data Resource Program. JNCI Cancer Spectr. 2023 Oct 31;7(6). doi: 10.1093/jncics/pkad079. PMID: 37788089.</w:t>
      </w:r>
    </w:p>
  </w:footnote>
  <w:footnote w:id="146">
    <w:p>
      <w:pPr>
        <w:pStyle w:val="FootnoteText"/>
      </w:pPr>
      <w:r>
        <w:rPr>
          <w:rStyle w:val="FootnoteReference"/>
        </w:rPr>
        <w:footnoteRef/>
      </w:r>
      <w:r>
        <w:t xml:space="preserve"> </w:t>
      </w:r>
      <w:r>
        <w:t xml:space="preserve">Hudson A, Fournier M, Coulombe J, Daee D. Using existing pediatric cancer data from the Gabriella Miller Kids First Data Resource Program. JNCI Cancer Spectr. 2023 Oct 31;7(6). doi: 10.1093/jncics/pkad079. PMID: 37788089.</w:t>
      </w:r>
    </w:p>
  </w:footnote>
  <w:footnote w:id="147">
    <w:p>
      <w:pPr>
        <w:pStyle w:val="FootnoteText"/>
      </w:pPr>
      <w:r>
        <w:rPr>
          <w:rStyle w:val="FootnoteReference"/>
        </w:rPr>
        <w:footnoteRef/>
      </w:r>
      <w:r>
        <w:t xml:space="preserve"> </w:t>
      </w:r>
      <w:r>
        <w:t xml:space="preserve">Hudson A, Fournier M, Coulombe J, Daee D. Using existing pediatric cancer data from the Gabriella Miller Kids First Data Resource Program. JNCI Cancer Spectr. 2023 Oct 31;7(6). doi: 10.1093/jncics/pkad079. PMID: 37788089.</w:t>
      </w:r>
    </w:p>
  </w:footnote>
  <w:footnote w:id="149">
    <w:p>
      <w:pPr>
        <w:pStyle w:val="FootnoteText"/>
      </w:pPr>
      <w:r>
        <w:rPr>
          <w:rStyle w:val="FootnoteReference"/>
        </w:rPr>
        <w:footnoteRef/>
      </w:r>
      <w:r>
        <w:t xml:space="preserve"> </w:t>
      </w:r>
      <w:r>
        <w:t xml:space="preserve">Chandran EBA, Iannantuono GM, Atiq SO, Akbulut D, Sinaii N, Simon NI, et al. Mismatch repair deficiency and microsatellite instability in urothelial carcinoma: a systematic review and meta-analysis. BMJ Oncol. 2024 Jan 30;3(1). doi: 10.1136/bmjonc-2024-000335. PMID: 39086924.</w:t>
      </w:r>
    </w:p>
  </w:footnote>
  <w:footnote w:id="150">
    <w:p>
      <w:pPr>
        <w:pStyle w:val="FootnoteText"/>
      </w:pPr>
      <w:r>
        <w:rPr>
          <w:rStyle w:val="FootnoteReference"/>
        </w:rPr>
        <w:footnoteRef/>
      </w:r>
      <w:r>
        <w:t xml:space="preserve"> </w:t>
      </w:r>
      <w:r>
        <w:t xml:space="preserve">Chandran EBA, Iannantuono GM, Atiq SO, Akbulut D, Sinaii N, Simon NI, et al. Mismatch repair deficiency and microsatellite instability in urothelial carcinoma: a systematic review and meta-analysis. BMJ Oncol. 2024 Jan 30;3(1). doi: 10.1136/bmjonc-2024-000335. PMID: 39086924.</w:t>
      </w:r>
    </w:p>
  </w:footnote>
  <w:footnote w:id="151">
    <w:p>
      <w:pPr>
        <w:pStyle w:val="FootnoteText"/>
      </w:pPr>
      <w:r>
        <w:rPr>
          <w:rStyle w:val="FootnoteReference"/>
        </w:rPr>
        <w:footnoteRef/>
      </w:r>
      <w:r>
        <w:t xml:space="preserve"> </w:t>
      </w:r>
      <w:r>
        <w:t xml:space="preserve">Chandran EBA, Iannantuono GM, Atiq SO, Akbulut D, Sinaii N, Simon NI, et al. Mismatch repair deficiency and microsatellite instability in urothelial carcinoma: a systematic review and meta-analysis. BMJ Oncol. 2024 Jan 30;3(1). doi: 10.1136/bmjonc-2024-000335. PMID: 39086924.</w:t>
      </w:r>
    </w:p>
  </w:footnote>
  <w:footnote w:id="152">
    <w:p>
      <w:pPr>
        <w:pStyle w:val="FootnoteText"/>
      </w:pPr>
      <w:r>
        <w:rPr>
          <w:rStyle w:val="FootnoteReference"/>
        </w:rPr>
        <w:footnoteRef/>
      </w:r>
      <w:r>
        <w:t xml:space="preserve"> </w:t>
      </w:r>
      <w:r>
        <w:t xml:space="preserve">Chandran EBA, Iannantuono GM, Atiq SO, Akbulut D, Sinaii N, Simon NI, et al. Mismatch repair deficiency and microsatellite instability in urothelial carcinoma: a systematic review and meta-analysis. BMJ Oncol. 2024 Jan 30;3(1). doi: 10.1136/bmjonc-2024-000335. PMID: 39086924.</w:t>
      </w:r>
    </w:p>
  </w:footnote>
  <w:footnote w:id="153">
    <w:p>
      <w:pPr>
        <w:pStyle w:val="FootnoteText"/>
      </w:pPr>
      <w:r>
        <w:rPr>
          <w:rStyle w:val="FootnoteReference"/>
        </w:rPr>
        <w:footnoteRef/>
      </w:r>
      <w:r>
        <w:t xml:space="preserve"> </w:t>
      </w:r>
      <w:r>
        <w:t xml:space="preserve">Hendrix EL, Chollette VY, Wentzensen N, Loukissas JK, McGee-Avila JK, Tookmanian E, et al. Federal Cervical Cancer Collaborative: Improving cervical cancer prevention through vaccination, screening, and management in safety-net settings of care. Cancer. 2025 Jan 01;131(1):e35655. doi: 10.1002/cncr.35655. PMID: 39660744.</w:t>
      </w:r>
    </w:p>
  </w:footnote>
  <w:footnote w:id="154">
    <w:p>
      <w:pPr>
        <w:pStyle w:val="FootnoteText"/>
      </w:pPr>
      <w:r>
        <w:rPr>
          <w:rStyle w:val="FootnoteReference"/>
        </w:rPr>
        <w:footnoteRef/>
      </w:r>
      <w:r>
        <w:t xml:space="preserve"> </w:t>
      </w:r>
      <w:r>
        <w:t xml:space="preserve">Hendrix EL, Chollette VY, Wentzensen N, Loukissas JK, McGee-Avila JK, Tookmanian E, et al. Federal Cervical Cancer Collaborative: Improving cervical cancer prevention through vaccination, screening, and management in safety-net settings of care. Cancer. 2025 Jan 01;131(1):e35655. doi: 10.1002/cncr.35655. PMID: 39660744.</w:t>
      </w:r>
    </w:p>
  </w:footnote>
  <w:footnote w:id="155">
    <w:p>
      <w:pPr>
        <w:pStyle w:val="FootnoteText"/>
      </w:pPr>
      <w:r>
        <w:rPr>
          <w:rStyle w:val="FootnoteReference"/>
        </w:rPr>
        <w:footnoteRef/>
      </w:r>
      <w:r>
        <w:t xml:space="preserve"> </w:t>
      </w:r>
      <w:r>
        <w:t xml:space="preserve">Withrow DR, Anderson H, Armstrong GT, Hawkins M, Journy N, Neglia JP, et al. Pooled Analysis of Meningioma Risk Following Treatment for Childhood Cancer. JAMA Oncol. 2022 Dec 01;8(12):1756-1764. doi: 10.1001/jamaoncol.2022.4425. PMID: 36201196.</w:t>
      </w:r>
    </w:p>
  </w:footnote>
  <w:footnote w:id="156">
    <w:p>
      <w:pPr>
        <w:pStyle w:val="FootnoteText"/>
      </w:pPr>
      <w:r>
        <w:rPr>
          <w:rStyle w:val="FootnoteReference"/>
        </w:rPr>
        <w:footnoteRef/>
      </w:r>
      <w:r>
        <w:t xml:space="preserve"> </w:t>
      </w:r>
      <w:r>
        <w:t xml:space="preserve">Withrow DR, Anderson H, Armstrong GT, Hawkins M, Journy N, Neglia JP, et al. Pooled Analysis of Meningioma Risk Following Treatment for Childhood Cancer. JAMA Oncol. 2022 Dec 01;8(12):1756-1764. doi: 10.1001/jamaoncol.2022.4425. PMID: 36201196.</w:t>
      </w:r>
    </w:p>
  </w:footnote>
  <w:footnote w:id="157">
    <w:p>
      <w:pPr>
        <w:pStyle w:val="FootnoteText"/>
      </w:pPr>
      <w:r>
        <w:rPr>
          <w:rStyle w:val="FootnoteReference"/>
        </w:rPr>
        <w:footnoteRef/>
      </w:r>
      <w:r>
        <w:t xml:space="preserve"> </w:t>
      </w:r>
      <w:r>
        <w:t xml:space="preserve">Withrow DR, Anderson H, Armstrong GT, Hawkins M, Journy N, Neglia JP, et al. Pooled Analysis of Meningioma Risk Following Treatment for Childhood Cancer. JAMA Oncol. 2022 Dec 01;8(12):1756-1764. doi: 10.1001/jamaoncol.2022.4425. PMID: 36201196.</w:t>
      </w:r>
    </w:p>
  </w:footnote>
  <w:footnote w:id="158">
    <w:p>
      <w:pPr>
        <w:pStyle w:val="FootnoteText"/>
      </w:pPr>
      <w:r>
        <w:rPr>
          <w:rStyle w:val="FootnoteReference"/>
        </w:rPr>
        <w:footnoteRef/>
      </w:r>
      <w:r>
        <w:t xml:space="preserve"> </w:t>
      </w:r>
      <w:r>
        <w:t xml:space="preserve">Withrow DR, Anderson H, Armstrong GT, Hawkins M, Journy N, Neglia JP, et al. Pooled Analysis of Meningioma Risk Following Treatment for Childhood Cancer. JAMA Oncol. 2022 Dec 01;8(12):1756-1764. doi: 10.1001/jamaoncol.2022.4425. PMID: 36201196.</w:t>
      </w:r>
    </w:p>
  </w:footnote>
  <w:footnote w:id="159">
    <w:p>
      <w:pPr>
        <w:pStyle w:val="FootnoteText"/>
      </w:pPr>
      <w:r>
        <w:rPr>
          <w:rStyle w:val="FootnoteReference"/>
        </w:rPr>
        <w:footnoteRef/>
      </w:r>
      <w:r>
        <w:t xml:space="preserve"> </w:t>
      </w:r>
      <w:r>
        <w:t xml:space="preserve">Withrow DR, Anderson H, Armstrong GT, Hawkins M, Journy N, Neglia JP, et al. Pooled Analysis of Meningioma Risk Following Treatment for Childhood Cancer. JAMA Oncol. 2022 Dec 01;8(12):1756-1764. doi: 10.1001/jamaoncol.2022.4425. PMID: 36201196.</w:t>
      </w:r>
    </w:p>
  </w:footnote>
  <w:footnote w:id="160">
    <w:p>
      <w:pPr>
        <w:pStyle w:val="FootnoteText"/>
      </w:pPr>
      <w:r>
        <w:rPr>
          <w:rStyle w:val="FootnoteReference"/>
        </w:rPr>
        <w:footnoteRef/>
      </w:r>
      <w:r>
        <w:t xml:space="preserve"> </w:t>
      </w:r>
      <w:r>
        <w:t xml:space="preserve">Tonorezos E, Devasia T, Mariotto AB, Mollica MA, Gallicchio L, Green P, et al. Prevalence of cancer survivors in the United States. J Natl Cancer Inst. 2024 Nov 01;116(11):1784-1790. doi: 10.1093/jnci/djae135. PMID: 39002121.</w:t>
      </w:r>
    </w:p>
  </w:footnote>
  <w:footnote w:id="161">
    <w:p>
      <w:pPr>
        <w:pStyle w:val="FootnoteText"/>
      </w:pPr>
      <w:r>
        <w:rPr>
          <w:rStyle w:val="FootnoteReference"/>
        </w:rPr>
        <w:footnoteRef/>
      </w:r>
      <w:r>
        <w:t xml:space="preserve"> </w:t>
      </w:r>
      <w:r>
        <w:t xml:space="preserve">Tonorezos E, Devasia T, Mariotto AB, Mollica MA, Gallicchio L, Green P, et al. Prevalence of cancer survivors in the United States. J Natl Cancer Inst. 2024 Nov 01;116(11):1784-1790. doi: 10.1093/jnci/djae135. PMID: 39002121.</w:t>
      </w:r>
    </w:p>
  </w:footnote>
  <w:footnote w:id="162">
    <w:p>
      <w:pPr>
        <w:pStyle w:val="FootnoteText"/>
      </w:pPr>
      <w:r>
        <w:rPr>
          <w:rStyle w:val="FootnoteReference"/>
        </w:rPr>
        <w:footnoteRef/>
      </w:r>
      <w:r>
        <w:t xml:space="preserve"> </w:t>
      </w:r>
      <w:r>
        <w:t xml:space="preserve">Tonorezos E, Devasia T, Mariotto AB, Mollica MA, Gallicchio L, Green P, et al. Prevalence of cancer survivors in the United States. J Natl Cancer Inst. 2024 Nov 01;116(11):1784-1790. doi: 10.1093/jnci/djae135. PMID: 39002121.</w:t>
      </w:r>
    </w:p>
  </w:footnote>
  <w:footnote w:id="164">
    <w:p>
      <w:pPr>
        <w:pStyle w:val="FootnoteText"/>
      </w:pPr>
      <w:r>
        <w:rPr>
          <w:rStyle w:val="FootnoteReference"/>
        </w:rPr>
        <w:footnoteRef/>
      </w:r>
      <w:r>
        <w:t xml:space="preserve"> </w:t>
      </w:r>
      <w:r>
        <w:t xml:space="preserve">Yan W, Cao M, Ruan X, Jiang L, Lee S, Lemanek A, et al. Cancer-cell-secreted miR-122 suppresses O-GlcNAcylation to promote skeletal muscle proteolysis. Nat Cell Biol. 2022 May 25;24(5):793-804. doi: 10.1038/s41556-022-00893-0. PMID: 35469018.</w:t>
      </w:r>
    </w:p>
  </w:footnote>
  <w:footnote w:id="165">
    <w:p>
      <w:pPr>
        <w:pStyle w:val="FootnoteText"/>
      </w:pPr>
      <w:r>
        <w:rPr>
          <w:rStyle w:val="FootnoteReference"/>
        </w:rPr>
        <w:footnoteRef/>
      </w:r>
      <w:r>
        <w:t xml:space="preserve"> </w:t>
      </w:r>
      <w:r>
        <w:t xml:space="preserve">Yan W, Cao M, Ruan X, Jiang L, Lee S, Lemanek A, et al. Cancer-cell-secreted miR-122 suppresses O-GlcNAcylation to promote skeletal muscle proteolysis. Nat Cell Biol. 2022 May 25;24(5):793-804. doi: 10.1038/s41556-022-00893-0. PMID: 35469018.</w:t>
      </w:r>
    </w:p>
  </w:footnote>
  <w:footnote w:id="166">
    <w:p>
      <w:pPr>
        <w:pStyle w:val="FootnoteText"/>
      </w:pPr>
      <w:r>
        <w:rPr>
          <w:rStyle w:val="FootnoteReference"/>
        </w:rPr>
        <w:footnoteRef/>
      </w:r>
      <w:r>
        <w:t xml:space="preserve"> </w:t>
      </w:r>
      <w:r>
        <w:t xml:space="preserve">Yan W, Cao M, Ruan X, Jiang L, Lee S, Lemanek A, et al. Cancer-cell-secreted miR-122 suppresses O-GlcNAcylation to promote skeletal muscle proteolysis. Nat Cell Biol. 2022 May 25;24(5):793-804. doi: 10.1038/s41556-022-00893-0. PMID: 35469018.</w:t>
      </w:r>
    </w:p>
  </w:footnote>
  <w:footnote w:id="167">
    <w:p>
      <w:pPr>
        <w:pStyle w:val="FootnoteText"/>
      </w:pPr>
      <w:r>
        <w:rPr>
          <w:rStyle w:val="FootnoteReference"/>
        </w:rPr>
        <w:footnoteRef/>
      </w:r>
      <w:r>
        <w:t xml:space="preserve"> </w:t>
      </w:r>
      <w:r>
        <w:t xml:space="preserve">Shi L, Shen W, Davis MI, Kong K, Vu P, Saha SK, et al. SULT1A1-dependent sulfonation of alkylators is a lineage-dependent vulnerability of liver cancers. Nat Cancer. 2023 Mar 13;4(3):365-381. doi: 10.1038/s43018-023-00523-0. PMID: 36914816.</w:t>
      </w:r>
    </w:p>
  </w:footnote>
  <w:footnote w:id="168">
    <w:p>
      <w:pPr>
        <w:pStyle w:val="FootnoteText"/>
      </w:pPr>
      <w:r>
        <w:rPr>
          <w:rStyle w:val="FootnoteReference"/>
        </w:rPr>
        <w:footnoteRef/>
      </w:r>
      <w:r>
        <w:t xml:space="preserve"> </w:t>
      </w:r>
      <w:r>
        <w:t xml:space="preserve">Shi L, Shen W, Davis MI, Kong K, Vu P, Saha SK, et al. SULT1A1-dependent sulfonation of alkylators is a lineage-dependent vulnerability of liver cancers. Nat Cancer. 2023 Mar 13;4(3):365-381. doi: 10.1038/s43018-023-00523-0. PMID: 36914816.</w:t>
      </w:r>
    </w:p>
  </w:footnote>
  <w:footnote w:id="169">
    <w:p>
      <w:pPr>
        <w:pStyle w:val="FootnoteText"/>
      </w:pPr>
      <w:r>
        <w:rPr>
          <w:rStyle w:val="FootnoteReference"/>
        </w:rPr>
        <w:footnoteRef/>
      </w:r>
      <w:r>
        <w:t xml:space="preserve"> </w:t>
      </w:r>
      <w:r>
        <w:t xml:space="preserve">Shi L, Shen W, Davis MI, Kong K, Vu P, Saha SK, et al. SULT1A1-dependent sulfonation of alkylators is a lineage-dependent vulnerability of liver cancers. Nat Cancer. 2023 Mar 13;4(3):365-381. doi: 10.1038/s43018-023-00523-0. PMID: 36914816.</w:t>
      </w:r>
    </w:p>
  </w:footnote>
  <w:footnote w:id="170">
    <w:p>
      <w:pPr>
        <w:pStyle w:val="FootnoteText"/>
      </w:pPr>
      <w:r>
        <w:rPr>
          <w:rStyle w:val="FootnoteReference"/>
        </w:rPr>
        <w:footnoteRef/>
      </w:r>
      <w:r>
        <w:t xml:space="preserve"> </w:t>
      </w:r>
      <w:r>
        <w:t xml:space="preserve">Cornwell JA, Crncec A, Afifi MM, Tang K, Amin R, Cappell SD. Loss of CDK4/6 activity in S/G2 phase leads to cell cycle reversal. Nature. 2023 Jul 05;619(7969):363-370. doi: 10.1038/s41586-023-06274-3. PMID: 37407814.</w:t>
      </w:r>
    </w:p>
  </w:footnote>
  <w:footnote w:id="171">
    <w:p>
      <w:pPr>
        <w:pStyle w:val="FootnoteText"/>
      </w:pPr>
      <w:r>
        <w:rPr>
          <w:rStyle w:val="FootnoteReference"/>
        </w:rPr>
        <w:footnoteRef/>
      </w:r>
      <w:r>
        <w:t xml:space="preserve"> </w:t>
      </w:r>
      <w:r>
        <w:t xml:space="preserve">Cornwell JA, Crncec A, Afifi MM, Tang K, Amin R, Cappell SD. Loss of CDK4/6 activity in S/G2 phase leads to cell cycle reversal. Nature. 2023 Jul 05;619(7969):363-370. doi: 10.1038/s41586-023-06274-3. PMID: 37407814.</w:t>
      </w:r>
    </w:p>
  </w:footnote>
  <w:footnote w:id="172">
    <w:p>
      <w:pPr>
        <w:pStyle w:val="FootnoteText"/>
      </w:pPr>
      <w:r>
        <w:rPr>
          <w:rStyle w:val="FootnoteReference"/>
        </w:rPr>
        <w:footnoteRef/>
      </w:r>
      <w:r>
        <w:t xml:space="preserve"> </w:t>
      </w:r>
      <w:r>
        <w:t xml:space="preserve">Cornwell JA, Crncec A, Afifi MM, Tang K, Amin R, Cappell SD. Loss of CDK4/6 activity in S/G2 phase leads to cell cycle reversal. Nature. 2023 Jul 05;619(7969):363-370. doi: 10.1038/s41586-023-06274-3. PMID: 37407814.</w:t>
      </w:r>
    </w:p>
  </w:footnote>
  <w:footnote w:id="173">
    <w:p>
      <w:pPr>
        <w:pStyle w:val="FootnoteText"/>
      </w:pPr>
      <w:r>
        <w:rPr>
          <w:rStyle w:val="FootnoteReference"/>
        </w:rPr>
        <w:footnoteRef/>
      </w:r>
      <w:r>
        <w:t xml:space="preserve"> </w:t>
      </w:r>
      <w:r>
        <w:t xml:space="preserve">PMID: 36823587.</w:t>
      </w:r>
      <w:r>
        <w:t xml:space="preserve"> </w:t>
      </w:r>
      <w:hyperlink r:id="rId174">
        <w:r>
          <w:rPr>
            <w:rStyle w:val="Hyperlink"/>
          </w:rPr>
          <w:t xml:space="preserve">https://pubmed.ncbi.nlm.nih.gov/36823587</w:t>
        </w:r>
      </w:hyperlink>
    </w:p>
  </w:footnote>
  <w:footnote w:id="175">
    <w:p>
      <w:pPr>
        <w:pStyle w:val="FootnoteText"/>
      </w:pPr>
      <w:r>
        <w:rPr>
          <w:rStyle w:val="FootnoteReference"/>
        </w:rPr>
        <w:footnoteRef/>
      </w:r>
      <w:r>
        <w:t xml:space="preserve"> </w:t>
      </w:r>
      <w:r>
        <w:t xml:space="preserve">PMID: 36823587.</w:t>
      </w:r>
      <w:r>
        <w:t xml:space="preserve"> </w:t>
      </w:r>
      <w:hyperlink r:id="rId174">
        <w:r>
          <w:rPr>
            <w:rStyle w:val="Hyperlink"/>
          </w:rPr>
          <w:t xml:space="preserve">https://pubmed.ncbi.nlm.nih.gov/36823587</w:t>
        </w:r>
      </w:hyperlink>
    </w:p>
  </w:footnote>
  <w:footnote w:id="176">
    <w:p>
      <w:pPr>
        <w:pStyle w:val="FootnoteText"/>
      </w:pPr>
      <w:r>
        <w:rPr>
          <w:rStyle w:val="FootnoteReference"/>
        </w:rPr>
        <w:footnoteRef/>
      </w:r>
      <w:r>
        <w:t xml:space="preserve"> </w:t>
      </w:r>
      <w:r>
        <w:t xml:space="preserve">PMID: 36823587.</w:t>
      </w:r>
      <w:r>
        <w:t xml:space="preserve"> </w:t>
      </w:r>
      <w:hyperlink r:id="rId174">
        <w:r>
          <w:rPr>
            <w:rStyle w:val="Hyperlink"/>
          </w:rPr>
          <w:t xml:space="preserve">https://pubmed.ncbi.nlm.nih.gov/36823587</w:t>
        </w:r>
      </w:hyperlink>
    </w:p>
  </w:footnote>
  <w:footnote w:id="177">
    <w:p>
      <w:pPr>
        <w:pStyle w:val="FootnoteText"/>
      </w:pPr>
      <w:r>
        <w:rPr>
          <w:rStyle w:val="FootnoteReference"/>
        </w:rPr>
        <w:footnoteRef/>
      </w:r>
      <w:r>
        <w:t xml:space="preserve"> </w:t>
      </w:r>
      <w:r>
        <w:t xml:space="preserve">Greytak SR, Engel KB, Hoon DSB, Elias KM, Lockwood CM, Guan P, et al. Evidence-based procedures to improve the reliability of circulating miRNA biomarker assays. Clin Chem Lab Med. 2024 Jan 26;62(1):60-66. doi: 10.1515/cclm-2023-0131. PMID: 37129007.</w:t>
      </w:r>
    </w:p>
  </w:footnote>
  <w:footnote w:id="178">
    <w:p>
      <w:pPr>
        <w:pStyle w:val="FootnoteText"/>
      </w:pPr>
      <w:r>
        <w:rPr>
          <w:rStyle w:val="FootnoteReference"/>
        </w:rPr>
        <w:footnoteRef/>
      </w:r>
      <w:r>
        <w:t xml:space="preserve"> </w:t>
      </w:r>
      <w:r>
        <w:t xml:space="preserve">Greytak SR, Engel KB, Hoon DSB, Elias KM, Lockwood CM, Guan P, et al. Evidence-based procedures to improve the reliability of circulating miRNA biomarker assays. Clin Chem Lab Med. 2024 Jan 26;62(1):60-66. doi: 10.1515/cclm-2023-0131. PMID: 37129007.</w:t>
      </w:r>
    </w:p>
  </w:footnote>
  <w:footnote w:id="179">
    <w:p>
      <w:pPr>
        <w:pStyle w:val="FootnoteText"/>
      </w:pPr>
      <w:r>
        <w:rPr>
          <w:rStyle w:val="FootnoteReference"/>
        </w:rPr>
        <w:footnoteRef/>
      </w:r>
      <w:r>
        <w:t xml:space="preserve"> </w:t>
      </w:r>
      <w:r>
        <w:t xml:space="preserve">Greytak SR, Engel KB, Hoon DSB, Elias KM, Lockwood CM, Guan P, et al. Evidence-based procedures to improve the reliability of circulating miRNA biomarker assays. Clin Chem Lab Med. 2024 Jan 26;62(1):60-66. doi: 10.1515/cclm-2023-0131. PMID: 37129007.</w:t>
      </w:r>
    </w:p>
  </w:footnote>
  <w:footnote w:id="180">
    <w:p>
      <w:pPr>
        <w:pStyle w:val="FootnoteText"/>
      </w:pPr>
      <w:r>
        <w:rPr>
          <w:rStyle w:val="FootnoteReference"/>
        </w:rPr>
        <w:footnoteRef/>
      </w:r>
      <w:r>
        <w:t xml:space="preserve"> </w:t>
      </w:r>
      <w:r>
        <w:t xml:space="preserve">PMID: 35773409.</w:t>
      </w:r>
      <w:r>
        <w:t xml:space="preserve"> </w:t>
      </w:r>
      <w:hyperlink r:id="rId181">
        <w:r>
          <w:rPr>
            <w:rStyle w:val="Hyperlink"/>
          </w:rPr>
          <w:t xml:space="preserve">https://pubmed.ncbi.nlm.nih.gov/35773409</w:t>
        </w:r>
      </w:hyperlink>
    </w:p>
  </w:footnote>
  <w:footnote w:id="182">
    <w:p>
      <w:pPr>
        <w:pStyle w:val="FootnoteText"/>
      </w:pPr>
      <w:r>
        <w:rPr>
          <w:rStyle w:val="FootnoteReference"/>
        </w:rPr>
        <w:footnoteRef/>
      </w:r>
      <w:r>
        <w:t xml:space="preserve"> </w:t>
      </w:r>
      <w:r>
        <w:t xml:space="preserve">PMID: 35773409.</w:t>
      </w:r>
      <w:r>
        <w:t xml:space="preserve"> </w:t>
      </w:r>
      <w:hyperlink r:id="rId181">
        <w:r>
          <w:rPr>
            <w:rStyle w:val="Hyperlink"/>
          </w:rPr>
          <w:t xml:space="preserve">https://pubmed.ncbi.nlm.nih.gov/35773409</w:t>
        </w:r>
      </w:hyperlink>
    </w:p>
  </w:footnote>
  <w:footnote w:id="183">
    <w:p>
      <w:pPr>
        <w:pStyle w:val="FootnoteText"/>
      </w:pPr>
      <w:r>
        <w:rPr>
          <w:rStyle w:val="FootnoteReference"/>
        </w:rPr>
        <w:footnoteRef/>
      </w:r>
      <w:r>
        <w:t xml:space="preserve"> </w:t>
      </w:r>
      <w:r>
        <w:t xml:space="preserve">PMID: 35773409.</w:t>
      </w:r>
      <w:r>
        <w:t xml:space="preserve"> </w:t>
      </w:r>
      <w:hyperlink r:id="rId181">
        <w:r>
          <w:rPr>
            <w:rStyle w:val="Hyperlink"/>
          </w:rPr>
          <w:t xml:space="preserve">https://pubmed.ncbi.nlm.nih.gov/35773409</w:t>
        </w:r>
      </w:hyperlink>
    </w:p>
  </w:footnote>
  <w:footnote w:id="184">
    <w:p>
      <w:pPr>
        <w:pStyle w:val="FootnoteText"/>
      </w:pPr>
      <w:r>
        <w:rPr>
          <w:rStyle w:val="FootnoteReference"/>
        </w:rPr>
        <w:footnoteRef/>
      </w:r>
      <w:r>
        <w:t xml:space="preserve"> </w:t>
      </w:r>
      <w:r>
        <w:t xml:space="preserve">PMID: 35773409.</w:t>
      </w:r>
      <w:r>
        <w:t xml:space="preserve"> </w:t>
      </w:r>
      <w:hyperlink r:id="rId181">
        <w:r>
          <w:rPr>
            <w:rStyle w:val="Hyperlink"/>
          </w:rPr>
          <w:t xml:space="preserve">https://pubmed.ncbi.nlm.nih.gov/35773409</w:t>
        </w:r>
      </w:hyperlink>
    </w:p>
  </w:footnote>
  <w:footnote w:id="185">
    <w:p>
      <w:pPr>
        <w:pStyle w:val="FootnoteText"/>
      </w:pPr>
      <w:r>
        <w:rPr>
          <w:rStyle w:val="FootnoteReference"/>
        </w:rPr>
        <w:footnoteRef/>
      </w:r>
      <w:r>
        <w:t xml:space="preserve"> </w:t>
      </w:r>
      <w:r>
        <w:t xml:space="preserve">Stark Z, Byrne AB, Sampson MG, Lennon R, Mallett AJ. A guide to gene-disease relationships in nephrology. Nat Rev Nephrol. 2025 Feb 23;21(2):115-126. doi: 10.1038/s41581-024-00900-7. PMID: 39443743.</w:t>
      </w:r>
    </w:p>
  </w:footnote>
  <w:footnote w:id="186">
    <w:p>
      <w:pPr>
        <w:pStyle w:val="FootnoteText"/>
      </w:pPr>
      <w:r>
        <w:rPr>
          <w:rStyle w:val="FootnoteReference"/>
        </w:rPr>
        <w:footnoteRef/>
      </w:r>
      <w:r>
        <w:t xml:space="preserve"> </w:t>
      </w:r>
      <w:r>
        <w:t xml:space="preserve">Stark Z, Byrne AB, Sampson MG, Lennon R, Mallett AJ. A guide to gene-disease relationships in nephrology. Nat Rev Nephrol. 2025 Feb 23;21(2):115-126. doi: 10.1038/s41581-024-00900-7. PMID: 39443743.</w:t>
      </w:r>
    </w:p>
  </w:footnote>
  <w:footnote w:id="187">
    <w:p>
      <w:pPr>
        <w:pStyle w:val="FootnoteText"/>
      </w:pPr>
      <w:r>
        <w:rPr>
          <w:rStyle w:val="FootnoteReference"/>
        </w:rPr>
        <w:footnoteRef/>
      </w:r>
      <w:r>
        <w:t xml:space="preserve"> </w:t>
      </w:r>
      <w:r>
        <w:t xml:space="preserve">Bifarin OO, Gaul DA, Sah S, Arnold RS, Ogan K, Master VA, et al. Urine-Based Metabolomics and Machine Learning Reveals Metabolites Associated with Renal Cell Carcinoma Stage. Cancers (Basel). 2021 Dec 13;13(24). doi: 10.3390/cancers13246253. PMID: 34944874.</w:t>
      </w:r>
    </w:p>
  </w:footnote>
  <w:footnote w:id="188">
    <w:p>
      <w:pPr>
        <w:pStyle w:val="FootnoteText"/>
      </w:pPr>
      <w:r>
        <w:rPr>
          <w:rStyle w:val="FootnoteReference"/>
        </w:rPr>
        <w:footnoteRef/>
      </w:r>
      <w:r>
        <w:t xml:space="preserve"> </w:t>
      </w:r>
      <w:r>
        <w:t xml:space="preserve">Bifarin OO, Gaul DA, Sah S, Arnold RS, Ogan K, Master VA, et al. Urine-Based Metabolomics and Machine Learning Reveals Metabolites Associated with Renal Cell Carcinoma Stage. Cancers (Basel). 2021 Dec 13;13(24). doi: 10.3390/cancers13246253. PMID: 34944874.</w:t>
      </w:r>
    </w:p>
  </w:footnote>
  <w:footnote w:id="189">
    <w:p>
      <w:pPr>
        <w:pStyle w:val="FootnoteText"/>
      </w:pPr>
      <w:r>
        <w:rPr>
          <w:rStyle w:val="FootnoteReference"/>
        </w:rPr>
        <w:footnoteRef/>
      </w:r>
      <w:r>
        <w:t xml:space="preserve"> </w:t>
      </w:r>
      <w:r>
        <w:t xml:space="preserve">Bifarin OO, Gaul DA, Sah S, Arnold RS, Ogan K, Master VA, et al. Urine-Based Metabolomics and Machine Learning Reveals Metabolites Associated with Renal Cell Carcinoma Stage. Cancers (Basel). 2021 Dec 13;13(24). doi: 10.3390/cancers13246253. PMID: 34944874.</w:t>
      </w:r>
    </w:p>
  </w:footnote>
  <w:footnote w:id="190">
    <w:p>
      <w:pPr>
        <w:pStyle w:val="FootnoteText"/>
      </w:pPr>
      <w:r>
        <w:rPr>
          <w:rStyle w:val="FootnoteReference"/>
        </w:rPr>
        <w:footnoteRef/>
      </w:r>
      <w:r>
        <w:t xml:space="preserve"> </w:t>
      </w:r>
      <w:r>
        <w:t xml:space="preserve">Bifarin OO, Gaul DA, Sah S, Arnold RS, Ogan K, Master VA, et al. Urine-Based Metabolomics and Machine Learning Reveals Metabolites Associated with Renal Cell Carcinoma Stage. Cancers (Basel). 2021 Dec 13;13(24). doi: 10.3390/cancers13246253. PMID: 34944874.</w:t>
      </w:r>
    </w:p>
  </w:footnote>
  <w:footnote w:id="192">
    <w:p>
      <w:pPr>
        <w:pStyle w:val="FootnoteText"/>
      </w:pPr>
      <w:r>
        <w:rPr>
          <w:rStyle w:val="FootnoteReference"/>
        </w:rPr>
        <w:footnoteRef/>
      </w:r>
      <w:r>
        <w:t xml:space="preserve"> </w:t>
      </w:r>
      <w:r>
        <w:t xml:space="preserve">Li Y, Basar R, Wang G, Liu E, Moyes JS, Li L, et al. KIR-based inhibitory CARs overcome CAR-NK cell trogocytosis-mediated fratricide and tumor escape. Nat Med. 2022 Oct 29;28(10):2133-2144. doi: 10.1038/s41591-022-02003-x. PMID: 36175679.</w:t>
      </w:r>
    </w:p>
  </w:footnote>
  <w:footnote w:id="193">
    <w:p>
      <w:pPr>
        <w:pStyle w:val="FootnoteText"/>
      </w:pPr>
      <w:r>
        <w:rPr>
          <w:rStyle w:val="FootnoteReference"/>
        </w:rPr>
        <w:footnoteRef/>
      </w:r>
      <w:r>
        <w:t xml:space="preserve"> </w:t>
      </w:r>
      <w:r>
        <w:t xml:space="preserve">Li Y, Basar R, Wang G, Liu E, Moyes JS, Li L, et al. KIR-based inhibitory CARs overcome CAR-NK cell trogocytosis-mediated fratricide and tumor escape. Nat Med. 2022 Oct 29;28(10):2133-2144. doi: 10.1038/s41591-022-02003-x. PMID: 36175679.</w:t>
      </w:r>
    </w:p>
  </w:footnote>
  <w:footnote w:id="194">
    <w:p>
      <w:pPr>
        <w:pStyle w:val="FootnoteText"/>
      </w:pPr>
      <w:r>
        <w:rPr>
          <w:rStyle w:val="FootnoteReference"/>
        </w:rPr>
        <w:footnoteRef/>
      </w:r>
      <w:r>
        <w:t xml:space="preserve"> </w:t>
      </w:r>
      <w:r>
        <w:t xml:space="preserve">Li Y, Basar R, Wang G, Liu E, Moyes JS, Li L, et al. KIR-based inhibitory CARs overcome CAR-NK cell trogocytosis-mediated fratricide and tumor escape. Nat Med. 2022 Oct 29;28(10):2133-2144. doi: 10.1038/s41591-022-02003-x. PMID: 36175679.</w:t>
      </w:r>
    </w:p>
  </w:footnote>
  <w:footnote w:id="195">
    <w:p>
      <w:pPr>
        <w:pStyle w:val="FootnoteText"/>
      </w:pPr>
      <w:r>
        <w:rPr>
          <w:rStyle w:val="FootnoteReference"/>
        </w:rPr>
        <w:footnoteRef/>
      </w:r>
      <w:r>
        <w:t xml:space="preserve"> </w:t>
      </w:r>
      <w:r>
        <w:t xml:space="preserve">Li Y, Basar R, Wang G, Liu E, Moyes JS, Li L, et al. KIR-based inhibitory CARs overcome CAR-NK cell trogocytosis-mediated fratricide and tumor escape. Nat Med. 2022 Oct 29;28(10):2133-2144. doi: 10.1038/s41591-022-02003-x. PMID: 36175679.</w:t>
      </w:r>
    </w:p>
  </w:footnote>
  <w:footnote w:id="196">
    <w:p>
      <w:pPr>
        <w:pStyle w:val="FootnoteText"/>
      </w:pPr>
      <w:r>
        <w:rPr>
          <w:rStyle w:val="FootnoteReference"/>
        </w:rPr>
        <w:footnoteRef/>
      </w:r>
      <w:r>
        <w:t xml:space="preserve"> </w:t>
      </w:r>
      <w:r>
        <w:t xml:space="preserve">Xia H, Hoang MH, Schmidt E, Kiwala S, McMichael J, Skidmore ZL, et al. pVACview: an interactive visualization tool for efficient neoantigen prioritization and selection. Genome Med. 2024 Nov 14;16(1):132. doi: 10.1186/s13073-024-01384-7. PMID: 39538339.</w:t>
      </w:r>
    </w:p>
  </w:footnote>
  <w:footnote w:id="197">
    <w:p>
      <w:pPr>
        <w:pStyle w:val="FootnoteText"/>
      </w:pPr>
      <w:r>
        <w:rPr>
          <w:rStyle w:val="FootnoteReference"/>
        </w:rPr>
        <w:footnoteRef/>
      </w:r>
      <w:r>
        <w:t xml:space="preserve"> </w:t>
      </w:r>
      <w:r>
        <w:t xml:space="preserve">Xia H, Hoang MH, Schmidt E, Kiwala S, McMichael J, Skidmore ZL, et al. pVACview: an interactive visualization tool for efficient neoantigen prioritization and selection. Genome Med. 2024 Nov 14;16(1):132. doi: 10.1186/s13073-024-01384-7. PMID: 39538339.</w:t>
      </w:r>
    </w:p>
  </w:footnote>
  <w:footnote w:id="198">
    <w:p>
      <w:pPr>
        <w:pStyle w:val="FootnoteText"/>
      </w:pPr>
      <w:r>
        <w:rPr>
          <w:rStyle w:val="FootnoteReference"/>
        </w:rPr>
        <w:footnoteRef/>
      </w:r>
      <w:r>
        <w:t xml:space="preserve"> </w:t>
      </w:r>
      <w:r>
        <w:t xml:space="preserve">Xia H, Hoang MH, Schmidt E, Kiwala S, McMichael J, Skidmore ZL, et al. pVACview: an interactive visualization tool for efficient neoantigen prioritization and selection. Genome Med. 2024 Nov 14;16(1):132. doi: 10.1186/s13073-024-01384-7. PMID: 39538339.</w:t>
      </w:r>
    </w:p>
  </w:footnote>
  <w:footnote w:id="199">
    <w:p>
      <w:pPr>
        <w:pStyle w:val="FootnoteText"/>
      </w:pPr>
      <w:r>
        <w:rPr>
          <w:rStyle w:val="FootnoteReference"/>
        </w:rPr>
        <w:footnoteRef/>
      </w:r>
      <w:r>
        <w:t xml:space="preserve"> </w:t>
      </w:r>
      <w:r>
        <w:t xml:space="preserve">Xia H, Hoang MH, Schmidt E, Kiwala S, McMichael J, Skidmore ZL, et al. pVACview: an interactive visualization tool for efficient neoantigen prioritization and selection. Genome Med. 2024 Nov 14;16(1):132. doi: 10.1186/s13073-024-01384-7. PMID: 39538339.</w:t>
      </w:r>
    </w:p>
  </w:footnote>
  <w:footnote w:id="201">
    <w:p>
      <w:pPr>
        <w:pStyle w:val="FootnoteText"/>
      </w:pPr>
      <w:r>
        <w:rPr>
          <w:rStyle w:val="FootnoteReference"/>
        </w:rPr>
        <w:footnoteRef/>
      </w:r>
      <w:r>
        <w:t xml:space="preserve"> </w:t>
      </w:r>
      <w:r>
        <w:t xml:space="preserve">Gallanis AF, Gamble LA, Samaranayake SG, Lopez R, Rhodes A, Rajasimhan S, et al. Costs of Cancer Prevention: Physical and Psychosocial Sequelae of Risk-Reducing Total Gastrectomy. J Clin Oncol. 2024 Feb 01;42(4):421-430. doi: 10.1200/JCO.23.01238. PMID: 37903316.</w:t>
      </w:r>
    </w:p>
  </w:footnote>
  <w:footnote w:id="202">
    <w:p>
      <w:pPr>
        <w:pStyle w:val="FootnoteText"/>
      </w:pPr>
      <w:r>
        <w:rPr>
          <w:rStyle w:val="FootnoteReference"/>
        </w:rPr>
        <w:footnoteRef/>
      </w:r>
      <w:r>
        <w:t xml:space="preserve"> </w:t>
      </w:r>
      <w:r>
        <w:t xml:space="preserve">Gallanis AF, Gamble LA, Samaranayake SG, Lopez R, Rhodes A, Rajasimhan S, et al. Costs of Cancer Prevention: Physical and Psychosocial Sequelae of Risk-Reducing Total Gastrectomy. J Clin Oncol. 2024 Feb 01;42(4):421-430. doi: 10.1200/JCO.23.01238. PMID: 37903316.</w:t>
      </w:r>
    </w:p>
  </w:footnote>
  <w:footnote w:id="203">
    <w:p>
      <w:pPr>
        <w:pStyle w:val="FootnoteText"/>
      </w:pPr>
      <w:r>
        <w:rPr>
          <w:rStyle w:val="FootnoteReference"/>
        </w:rPr>
        <w:footnoteRef/>
      </w:r>
      <w:r>
        <w:t xml:space="preserve"> </w:t>
      </w:r>
      <w:r>
        <w:t xml:space="preserve">Gallanis AF, Gamble LA, Samaranayake SG, Lopez R, Rhodes A, Rajasimhan S, et al. Costs of Cancer Prevention: Physical and Psychosocial Sequelae of Risk-Reducing Total Gastrectomy. J Clin Oncol. 2024 Feb 01;42(4):421-430. doi: 10.1200/JCO.23.01238. PMID: 37903316.</w:t>
      </w:r>
    </w:p>
  </w:footnote>
  <w:footnote w:id="204">
    <w:p>
      <w:pPr>
        <w:pStyle w:val="FootnoteText"/>
      </w:pPr>
      <w:r>
        <w:rPr>
          <w:rStyle w:val="FootnoteReference"/>
        </w:rPr>
        <w:footnoteRef/>
      </w:r>
      <w:r>
        <w:t xml:space="preserve"> </w:t>
      </w:r>
      <w:r>
        <w:t xml:space="preserve">PMID: 37289928.</w:t>
      </w:r>
      <w:r>
        <w:t xml:space="preserve"> </w:t>
      </w:r>
      <w:hyperlink r:id="rId205">
        <w:r>
          <w:rPr>
            <w:rStyle w:val="Hyperlink"/>
          </w:rPr>
          <w:t xml:space="preserve">https://pubmed.ncbi.nlm.nih.gov/37289928</w:t>
        </w:r>
      </w:hyperlink>
    </w:p>
  </w:footnote>
  <w:footnote w:id="206">
    <w:p>
      <w:pPr>
        <w:pStyle w:val="FootnoteText"/>
      </w:pPr>
      <w:r>
        <w:rPr>
          <w:rStyle w:val="FootnoteReference"/>
        </w:rPr>
        <w:footnoteRef/>
      </w:r>
      <w:r>
        <w:t xml:space="preserve"> </w:t>
      </w:r>
      <w:r>
        <w:t xml:space="preserve">PMID: 37289928.</w:t>
      </w:r>
      <w:r>
        <w:t xml:space="preserve"> </w:t>
      </w:r>
      <w:hyperlink r:id="rId205">
        <w:r>
          <w:rPr>
            <w:rStyle w:val="Hyperlink"/>
          </w:rPr>
          <w:t xml:space="preserve">https://pubmed.ncbi.nlm.nih.gov/37289928</w:t>
        </w:r>
      </w:hyperlink>
    </w:p>
  </w:footnote>
  <w:footnote w:id="207">
    <w:p>
      <w:pPr>
        <w:pStyle w:val="FootnoteText"/>
      </w:pPr>
      <w:r>
        <w:rPr>
          <w:rStyle w:val="FootnoteReference"/>
        </w:rPr>
        <w:footnoteRef/>
      </w:r>
      <w:r>
        <w:t xml:space="preserve"> </w:t>
      </w:r>
      <w:r>
        <w:t xml:space="preserve">PMID: 37289928.</w:t>
      </w:r>
      <w:r>
        <w:t xml:space="preserve"> </w:t>
      </w:r>
      <w:hyperlink r:id="rId205">
        <w:r>
          <w:rPr>
            <w:rStyle w:val="Hyperlink"/>
          </w:rPr>
          <w:t xml:space="preserve">https://pubmed.ncbi.nlm.nih.gov/37289928</w:t>
        </w:r>
      </w:hyperlink>
    </w:p>
  </w:footnote>
  <w:footnote w:id="209">
    <w:p>
      <w:pPr>
        <w:pStyle w:val="FootnoteText"/>
      </w:pPr>
      <w:r>
        <w:rPr>
          <w:rStyle w:val="FootnoteReference"/>
        </w:rPr>
        <w:footnoteRef/>
      </w:r>
      <w:r>
        <w:t xml:space="preserve"> </w:t>
      </w:r>
      <w:r>
        <w:t xml:space="preserve">Watts EL, Matthews CE, Freeman JR, Gorzelitz JS, Hong HG, Liao LM, et al. Association of Leisure Time Physical Activity Types and Risks of All-Cause, Cardiovascular, and Cancer Mortality Among Older Adults. JAMA Netw Open. 2022 Aug 01;5(8):e2228510. doi: 10.1001/jamanetworkopen.2022.28510. PMID: 36001316.</w:t>
      </w:r>
    </w:p>
  </w:footnote>
  <w:footnote w:id="210">
    <w:p>
      <w:pPr>
        <w:pStyle w:val="FootnoteText"/>
      </w:pPr>
      <w:r>
        <w:rPr>
          <w:rStyle w:val="FootnoteReference"/>
        </w:rPr>
        <w:footnoteRef/>
      </w:r>
      <w:r>
        <w:t xml:space="preserve"> </w:t>
      </w:r>
      <w:r>
        <w:t xml:space="preserve">Watts EL, Matthews CE, Freeman JR, Gorzelitz JS, Hong HG, Liao LM, et al. Association of Leisure Time Physical Activity Types and Risks of All-Cause, Cardiovascular, and Cancer Mortality Among Older Adults. JAMA Netw Open. 2022 Aug 01;5(8):e2228510. doi: 10.1001/jamanetworkopen.2022.28510. PMID: 36001316.</w:t>
      </w:r>
    </w:p>
  </w:footnote>
  <w:footnote w:id="211">
    <w:p>
      <w:pPr>
        <w:pStyle w:val="FootnoteText"/>
      </w:pPr>
      <w:r>
        <w:rPr>
          <w:rStyle w:val="FootnoteReference"/>
        </w:rPr>
        <w:footnoteRef/>
      </w:r>
      <w:r>
        <w:t xml:space="preserve"> </w:t>
      </w:r>
      <w:r>
        <w:t xml:space="preserve">Watts EL, Matthews CE, Freeman JR, Gorzelitz JS, Hong HG, Liao LM, et al. Association of Leisure Time Physical Activity Types and Risks of All-Cause, Cardiovascular, and Cancer Mortality Among Older Adults. JAMA Netw Open. 2022 Aug 01;5(8):e2228510. doi: 10.1001/jamanetworkopen.2022.28510. PMID: 36001316.</w:t>
      </w:r>
    </w:p>
  </w:footnote>
  <w:footnote w:id="213">
    <w:p>
      <w:pPr>
        <w:pStyle w:val="FootnoteText"/>
      </w:pPr>
      <w:r>
        <w:rPr>
          <w:rStyle w:val="FootnoteReference"/>
        </w:rPr>
        <w:footnoteRef/>
      </w:r>
      <w:r>
        <w:t xml:space="preserve"> </w:t>
      </w:r>
      <w:r>
        <w:t xml:space="preserve">Einstein MH, Zhou N, Gabor L, Sahasrabuddhe VV. Primary Human Papillomavirus Testing and Other New Technologies for Cervical Cancer Screening. Obstet Gynecol. 2023 Nov 01;142(5):1036-1043. doi: 10.1097/AOG.0000000000005393. PMID: 37708516.</w:t>
      </w:r>
    </w:p>
  </w:footnote>
  <w:footnote w:id="214">
    <w:p>
      <w:pPr>
        <w:pStyle w:val="FootnoteText"/>
      </w:pPr>
      <w:r>
        <w:rPr>
          <w:rStyle w:val="FootnoteReference"/>
        </w:rPr>
        <w:footnoteRef/>
      </w:r>
      <w:r>
        <w:t xml:space="preserve"> </w:t>
      </w:r>
      <w:r>
        <w:t xml:space="preserve">Einstein MH, Zhou N, Gabor L, Sahasrabuddhe VV. Primary Human Papillomavirus Testing and Other New Technologies for Cervical Cancer Screening. Obstet Gynecol. 2023 Nov 01;142(5):1036-1043. doi: 10.1097/AOG.0000000000005393. PMID: 37708516.</w:t>
      </w:r>
    </w:p>
  </w:footnote>
  <w:footnote w:id="215">
    <w:p>
      <w:pPr>
        <w:pStyle w:val="FootnoteText"/>
      </w:pPr>
      <w:r>
        <w:rPr>
          <w:rStyle w:val="FootnoteReference"/>
        </w:rPr>
        <w:footnoteRef/>
      </w:r>
      <w:r>
        <w:t xml:space="preserve"> </w:t>
      </w:r>
      <w:r>
        <w:t xml:space="preserve">Einstein MH, Zhou N, Gabor L, Sahasrabuddhe VV. Primary Human Papillomavirus Testing and Other New Technologies for Cervical Cancer Screening. Obstet Gynecol. 2023 Nov 01;142(5):1036-1043. doi: 10.1097/AOG.0000000000005393. PMID: 37708516.</w:t>
      </w:r>
    </w:p>
  </w:footnote>
  <w:footnote w:id="216">
    <w:p>
      <w:pPr>
        <w:pStyle w:val="FootnoteText"/>
      </w:pPr>
      <w:r>
        <w:rPr>
          <w:rStyle w:val="FootnoteReference"/>
        </w:rPr>
        <w:footnoteRef/>
      </w:r>
      <w:r>
        <w:t xml:space="preserve"> </w:t>
      </w:r>
      <w:r>
        <w:t xml:space="preserve">Einstein MH, Zhou N, Gabor L, Sahasrabuddhe VV. Primary Human Papillomavirus Testing and Other New Technologies for Cervical Cancer Screening. Obstet Gynecol. 2023 Nov 01;142(5):1036-1043. doi: 10.1097/AOG.0000000000005393. PMID: 37708516.</w:t>
      </w:r>
    </w:p>
  </w:footnote>
  <w:footnote w:id="217">
    <w:p>
      <w:pPr>
        <w:pStyle w:val="FootnoteText"/>
      </w:pPr>
      <w:r>
        <w:rPr>
          <w:rStyle w:val="FootnoteReference"/>
        </w:rPr>
        <w:footnoteRef/>
      </w:r>
      <w:r>
        <w:t xml:space="preserve"> </w:t>
      </w:r>
      <w:r>
        <w:t xml:space="preserve">Knudsen AB, Trentham-Dietz A, Kim JJ, Mandelblatt JS, Meza R, Zauber AG, et al. Estimated US Cancer Deaths Prevented With Increased Use of Lung, Colorectal, Breast, and Cervical Cancer Screening. JAMA Netw Open. 2023 Nov 01;6(11):e2344698. doi: 10.1001/jamanetworkopen.2023.44698. PMID: 37991759.</w:t>
      </w:r>
    </w:p>
  </w:footnote>
  <w:footnote w:id="218">
    <w:p>
      <w:pPr>
        <w:pStyle w:val="FootnoteText"/>
      </w:pPr>
      <w:r>
        <w:rPr>
          <w:rStyle w:val="FootnoteReference"/>
        </w:rPr>
        <w:footnoteRef/>
      </w:r>
      <w:r>
        <w:t xml:space="preserve"> </w:t>
      </w:r>
      <w:r>
        <w:t xml:space="preserve">Knudsen AB, Trentham-Dietz A, Kim JJ, Mandelblatt JS, Meza R, Zauber AG, et al. Estimated US Cancer Deaths Prevented With Increased Use of Lung, Colorectal, Breast, and Cervical Cancer Screening. JAMA Netw Open. 2023 Nov 01;6(11):e2344698. doi: 10.1001/jamanetworkopen.2023.44698. PMID: 37991759.</w:t>
      </w:r>
    </w:p>
  </w:footnote>
  <w:footnote w:id="219">
    <w:p>
      <w:pPr>
        <w:pStyle w:val="FootnoteText"/>
      </w:pPr>
      <w:r>
        <w:rPr>
          <w:rStyle w:val="FootnoteReference"/>
        </w:rPr>
        <w:footnoteRef/>
      </w:r>
      <w:r>
        <w:t xml:space="preserve"> </w:t>
      </w:r>
      <w:r>
        <w:t xml:space="preserve">Knudsen AB, Trentham-Dietz A, Kim JJ, Mandelblatt JS, Meza R, Zauber AG, et al. Estimated US Cancer Deaths Prevented With Increased Use of Lung, Colorectal, Breast, and Cervical Cancer Screening. JAMA Netw Open. 2023 Nov 01;6(11):e2344698. doi: 10.1001/jamanetworkopen.2023.44698. PMID: 37991759.</w:t>
      </w:r>
    </w:p>
  </w:footnote>
  <w:footnote w:id="220">
    <w:p>
      <w:pPr>
        <w:pStyle w:val="FootnoteText"/>
      </w:pPr>
      <w:r>
        <w:rPr>
          <w:rStyle w:val="FootnoteReference"/>
        </w:rPr>
        <w:footnoteRef/>
      </w:r>
      <w:r>
        <w:t xml:space="preserve"> </w:t>
      </w:r>
      <w:r>
        <w:t xml:space="preserve">Knudsen AB, Trentham-Dietz A, Kim JJ, Mandelblatt JS, Meza R, Zauber AG, et al. Estimated US Cancer Deaths Prevented With Increased Use of Lung, Colorectal, Breast, and Cervical Cancer Screening. JAMA Netw Open. 2023 Nov 01;6(11):e2344698. doi: 10.1001/jamanetworkopen.2023.44698. PMID: 37991759.</w:t>
      </w:r>
    </w:p>
  </w:footnote>
  <w:footnote w:id="221">
    <w:p>
      <w:pPr>
        <w:pStyle w:val="FootnoteText"/>
      </w:pPr>
      <w:r>
        <w:rPr>
          <w:rStyle w:val="FootnoteReference"/>
        </w:rPr>
        <w:footnoteRef/>
      </w:r>
      <w:r>
        <w:t xml:space="preserve"> </w:t>
      </w:r>
      <w:r>
        <w:t xml:space="preserve">Knudsen AB, Trentham-Dietz A, Kim JJ, Mandelblatt JS, Meza R, Zauber AG, et al. Estimated US Cancer Deaths Prevented With Increased Use of Lung, Colorectal, Breast, and Cervical Cancer Screening. JAMA Netw Open. 2023 Nov 01;6(11):e2344698. doi: 10.1001/jamanetworkopen.2023.44698. PMID: 37991759.</w:t>
      </w:r>
    </w:p>
  </w:footnote>
  <w:footnote w:id="222">
    <w:p>
      <w:pPr>
        <w:pStyle w:val="FootnoteText"/>
      </w:pPr>
      <w:r>
        <w:rPr>
          <w:rStyle w:val="FootnoteReference"/>
        </w:rPr>
        <w:footnoteRef/>
      </w:r>
      <w:r>
        <w:t xml:space="preserve"> </w:t>
      </w:r>
      <w:r>
        <w:t xml:space="preserve">Palefsky JM, Lee JY, Jay N, Goldstone SE, Darragh TM, Dunlevy HA, et al. Treatment of Anal High-Grade Squamous Intraepithelial Lesions to Prevent Anal Cancer. N Engl J Med. 2022 Jun 16;386(24):2273-2282. doi: 10.1056/NEJMoa2201048. PMID: 35704479.</w:t>
      </w:r>
    </w:p>
  </w:footnote>
  <w:footnote w:id="223">
    <w:p>
      <w:pPr>
        <w:pStyle w:val="FootnoteText"/>
      </w:pPr>
      <w:r>
        <w:rPr>
          <w:rStyle w:val="FootnoteReference"/>
        </w:rPr>
        <w:footnoteRef/>
      </w:r>
      <w:r>
        <w:t xml:space="preserve"> </w:t>
      </w:r>
      <w:r>
        <w:t xml:space="preserve">Palefsky JM, Lee JY, Jay N, Goldstone SE, Darragh TM, Dunlevy HA, et al. Treatment of Anal High-Grade Squamous Intraepithelial Lesions to Prevent Anal Cancer. N Engl J Med. 2022 Jun 16;386(24):2273-2282. doi: 10.1056/NEJMoa2201048. PMID: 35704479.</w:t>
      </w:r>
    </w:p>
  </w:footnote>
  <w:footnote w:id="224">
    <w:p>
      <w:pPr>
        <w:pStyle w:val="FootnoteText"/>
      </w:pPr>
      <w:r>
        <w:rPr>
          <w:rStyle w:val="FootnoteReference"/>
        </w:rPr>
        <w:footnoteRef/>
      </w:r>
      <w:r>
        <w:t xml:space="preserve"> </w:t>
      </w:r>
      <w:r>
        <w:t xml:space="preserve">Palefsky JM, Lee JY, Jay N, Goldstone SE, Darragh TM, Dunlevy HA, et al. Treatment of Anal High-Grade Squamous Intraepithelial Lesions to Prevent Anal Cancer. N Engl J Med. 2022 Jun 16;386(24):2273-2282. doi: 10.1056/NEJMoa2201048. PMID: 35704479.</w:t>
      </w:r>
    </w:p>
  </w:footnote>
  <w:footnote w:id="225">
    <w:p>
      <w:pPr>
        <w:pStyle w:val="FootnoteText"/>
      </w:pPr>
      <w:r>
        <w:rPr>
          <w:rStyle w:val="FootnoteReference"/>
        </w:rPr>
        <w:footnoteRef/>
      </w:r>
      <w:r>
        <w:t xml:space="preserve"> </w:t>
      </w:r>
      <w:r>
        <w:t xml:space="preserve">Palefsky JM, Lee JY, Jay N, Goldstone SE, Darragh TM, Dunlevy HA, et al. Treatment of Anal High-Grade Squamous Intraepithelial Lesions to Prevent Anal Cancer. N Engl J Med. 2022 Jun 16;386(24):2273-2282. doi: 10.1056/NEJMoa2201048. PMID: 35704479.</w:t>
      </w:r>
    </w:p>
  </w:footnote>
  <w:footnote w:id="226">
    <w:p>
      <w:pPr>
        <w:pStyle w:val="FootnoteText"/>
      </w:pPr>
      <w:r>
        <w:rPr>
          <w:rStyle w:val="FootnoteReference"/>
        </w:rPr>
        <w:footnoteRef/>
      </w:r>
      <w:r>
        <w:t xml:space="preserve"> </w:t>
      </w:r>
      <w:r>
        <w:t xml:space="preserve">Palefsky JM, Lee JY, Jay N, Goldstone SE, Darragh TM, Dunlevy HA, et al. Treatment of Anal High-Grade Squamous Intraepithelial Lesions to Prevent Anal Cancer. N Engl J Med. 2022 Jun 16;386(24):2273-2282. doi: 10.1056/NEJMoa2201048. PMID: 35704479.</w:t>
      </w:r>
    </w:p>
  </w:footnote>
  <w:footnote w:id="227">
    <w:p>
      <w:pPr>
        <w:pStyle w:val="FootnoteText"/>
      </w:pPr>
      <w:r>
        <w:rPr>
          <w:rStyle w:val="FootnoteReference"/>
        </w:rPr>
        <w:footnoteRef/>
      </w:r>
      <w:r>
        <w:t xml:space="preserve"> </w:t>
      </w:r>
      <w:hyperlink r:id="rId228">
        <w:r>
          <w:rPr>
            <w:rStyle w:val="Hyperlink"/>
          </w:rPr>
          <w:t xml:space="preserve">https://www.nidcr.nih.gov/grants-funding/research-funded-by-nidcr-extramural/ahead</w:t>
        </w:r>
      </w:hyperlink>
    </w:p>
  </w:footnote>
  <w:footnote w:id="229">
    <w:p>
      <w:pPr>
        <w:pStyle w:val="FootnoteText"/>
      </w:pPr>
      <w:r>
        <w:rPr>
          <w:rStyle w:val="FootnoteReference"/>
        </w:rPr>
        <w:footnoteRef/>
      </w:r>
      <w:r>
        <w:t xml:space="preserve"> </w:t>
      </w:r>
      <w:hyperlink r:id="rId228">
        <w:r>
          <w:rPr>
            <w:rStyle w:val="Hyperlink"/>
          </w:rPr>
          <w:t xml:space="preserve">https://www.nidcr.nih.gov/grants-funding/research-funded-by-nidcr-extramural/ahead</w:t>
        </w:r>
      </w:hyperlink>
    </w:p>
  </w:footnote>
  <w:footnote w:id="230">
    <w:p>
      <w:pPr>
        <w:pStyle w:val="FootnoteText"/>
      </w:pPr>
      <w:r>
        <w:rPr>
          <w:rStyle w:val="FootnoteReference"/>
        </w:rPr>
        <w:footnoteRef/>
      </w:r>
      <w:r>
        <w:t xml:space="preserve"> </w:t>
      </w:r>
      <w:hyperlink r:id="rId228">
        <w:r>
          <w:rPr>
            <w:rStyle w:val="Hyperlink"/>
          </w:rPr>
          <w:t xml:space="preserve">https://www.nidcr.nih.gov/grants-funding/research-funded-by-nidcr-extramural/ahead</w:t>
        </w:r>
      </w:hyperlink>
    </w:p>
  </w:footnote>
  <w:footnote w:id="231">
    <w:p>
      <w:pPr>
        <w:pStyle w:val="FootnoteText"/>
      </w:pPr>
      <w:r>
        <w:rPr>
          <w:rStyle w:val="FootnoteReference"/>
        </w:rPr>
        <w:footnoteRef/>
      </w:r>
      <w:r>
        <w:t xml:space="preserve"> </w:t>
      </w:r>
      <w:r>
        <w:t xml:space="preserve">Coole JB, Brenes D, Mitbander R, Vohra I, Hou H, Kortum A, et al. Multimodal optical imaging with real-time projection of cancer risk and biopsy guidance maps for early oral cancer diagnosis and treatment. J Biomed Opt. 2023 Jan 13;28(1):016002. doi: 10.1117/1.JBO.28.1.016002. PMID: 36654656.</w:t>
      </w:r>
    </w:p>
  </w:footnote>
  <w:footnote w:id="232">
    <w:p>
      <w:pPr>
        <w:pStyle w:val="FootnoteText"/>
      </w:pPr>
      <w:r>
        <w:rPr>
          <w:rStyle w:val="FootnoteReference"/>
        </w:rPr>
        <w:footnoteRef/>
      </w:r>
      <w:r>
        <w:t xml:space="preserve"> </w:t>
      </w:r>
      <w:r>
        <w:t xml:space="preserve">Coole JB, Brenes D, Mitbander R, Vohra I, Hou H, Kortum A, et al. Multimodal optical imaging with real-time projection of cancer risk and biopsy guidance maps for early oral cancer diagnosis and treatment. J Biomed Opt. 2023 Jan 13;28(1):016002. doi: 10.1117/1.JBO.28.1.016002. PMID: 36654656.</w:t>
      </w:r>
    </w:p>
  </w:footnote>
  <w:footnote w:id="233">
    <w:p>
      <w:pPr>
        <w:pStyle w:val="FootnoteText"/>
      </w:pPr>
      <w:r>
        <w:rPr>
          <w:rStyle w:val="FootnoteReference"/>
        </w:rPr>
        <w:footnoteRef/>
      </w:r>
      <w:r>
        <w:t xml:space="preserve"> </w:t>
      </w:r>
      <w:r>
        <w:t xml:space="preserve">Coole JB, Brenes D, Mitbander R, Vohra I, Hou H, Kortum A, et al. Multimodal optical imaging with real-time projection of cancer risk and biopsy guidance maps for early oral cancer diagnosis and treatment. J Biomed Opt. 2023 Jan 13;28(1):016002. doi: 10.1117/1.JBO.28.1.016002. PMID: 36654656.</w:t>
      </w:r>
    </w:p>
  </w:footnote>
  <w:footnote w:id="235">
    <w:p>
      <w:pPr>
        <w:pStyle w:val="FootnoteText"/>
      </w:pPr>
      <w:r>
        <w:rPr>
          <w:rStyle w:val="FootnoteReference"/>
        </w:rPr>
        <w:footnoteRef/>
      </w:r>
      <w:r>
        <w:t xml:space="preserve"> </w:t>
      </w:r>
      <w:r>
        <w:t xml:space="preserve">Source unavailable</w:t>
      </w:r>
    </w:p>
  </w:footnote>
  <w:footnote w:id="236">
    <w:p>
      <w:pPr>
        <w:pStyle w:val="FootnoteText"/>
      </w:pPr>
      <w:r>
        <w:rPr>
          <w:rStyle w:val="FootnoteReference"/>
        </w:rPr>
        <w:footnoteRef/>
      </w:r>
      <w:r>
        <w:t xml:space="preserve"> </w:t>
      </w:r>
      <w:r>
        <w:t xml:space="preserve">Source unavailable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527405"/>
    <w:multiLevelType w:val="multilevel"/>
    <w:tmpl w:val="F2ECD716"/>
    <w:lvl w:ilvl="0">
      <w:start w:val="1"/>
      <w:numFmt w:val="decimal"/>
      <w:lvlText w:val="%1."/>
      <w:lvlJc w:val="left"/>
      <w:pPr>
        <w:tabs>
          <w:tab w:pos="360" w:val="num"/>
        </w:tabs>
        <w:ind w:hanging="360" w:left="360"/>
      </w:pPr>
    </w:lvl>
    <w:lvl w:ilvl="1" w:tentative="1">
      <w:start w:val="1"/>
      <w:numFmt w:val="decimal"/>
      <w:lvlText w:val="%2."/>
      <w:lvlJc w:val="left"/>
      <w:pPr>
        <w:tabs>
          <w:tab w:pos="1080" w:val="num"/>
        </w:tabs>
        <w:ind w:hanging="360" w:left="1080"/>
      </w:pPr>
    </w:lvl>
    <w:lvl w:ilvl="2" w:tentative="1">
      <w:start w:val="1"/>
      <w:numFmt w:val="decimal"/>
      <w:lvlText w:val="%3."/>
      <w:lvlJc w:val="left"/>
      <w:pPr>
        <w:tabs>
          <w:tab w:pos="1800" w:val="num"/>
        </w:tabs>
        <w:ind w:hanging="360" w:left="1800"/>
      </w:pPr>
    </w:lvl>
    <w:lvl w:ilvl="3" w:tentative="1">
      <w:start w:val="1"/>
      <w:numFmt w:val="decimal"/>
      <w:lvlText w:val="%4."/>
      <w:lvlJc w:val="left"/>
      <w:pPr>
        <w:tabs>
          <w:tab w:pos="2520" w:val="num"/>
        </w:tabs>
        <w:ind w:hanging="360" w:left="2520"/>
      </w:pPr>
    </w:lvl>
    <w:lvl w:ilvl="4" w:tentative="1">
      <w:start w:val="1"/>
      <w:numFmt w:val="decimal"/>
      <w:lvlText w:val="%5."/>
      <w:lvlJc w:val="left"/>
      <w:pPr>
        <w:tabs>
          <w:tab w:pos="3240" w:val="num"/>
        </w:tabs>
        <w:ind w:hanging="360" w:left="3240"/>
      </w:pPr>
    </w:lvl>
    <w:lvl w:ilvl="5" w:tentative="1">
      <w:start w:val="1"/>
      <w:numFmt w:val="decimal"/>
      <w:lvlText w:val="%6."/>
      <w:lvlJc w:val="left"/>
      <w:pPr>
        <w:tabs>
          <w:tab w:pos="3960" w:val="num"/>
        </w:tabs>
        <w:ind w:hanging="360" w:left="3960"/>
      </w:pPr>
    </w:lvl>
    <w:lvl w:ilvl="6" w:tentative="1">
      <w:start w:val="1"/>
      <w:numFmt w:val="decimal"/>
      <w:lvlText w:val="%7."/>
      <w:lvlJc w:val="left"/>
      <w:pPr>
        <w:tabs>
          <w:tab w:pos="4680" w:val="num"/>
        </w:tabs>
        <w:ind w:hanging="360" w:left="4680"/>
      </w:pPr>
    </w:lvl>
    <w:lvl w:ilvl="7" w:tentative="1">
      <w:start w:val="1"/>
      <w:numFmt w:val="decimal"/>
      <w:lvlText w:val="%8."/>
      <w:lvlJc w:val="left"/>
      <w:pPr>
        <w:tabs>
          <w:tab w:pos="5400" w:val="num"/>
        </w:tabs>
        <w:ind w:hanging="360" w:left="5400"/>
      </w:pPr>
    </w:lvl>
    <w:lvl w:ilvl="8" w:tentative="1">
      <w:start w:val="1"/>
      <w:numFmt w:val="decimal"/>
      <w:lvlText w:val="%9."/>
      <w:lvlJc w:val="left"/>
      <w:pPr>
        <w:tabs>
          <w:tab w:pos="6120" w:val="num"/>
        </w:tabs>
        <w:ind w:hanging="360" w:left="6120"/>
      </w:pPr>
    </w:lvl>
  </w:abstractNum>
  <w:abstractNum w15:restartNumberingAfterBreak="0" w:abstractNumId="1">
    <w:nsid w:val="1D0C09C3"/>
    <w:multiLevelType w:val="multilevel"/>
    <w:tmpl w:val="386E57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
    <w:nsid w:val="426602B9"/>
    <w:multiLevelType w:val="multilevel"/>
    <w:tmpl w:val="5B52D94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4CD95EB1"/>
    <w:multiLevelType w:val="multilevel"/>
    <w:tmpl w:val="EAAC8A9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736D6DEE"/>
    <w:multiLevelType w:val="multilevel"/>
    <w:tmpl w:val="F2ECD71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348683342" w:numId="1">
    <w:abstractNumId w:val="3"/>
  </w:num>
  <w:num w16cid:durableId="2145081783" w:numId="2">
    <w:abstractNumId w:val="4"/>
  </w:num>
  <w:num w16cid:durableId="695812795" w:numId="3">
    <w:abstractNumId w:val="0"/>
  </w:num>
  <w:num w16cid:durableId="1274676838" w:numId="4">
    <w:abstractNumId w:val="2"/>
  </w:num>
  <w:num w16cid:durableId="418017339" w:numId="5">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4E3160"/>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4E3160"/>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unhideWhenUsed/>
    <w:qFormat/>
    <w:rsid w:val="004E3160"/>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4E3160"/>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4E3160"/>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4E3160"/>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4E3160"/>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4E3160"/>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4E3160"/>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4E3160"/>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4E3160"/>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4E3160"/>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4E3160"/>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4E3160"/>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4E3160"/>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4E3160"/>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4E3160"/>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4E3160"/>
    <w:rPr>
      <w:rFonts w:cstheme="majorBidi" w:eastAsiaTheme="majorEastAsia"/>
      <w:color w:themeColor="text1" w:themeTint="D8" w:val="272727"/>
    </w:rPr>
  </w:style>
  <w:style w:styleId="Title" w:type="paragraph">
    <w:name w:val="Title"/>
    <w:basedOn w:val="Normal"/>
    <w:next w:val="Normal"/>
    <w:link w:val="TitleChar"/>
    <w:uiPriority w:val="10"/>
    <w:qFormat/>
    <w:rsid w:val="004E3160"/>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4E3160"/>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4E3160"/>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4E3160"/>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4E3160"/>
    <w:pPr>
      <w:spacing w:before="160"/>
      <w:jc w:val="center"/>
    </w:pPr>
    <w:rPr>
      <w:i/>
      <w:iCs/>
      <w:color w:themeColor="text1" w:themeTint="BF" w:val="404040"/>
    </w:rPr>
  </w:style>
  <w:style w:customStyle="1" w:styleId="QuoteChar" w:type="character">
    <w:name w:val="Quote Char"/>
    <w:basedOn w:val="DefaultParagraphFont"/>
    <w:link w:val="Quote"/>
    <w:uiPriority w:val="29"/>
    <w:rsid w:val="004E3160"/>
    <w:rPr>
      <w:i/>
      <w:iCs/>
      <w:color w:themeColor="text1" w:themeTint="BF" w:val="404040"/>
    </w:rPr>
  </w:style>
  <w:style w:styleId="ListParagraph" w:type="paragraph">
    <w:name w:val="List Paragraph"/>
    <w:basedOn w:val="Normal"/>
    <w:uiPriority w:val="34"/>
    <w:qFormat/>
    <w:rsid w:val="004E3160"/>
    <w:pPr>
      <w:ind w:left="720"/>
      <w:contextualSpacing/>
    </w:pPr>
  </w:style>
  <w:style w:styleId="IntenseEmphasis" w:type="character">
    <w:name w:val="Intense Emphasis"/>
    <w:basedOn w:val="DefaultParagraphFont"/>
    <w:uiPriority w:val="21"/>
    <w:qFormat/>
    <w:rsid w:val="004E3160"/>
    <w:rPr>
      <w:i/>
      <w:iCs/>
      <w:color w:themeColor="accent1" w:themeShade="BF" w:val="0F4761"/>
    </w:rPr>
  </w:style>
  <w:style w:styleId="IntenseQuote" w:type="paragraph">
    <w:name w:val="Intense Quote"/>
    <w:basedOn w:val="Normal"/>
    <w:next w:val="Normal"/>
    <w:link w:val="IntenseQuoteChar"/>
    <w:uiPriority w:val="30"/>
    <w:qFormat/>
    <w:rsid w:val="004E3160"/>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4E3160"/>
    <w:rPr>
      <w:i/>
      <w:iCs/>
      <w:color w:themeColor="accent1" w:themeShade="BF" w:val="0F4761"/>
    </w:rPr>
  </w:style>
  <w:style w:styleId="IntenseReference" w:type="character">
    <w:name w:val="Intense Reference"/>
    <w:basedOn w:val="DefaultParagraphFont"/>
    <w:uiPriority w:val="32"/>
    <w:qFormat/>
    <w:rsid w:val="004E3160"/>
    <w:rPr>
      <w:b/>
      <w:bCs/>
      <w:smallCaps/>
      <w:color w:themeColor="accent1" w:themeShade="BF" w:val="0F4761"/>
      <w:spacing w:val="5"/>
    </w:rPr>
  </w:style>
  <w:style w:styleId="Hyperlink" w:type="character">
    <w:name w:val="Hyperlink"/>
    <w:basedOn w:val="DefaultParagraphFont"/>
    <w:uiPriority w:val="99"/>
    <w:unhideWhenUsed/>
    <w:rsid w:val="004E3160"/>
    <w:rPr>
      <w:color w:themeColor="hyperlink" w:val="467886"/>
      <w:u w:val="single"/>
    </w:rPr>
  </w:style>
  <w:style w:styleId="UnresolvedMention" w:type="character">
    <w:name w:val="Unresolved Mention"/>
    <w:basedOn w:val="DefaultParagraphFont"/>
    <w:uiPriority w:val="99"/>
    <w:semiHidden/>
    <w:unhideWhenUsed/>
    <w:rsid w:val="004E3160"/>
    <w:rPr>
      <w:color w:val="605E5C"/>
      <w:shd w:color="auto" w:fill="E1DFDD" w:val="clear"/>
    </w:rPr>
  </w:style>
  <w:style w:styleId="FootnoteText" w:type="paragraph">
    <w:name w:val="footnote text"/>
    <w:basedOn w:val="Normal"/>
    <w:link w:val="FootnoteTextChar"/>
    <w:uiPriority w:val="99"/>
    <w:unhideWhenUsed/>
    <w:rsid w:val="004E3160"/>
    <w:pPr>
      <w:spacing w:after="0" w:line="240" w:lineRule="auto"/>
    </w:pPr>
    <w:rPr>
      <w:sz w:val="20"/>
      <w:szCs w:val="20"/>
    </w:rPr>
  </w:style>
  <w:style w:customStyle="1" w:styleId="FootnoteTextChar" w:type="character">
    <w:name w:val="Footnote Text Char"/>
    <w:basedOn w:val="DefaultParagraphFont"/>
    <w:link w:val="FootnoteText"/>
    <w:uiPriority w:val="99"/>
    <w:rsid w:val="004E3160"/>
    <w:rPr>
      <w:sz w:val="20"/>
      <w:szCs w:val="20"/>
    </w:rPr>
  </w:style>
  <w:style w:styleId="FootnoteReference" w:type="character">
    <w:name w:val="footnote reference"/>
    <w:basedOn w:val="DefaultParagraphFont"/>
    <w:uiPriority w:val="99"/>
    <w:semiHidden/>
    <w:unhideWhenUsed/>
    <w:rsid w:val="004E3160"/>
    <w:rPr>
      <w:vertAlign w:val="superscript"/>
    </w:rPr>
  </w:style>
  <w:style w:styleId="FollowedHyperlink" w:type="character">
    <w:name w:val="FollowedHyperlink"/>
    <w:basedOn w:val="DefaultParagraphFont"/>
    <w:uiPriority w:val="99"/>
    <w:semiHidden/>
    <w:unhideWhenUsed/>
    <w:rsid w:val="008B4B9A"/>
    <w:rPr>
      <w:color w:themeColor="followedHyperlink" w:val="96607D"/>
      <w:u w:val="single"/>
    </w:rPr>
  </w:style>
  <w:style w:styleId="CommentReference" w:type="character">
    <w:name w:val="annotation reference"/>
    <w:basedOn w:val="DefaultParagraphFont"/>
    <w:uiPriority w:val="99"/>
    <w:semiHidden/>
    <w:unhideWhenUsed/>
    <w:rsid w:val="00AB2A26"/>
    <w:rPr>
      <w:sz w:val="16"/>
      <w:szCs w:val="16"/>
    </w:rPr>
  </w:style>
  <w:style w:styleId="CommentText" w:type="paragraph">
    <w:name w:val="annotation text"/>
    <w:basedOn w:val="Normal"/>
    <w:link w:val="CommentTextChar"/>
    <w:uiPriority w:val="99"/>
    <w:unhideWhenUsed/>
    <w:rsid w:val="00AB2A26"/>
    <w:pPr>
      <w:spacing w:line="240" w:lineRule="auto"/>
    </w:pPr>
    <w:rPr>
      <w:sz w:val="20"/>
      <w:szCs w:val="20"/>
    </w:rPr>
  </w:style>
  <w:style w:customStyle="1" w:styleId="CommentTextChar" w:type="character">
    <w:name w:val="Comment Text Char"/>
    <w:basedOn w:val="DefaultParagraphFont"/>
    <w:link w:val="CommentText"/>
    <w:uiPriority w:val="99"/>
    <w:rsid w:val="00AB2A26"/>
    <w:rPr>
      <w:sz w:val="20"/>
      <w:szCs w:val="20"/>
    </w:rPr>
  </w:style>
  <w:style w:styleId="CommentSubject" w:type="paragraph">
    <w:name w:val="annotation subject"/>
    <w:basedOn w:val="CommentText"/>
    <w:next w:val="CommentText"/>
    <w:link w:val="CommentSubjectChar"/>
    <w:uiPriority w:val="99"/>
    <w:semiHidden/>
    <w:unhideWhenUsed/>
    <w:rsid w:val="00AB2A26"/>
    <w:rPr>
      <w:b/>
      <w:bCs/>
    </w:rPr>
  </w:style>
  <w:style w:customStyle="1" w:styleId="CommentSubjectChar" w:type="character">
    <w:name w:val="Comment Subject Char"/>
    <w:basedOn w:val="CommentTextChar"/>
    <w:link w:val="CommentSubject"/>
    <w:uiPriority w:val="99"/>
    <w:semiHidden/>
    <w:rsid w:val="00AB2A26"/>
    <w:rPr>
      <w:b/>
      <w:bCs/>
      <w:sz w:val="20"/>
      <w:szCs w:val="20"/>
    </w:rPr>
  </w:style>
  <w:style w:styleId="Strong" w:type="character">
    <w:name w:val="Strong"/>
    <w:basedOn w:val="DefaultParagraphFont"/>
    <w:uiPriority w:val="22"/>
    <w:qFormat/>
    <w:rsid w:val="00B353A6"/>
    <w:rPr>
      <w:b/>
      <w:bCs/>
    </w:rPr>
  </w:style>
  <w:style w:styleId="NormalWeb" w:type="paragraph">
    <w:name w:val="Normal (Web)"/>
    <w:basedOn w:val="Normal"/>
    <w:uiPriority w:val="99"/>
    <w:unhideWhenUsed/>
    <w:rsid w:val="00B353A6"/>
    <w:pPr>
      <w:spacing w:after="100" w:afterAutospacing="1" w:before="100" w:beforeAutospacing="1" w:line="240" w:lineRule="auto"/>
    </w:pPr>
    <w:rPr>
      <w:rFonts w:ascii="Times New Roman" w:cs="Times New Roman" w:eastAsia="Times New Roman" w:hAnsi="Times New Roman"/>
      <w:kern w:val="0"/>
      <w:sz w:val="24"/>
      <w:szCs w:val="24"/>
    </w:rPr>
  </w:style>
  <w:style w:styleId="Emphasis" w:type="character">
    <w:name w:val="Emphasis"/>
    <w:basedOn w:val="DefaultParagraphFont"/>
    <w:uiPriority w:val="20"/>
    <w:qFormat/>
    <w:rsid w:val="00B353A6"/>
    <w:rPr>
      <w:i/>
      <w:iCs/>
    </w:rPr>
  </w:style>
  <w:style w:customStyle="1" w:styleId="ms-1" w:type="character">
    <w:name w:val="ms-1"/>
    <w:basedOn w:val="DefaultParagraphFont"/>
    <w:rsid w:val="004245D1"/>
  </w:style>
  <w:style w:customStyle="1" w:styleId="max-w-full" w:type="character">
    <w:name w:val="max-w-full"/>
    <w:basedOn w:val="DefaultParagraphFont"/>
    <w:rsid w:val="004245D1"/>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6951">
      <w:bodyDiv w:val="1"/>
      <w:marLeft w:val="0"/>
      <w:marRight w:val="0"/>
      <w:marTop w:val="0"/>
      <w:marBottom w:val="0"/>
      <w:divBdr>
        <w:top w:val="none" w:sz="0" w:space="0" w:color="auto"/>
        <w:left w:val="none" w:sz="0" w:space="0" w:color="auto"/>
        <w:bottom w:val="none" w:sz="0" w:space="0" w:color="auto"/>
        <w:right w:val="none" w:sz="0" w:space="0" w:color="auto"/>
      </w:divBdr>
    </w:div>
    <w:div w:id="27075835">
      <w:bodyDiv w:val="1"/>
      <w:marLeft w:val="0"/>
      <w:marRight w:val="0"/>
      <w:marTop w:val="0"/>
      <w:marBottom w:val="0"/>
      <w:divBdr>
        <w:top w:val="none" w:sz="0" w:space="0" w:color="auto"/>
        <w:left w:val="none" w:sz="0" w:space="0" w:color="auto"/>
        <w:bottom w:val="none" w:sz="0" w:space="0" w:color="auto"/>
        <w:right w:val="none" w:sz="0" w:space="0" w:color="auto"/>
      </w:divBdr>
    </w:div>
    <w:div w:id="40137269">
      <w:bodyDiv w:val="1"/>
      <w:marLeft w:val="0"/>
      <w:marRight w:val="0"/>
      <w:marTop w:val="0"/>
      <w:marBottom w:val="0"/>
      <w:divBdr>
        <w:top w:val="none" w:sz="0" w:space="0" w:color="auto"/>
        <w:left w:val="none" w:sz="0" w:space="0" w:color="auto"/>
        <w:bottom w:val="none" w:sz="0" w:space="0" w:color="auto"/>
        <w:right w:val="none" w:sz="0" w:space="0" w:color="auto"/>
      </w:divBdr>
    </w:div>
    <w:div w:id="53044526">
      <w:bodyDiv w:val="1"/>
      <w:marLeft w:val="0"/>
      <w:marRight w:val="0"/>
      <w:marTop w:val="0"/>
      <w:marBottom w:val="0"/>
      <w:divBdr>
        <w:top w:val="none" w:sz="0" w:space="0" w:color="auto"/>
        <w:left w:val="none" w:sz="0" w:space="0" w:color="auto"/>
        <w:bottom w:val="none" w:sz="0" w:space="0" w:color="auto"/>
        <w:right w:val="none" w:sz="0" w:space="0" w:color="auto"/>
      </w:divBdr>
    </w:div>
    <w:div w:id="74135187">
      <w:bodyDiv w:val="1"/>
      <w:marLeft w:val="0"/>
      <w:marRight w:val="0"/>
      <w:marTop w:val="0"/>
      <w:marBottom w:val="0"/>
      <w:divBdr>
        <w:top w:val="none" w:sz="0" w:space="0" w:color="auto"/>
        <w:left w:val="none" w:sz="0" w:space="0" w:color="auto"/>
        <w:bottom w:val="none" w:sz="0" w:space="0" w:color="auto"/>
        <w:right w:val="none" w:sz="0" w:space="0" w:color="auto"/>
      </w:divBdr>
    </w:div>
    <w:div w:id="91046768">
      <w:bodyDiv w:val="1"/>
      <w:marLeft w:val="0"/>
      <w:marRight w:val="0"/>
      <w:marTop w:val="0"/>
      <w:marBottom w:val="0"/>
      <w:divBdr>
        <w:top w:val="none" w:sz="0" w:space="0" w:color="auto"/>
        <w:left w:val="none" w:sz="0" w:space="0" w:color="auto"/>
        <w:bottom w:val="none" w:sz="0" w:space="0" w:color="auto"/>
        <w:right w:val="none" w:sz="0" w:space="0" w:color="auto"/>
      </w:divBdr>
    </w:div>
    <w:div w:id="92939633">
      <w:bodyDiv w:val="1"/>
      <w:marLeft w:val="0"/>
      <w:marRight w:val="0"/>
      <w:marTop w:val="0"/>
      <w:marBottom w:val="0"/>
      <w:divBdr>
        <w:top w:val="none" w:sz="0" w:space="0" w:color="auto"/>
        <w:left w:val="none" w:sz="0" w:space="0" w:color="auto"/>
        <w:bottom w:val="none" w:sz="0" w:space="0" w:color="auto"/>
        <w:right w:val="none" w:sz="0" w:space="0" w:color="auto"/>
      </w:divBdr>
    </w:div>
    <w:div w:id="97917714">
      <w:bodyDiv w:val="1"/>
      <w:marLeft w:val="0"/>
      <w:marRight w:val="0"/>
      <w:marTop w:val="0"/>
      <w:marBottom w:val="0"/>
      <w:divBdr>
        <w:top w:val="none" w:sz="0" w:space="0" w:color="auto"/>
        <w:left w:val="none" w:sz="0" w:space="0" w:color="auto"/>
        <w:bottom w:val="none" w:sz="0" w:space="0" w:color="auto"/>
        <w:right w:val="none" w:sz="0" w:space="0" w:color="auto"/>
      </w:divBdr>
      <w:divsChild>
        <w:div w:id="211118134">
          <w:marLeft w:val="0"/>
          <w:marRight w:val="0"/>
          <w:marTop w:val="0"/>
          <w:marBottom w:val="0"/>
          <w:divBdr>
            <w:top w:val="none" w:sz="0" w:space="0" w:color="auto"/>
            <w:left w:val="none" w:sz="0" w:space="0" w:color="auto"/>
            <w:bottom w:val="none" w:sz="0" w:space="0" w:color="auto"/>
            <w:right w:val="none" w:sz="0" w:space="0" w:color="auto"/>
          </w:divBdr>
          <w:divsChild>
            <w:div w:id="685014362">
              <w:marLeft w:val="0"/>
              <w:marRight w:val="0"/>
              <w:marTop w:val="0"/>
              <w:marBottom w:val="0"/>
              <w:divBdr>
                <w:top w:val="none" w:sz="0" w:space="0" w:color="auto"/>
                <w:left w:val="none" w:sz="0" w:space="0" w:color="auto"/>
                <w:bottom w:val="none" w:sz="0" w:space="0" w:color="auto"/>
                <w:right w:val="none" w:sz="0" w:space="0" w:color="auto"/>
              </w:divBdr>
              <w:divsChild>
                <w:div w:id="1883055733">
                  <w:marLeft w:val="0"/>
                  <w:marRight w:val="0"/>
                  <w:marTop w:val="0"/>
                  <w:marBottom w:val="0"/>
                  <w:divBdr>
                    <w:top w:val="none" w:sz="0" w:space="0" w:color="auto"/>
                    <w:left w:val="none" w:sz="0" w:space="0" w:color="auto"/>
                    <w:bottom w:val="none" w:sz="0" w:space="0" w:color="auto"/>
                    <w:right w:val="none" w:sz="0" w:space="0" w:color="auto"/>
                  </w:divBdr>
                  <w:divsChild>
                    <w:div w:id="16929677">
                      <w:marLeft w:val="0"/>
                      <w:marRight w:val="0"/>
                      <w:marTop w:val="0"/>
                      <w:marBottom w:val="0"/>
                      <w:divBdr>
                        <w:top w:val="none" w:sz="0" w:space="0" w:color="auto"/>
                        <w:left w:val="none" w:sz="0" w:space="0" w:color="auto"/>
                        <w:bottom w:val="none" w:sz="0" w:space="0" w:color="auto"/>
                        <w:right w:val="none" w:sz="0" w:space="0" w:color="auto"/>
                      </w:divBdr>
                      <w:divsChild>
                        <w:div w:id="559755688">
                          <w:marLeft w:val="0"/>
                          <w:marRight w:val="0"/>
                          <w:marTop w:val="0"/>
                          <w:marBottom w:val="0"/>
                          <w:divBdr>
                            <w:top w:val="none" w:sz="0" w:space="0" w:color="auto"/>
                            <w:left w:val="none" w:sz="0" w:space="0" w:color="auto"/>
                            <w:bottom w:val="none" w:sz="0" w:space="0" w:color="auto"/>
                            <w:right w:val="none" w:sz="0" w:space="0" w:color="auto"/>
                          </w:divBdr>
                          <w:divsChild>
                            <w:div w:id="7279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5000161">
                  <w:marLeft w:val="0"/>
                  <w:marRight w:val="0"/>
                  <w:marTop w:val="0"/>
                  <w:marBottom w:val="0"/>
                  <w:divBdr>
                    <w:top w:val="none" w:sz="0" w:space="0" w:color="auto"/>
                    <w:left w:val="none" w:sz="0" w:space="0" w:color="auto"/>
                    <w:bottom w:val="none" w:sz="0" w:space="0" w:color="auto"/>
                    <w:right w:val="none" w:sz="0" w:space="0" w:color="auto"/>
                  </w:divBdr>
                  <w:divsChild>
                    <w:div w:id="1391926422">
                      <w:marLeft w:val="0"/>
                      <w:marRight w:val="0"/>
                      <w:marTop w:val="0"/>
                      <w:marBottom w:val="0"/>
                      <w:divBdr>
                        <w:top w:val="none" w:sz="0" w:space="0" w:color="auto"/>
                        <w:left w:val="none" w:sz="0" w:space="0" w:color="auto"/>
                        <w:bottom w:val="none" w:sz="0" w:space="0" w:color="auto"/>
                        <w:right w:val="none" w:sz="0" w:space="0" w:color="auto"/>
                      </w:divBdr>
                      <w:divsChild>
                        <w:div w:id="943266560">
                          <w:marLeft w:val="0"/>
                          <w:marRight w:val="0"/>
                          <w:marTop w:val="0"/>
                          <w:marBottom w:val="0"/>
                          <w:divBdr>
                            <w:top w:val="none" w:sz="0" w:space="0" w:color="auto"/>
                            <w:left w:val="none" w:sz="0" w:space="0" w:color="auto"/>
                            <w:bottom w:val="none" w:sz="0" w:space="0" w:color="auto"/>
                            <w:right w:val="none" w:sz="0" w:space="0" w:color="auto"/>
                          </w:divBdr>
                          <w:divsChild>
                            <w:div w:id="552235384">
                              <w:marLeft w:val="0"/>
                              <w:marRight w:val="0"/>
                              <w:marTop w:val="0"/>
                              <w:marBottom w:val="0"/>
                              <w:divBdr>
                                <w:top w:val="none" w:sz="0" w:space="0" w:color="auto"/>
                                <w:left w:val="none" w:sz="0" w:space="0" w:color="auto"/>
                                <w:bottom w:val="none" w:sz="0" w:space="0" w:color="auto"/>
                                <w:right w:val="none" w:sz="0" w:space="0" w:color="auto"/>
                              </w:divBdr>
                              <w:divsChild>
                                <w:div w:id="321397650">
                                  <w:marLeft w:val="0"/>
                                  <w:marRight w:val="0"/>
                                  <w:marTop w:val="0"/>
                                  <w:marBottom w:val="0"/>
                                  <w:divBdr>
                                    <w:top w:val="none" w:sz="0" w:space="0" w:color="auto"/>
                                    <w:left w:val="none" w:sz="0" w:space="0" w:color="auto"/>
                                    <w:bottom w:val="none" w:sz="0" w:space="0" w:color="auto"/>
                                    <w:right w:val="none" w:sz="0" w:space="0" w:color="auto"/>
                                  </w:divBdr>
                                  <w:divsChild>
                                    <w:div w:id="1804493681">
                                      <w:marLeft w:val="0"/>
                                      <w:marRight w:val="0"/>
                                      <w:marTop w:val="0"/>
                                      <w:marBottom w:val="0"/>
                                      <w:divBdr>
                                        <w:top w:val="none" w:sz="0" w:space="0" w:color="auto"/>
                                        <w:left w:val="none" w:sz="0" w:space="0" w:color="auto"/>
                                        <w:bottom w:val="none" w:sz="0" w:space="0" w:color="auto"/>
                                        <w:right w:val="none" w:sz="0" w:space="0" w:color="auto"/>
                                      </w:divBdr>
                                    </w:div>
                                  </w:divsChild>
                                </w:div>
                                <w:div w:id="1083574202">
                                  <w:marLeft w:val="0"/>
                                  <w:marRight w:val="0"/>
                                  <w:marTop w:val="0"/>
                                  <w:marBottom w:val="0"/>
                                  <w:divBdr>
                                    <w:top w:val="none" w:sz="0" w:space="0" w:color="auto"/>
                                    <w:left w:val="none" w:sz="0" w:space="0" w:color="auto"/>
                                    <w:bottom w:val="none" w:sz="0" w:space="0" w:color="auto"/>
                                    <w:right w:val="none" w:sz="0" w:space="0" w:color="auto"/>
                                  </w:divBdr>
                                  <w:divsChild>
                                    <w:div w:id="527909347">
                                      <w:marLeft w:val="0"/>
                                      <w:marRight w:val="0"/>
                                      <w:marTop w:val="0"/>
                                      <w:marBottom w:val="0"/>
                                      <w:divBdr>
                                        <w:top w:val="none" w:sz="0" w:space="0" w:color="auto"/>
                                        <w:left w:val="none" w:sz="0" w:space="0" w:color="auto"/>
                                        <w:bottom w:val="none" w:sz="0" w:space="0" w:color="auto"/>
                                        <w:right w:val="none" w:sz="0" w:space="0" w:color="auto"/>
                                      </w:divBdr>
                                    </w:div>
                                  </w:divsChild>
                                </w:div>
                                <w:div w:id="1800102433">
                                  <w:marLeft w:val="0"/>
                                  <w:marRight w:val="0"/>
                                  <w:marTop w:val="0"/>
                                  <w:marBottom w:val="0"/>
                                  <w:divBdr>
                                    <w:top w:val="none" w:sz="0" w:space="0" w:color="auto"/>
                                    <w:left w:val="none" w:sz="0" w:space="0" w:color="auto"/>
                                    <w:bottom w:val="none" w:sz="0" w:space="0" w:color="auto"/>
                                    <w:right w:val="none" w:sz="0" w:space="0" w:color="auto"/>
                                  </w:divBdr>
                                  <w:divsChild>
                                    <w:div w:id="183502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65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848897">
                  <w:marLeft w:val="0"/>
                  <w:marRight w:val="0"/>
                  <w:marTop w:val="0"/>
                  <w:marBottom w:val="0"/>
                  <w:divBdr>
                    <w:top w:val="none" w:sz="0" w:space="0" w:color="auto"/>
                    <w:left w:val="none" w:sz="0" w:space="0" w:color="auto"/>
                    <w:bottom w:val="none" w:sz="0" w:space="0" w:color="auto"/>
                    <w:right w:val="none" w:sz="0" w:space="0" w:color="auto"/>
                  </w:divBdr>
                  <w:divsChild>
                    <w:div w:id="193489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46784">
      <w:bodyDiv w:val="1"/>
      <w:marLeft w:val="0"/>
      <w:marRight w:val="0"/>
      <w:marTop w:val="0"/>
      <w:marBottom w:val="0"/>
      <w:divBdr>
        <w:top w:val="none" w:sz="0" w:space="0" w:color="auto"/>
        <w:left w:val="none" w:sz="0" w:space="0" w:color="auto"/>
        <w:bottom w:val="none" w:sz="0" w:space="0" w:color="auto"/>
        <w:right w:val="none" w:sz="0" w:space="0" w:color="auto"/>
      </w:divBdr>
    </w:div>
    <w:div w:id="112670761">
      <w:bodyDiv w:val="1"/>
      <w:marLeft w:val="0"/>
      <w:marRight w:val="0"/>
      <w:marTop w:val="0"/>
      <w:marBottom w:val="0"/>
      <w:divBdr>
        <w:top w:val="none" w:sz="0" w:space="0" w:color="auto"/>
        <w:left w:val="none" w:sz="0" w:space="0" w:color="auto"/>
        <w:bottom w:val="none" w:sz="0" w:space="0" w:color="auto"/>
        <w:right w:val="none" w:sz="0" w:space="0" w:color="auto"/>
      </w:divBdr>
    </w:div>
    <w:div w:id="141624202">
      <w:bodyDiv w:val="1"/>
      <w:marLeft w:val="0"/>
      <w:marRight w:val="0"/>
      <w:marTop w:val="0"/>
      <w:marBottom w:val="0"/>
      <w:divBdr>
        <w:top w:val="none" w:sz="0" w:space="0" w:color="auto"/>
        <w:left w:val="none" w:sz="0" w:space="0" w:color="auto"/>
        <w:bottom w:val="none" w:sz="0" w:space="0" w:color="auto"/>
        <w:right w:val="none" w:sz="0" w:space="0" w:color="auto"/>
      </w:divBdr>
    </w:div>
    <w:div w:id="174003883">
      <w:bodyDiv w:val="1"/>
      <w:marLeft w:val="0"/>
      <w:marRight w:val="0"/>
      <w:marTop w:val="0"/>
      <w:marBottom w:val="0"/>
      <w:divBdr>
        <w:top w:val="none" w:sz="0" w:space="0" w:color="auto"/>
        <w:left w:val="none" w:sz="0" w:space="0" w:color="auto"/>
        <w:bottom w:val="none" w:sz="0" w:space="0" w:color="auto"/>
        <w:right w:val="none" w:sz="0" w:space="0" w:color="auto"/>
      </w:divBdr>
    </w:div>
    <w:div w:id="190190362">
      <w:bodyDiv w:val="1"/>
      <w:marLeft w:val="0"/>
      <w:marRight w:val="0"/>
      <w:marTop w:val="0"/>
      <w:marBottom w:val="0"/>
      <w:divBdr>
        <w:top w:val="none" w:sz="0" w:space="0" w:color="auto"/>
        <w:left w:val="none" w:sz="0" w:space="0" w:color="auto"/>
        <w:bottom w:val="none" w:sz="0" w:space="0" w:color="auto"/>
        <w:right w:val="none" w:sz="0" w:space="0" w:color="auto"/>
      </w:divBdr>
    </w:div>
    <w:div w:id="207840459">
      <w:bodyDiv w:val="1"/>
      <w:marLeft w:val="0"/>
      <w:marRight w:val="0"/>
      <w:marTop w:val="0"/>
      <w:marBottom w:val="0"/>
      <w:divBdr>
        <w:top w:val="none" w:sz="0" w:space="0" w:color="auto"/>
        <w:left w:val="none" w:sz="0" w:space="0" w:color="auto"/>
        <w:bottom w:val="none" w:sz="0" w:space="0" w:color="auto"/>
        <w:right w:val="none" w:sz="0" w:space="0" w:color="auto"/>
      </w:divBdr>
    </w:div>
    <w:div w:id="208998097">
      <w:bodyDiv w:val="1"/>
      <w:marLeft w:val="0"/>
      <w:marRight w:val="0"/>
      <w:marTop w:val="0"/>
      <w:marBottom w:val="0"/>
      <w:divBdr>
        <w:top w:val="none" w:sz="0" w:space="0" w:color="auto"/>
        <w:left w:val="none" w:sz="0" w:space="0" w:color="auto"/>
        <w:bottom w:val="none" w:sz="0" w:space="0" w:color="auto"/>
        <w:right w:val="none" w:sz="0" w:space="0" w:color="auto"/>
      </w:divBdr>
    </w:div>
    <w:div w:id="218899899">
      <w:bodyDiv w:val="1"/>
      <w:marLeft w:val="0"/>
      <w:marRight w:val="0"/>
      <w:marTop w:val="0"/>
      <w:marBottom w:val="0"/>
      <w:divBdr>
        <w:top w:val="none" w:sz="0" w:space="0" w:color="auto"/>
        <w:left w:val="none" w:sz="0" w:space="0" w:color="auto"/>
        <w:bottom w:val="none" w:sz="0" w:space="0" w:color="auto"/>
        <w:right w:val="none" w:sz="0" w:space="0" w:color="auto"/>
      </w:divBdr>
    </w:div>
    <w:div w:id="233318626">
      <w:bodyDiv w:val="1"/>
      <w:marLeft w:val="0"/>
      <w:marRight w:val="0"/>
      <w:marTop w:val="0"/>
      <w:marBottom w:val="0"/>
      <w:divBdr>
        <w:top w:val="none" w:sz="0" w:space="0" w:color="auto"/>
        <w:left w:val="none" w:sz="0" w:space="0" w:color="auto"/>
        <w:bottom w:val="none" w:sz="0" w:space="0" w:color="auto"/>
        <w:right w:val="none" w:sz="0" w:space="0" w:color="auto"/>
      </w:divBdr>
    </w:div>
    <w:div w:id="236593099">
      <w:bodyDiv w:val="1"/>
      <w:marLeft w:val="0"/>
      <w:marRight w:val="0"/>
      <w:marTop w:val="0"/>
      <w:marBottom w:val="0"/>
      <w:divBdr>
        <w:top w:val="none" w:sz="0" w:space="0" w:color="auto"/>
        <w:left w:val="none" w:sz="0" w:space="0" w:color="auto"/>
        <w:bottom w:val="none" w:sz="0" w:space="0" w:color="auto"/>
        <w:right w:val="none" w:sz="0" w:space="0" w:color="auto"/>
      </w:divBdr>
    </w:div>
    <w:div w:id="236791642">
      <w:bodyDiv w:val="1"/>
      <w:marLeft w:val="0"/>
      <w:marRight w:val="0"/>
      <w:marTop w:val="0"/>
      <w:marBottom w:val="0"/>
      <w:divBdr>
        <w:top w:val="none" w:sz="0" w:space="0" w:color="auto"/>
        <w:left w:val="none" w:sz="0" w:space="0" w:color="auto"/>
        <w:bottom w:val="none" w:sz="0" w:space="0" w:color="auto"/>
        <w:right w:val="none" w:sz="0" w:space="0" w:color="auto"/>
      </w:divBdr>
    </w:div>
    <w:div w:id="252010678">
      <w:bodyDiv w:val="1"/>
      <w:marLeft w:val="0"/>
      <w:marRight w:val="0"/>
      <w:marTop w:val="0"/>
      <w:marBottom w:val="0"/>
      <w:divBdr>
        <w:top w:val="none" w:sz="0" w:space="0" w:color="auto"/>
        <w:left w:val="none" w:sz="0" w:space="0" w:color="auto"/>
        <w:bottom w:val="none" w:sz="0" w:space="0" w:color="auto"/>
        <w:right w:val="none" w:sz="0" w:space="0" w:color="auto"/>
      </w:divBdr>
    </w:div>
    <w:div w:id="264384810">
      <w:bodyDiv w:val="1"/>
      <w:marLeft w:val="0"/>
      <w:marRight w:val="0"/>
      <w:marTop w:val="0"/>
      <w:marBottom w:val="0"/>
      <w:divBdr>
        <w:top w:val="none" w:sz="0" w:space="0" w:color="auto"/>
        <w:left w:val="none" w:sz="0" w:space="0" w:color="auto"/>
        <w:bottom w:val="none" w:sz="0" w:space="0" w:color="auto"/>
        <w:right w:val="none" w:sz="0" w:space="0" w:color="auto"/>
      </w:divBdr>
      <w:divsChild>
        <w:div w:id="815951890">
          <w:marLeft w:val="0"/>
          <w:marRight w:val="0"/>
          <w:marTop w:val="0"/>
          <w:marBottom w:val="0"/>
          <w:divBdr>
            <w:top w:val="none" w:sz="0" w:space="0" w:color="auto"/>
            <w:left w:val="none" w:sz="0" w:space="0" w:color="auto"/>
            <w:bottom w:val="none" w:sz="0" w:space="0" w:color="auto"/>
            <w:right w:val="none" w:sz="0" w:space="0" w:color="auto"/>
          </w:divBdr>
          <w:divsChild>
            <w:div w:id="1656058662">
              <w:marLeft w:val="0"/>
              <w:marRight w:val="0"/>
              <w:marTop w:val="0"/>
              <w:marBottom w:val="0"/>
              <w:divBdr>
                <w:top w:val="none" w:sz="0" w:space="0" w:color="auto"/>
                <w:left w:val="none" w:sz="0" w:space="0" w:color="auto"/>
                <w:bottom w:val="none" w:sz="0" w:space="0" w:color="auto"/>
                <w:right w:val="none" w:sz="0" w:space="0" w:color="auto"/>
              </w:divBdr>
              <w:divsChild>
                <w:div w:id="514611265">
                  <w:marLeft w:val="0"/>
                  <w:marRight w:val="0"/>
                  <w:marTop w:val="0"/>
                  <w:marBottom w:val="0"/>
                  <w:divBdr>
                    <w:top w:val="none" w:sz="0" w:space="0" w:color="auto"/>
                    <w:left w:val="none" w:sz="0" w:space="0" w:color="auto"/>
                    <w:bottom w:val="none" w:sz="0" w:space="0" w:color="auto"/>
                    <w:right w:val="none" w:sz="0" w:space="0" w:color="auto"/>
                  </w:divBdr>
                  <w:divsChild>
                    <w:div w:id="65109422">
                      <w:marLeft w:val="0"/>
                      <w:marRight w:val="0"/>
                      <w:marTop w:val="0"/>
                      <w:marBottom w:val="0"/>
                      <w:divBdr>
                        <w:top w:val="none" w:sz="0" w:space="0" w:color="auto"/>
                        <w:left w:val="none" w:sz="0" w:space="0" w:color="auto"/>
                        <w:bottom w:val="none" w:sz="0" w:space="0" w:color="auto"/>
                        <w:right w:val="none" w:sz="0" w:space="0" w:color="auto"/>
                      </w:divBdr>
                      <w:divsChild>
                        <w:div w:id="1724938068">
                          <w:marLeft w:val="0"/>
                          <w:marRight w:val="0"/>
                          <w:marTop w:val="0"/>
                          <w:marBottom w:val="0"/>
                          <w:divBdr>
                            <w:top w:val="none" w:sz="0" w:space="0" w:color="auto"/>
                            <w:left w:val="none" w:sz="0" w:space="0" w:color="auto"/>
                            <w:bottom w:val="none" w:sz="0" w:space="0" w:color="auto"/>
                            <w:right w:val="none" w:sz="0" w:space="0" w:color="auto"/>
                          </w:divBdr>
                          <w:divsChild>
                            <w:div w:id="1750810928">
                              <w:marLeft w:val="0"/>
                              <w:marRight w:val="0"/>
                              <w:marTop w:val="0"/>
                              <w:marBottom w:val="0"/>
                              <w:divBdr>
                                <w:top w:val="none" w:sz="0" w:space="0" w:color="auto"/>
                                <w:left w:val="none" w:sz="0" w:space="0" w:color="auto"/>
                                <w:bottom w:val="none" w:sz="0" w:space="0" w:color="auto"/>
                                <w:right w:val="none" w:sz="0" w:space="0" w:color="auto"/>
                              </w:divBdr>
                              <w:divsChild>
                                <w:div w:id="267781403">
                                  <w:marLeft w:val="0"/>
                                  <w:marRight w:val="0"/>
                                  <w:marTop w:val="0"/>
                                  <w:marBottom w:val="0"/>
                                  <w:divBdr>
                                    <w:top w:val="none" w:sz="0" w:space="0" w:color="auto"/>
                                    <w:left w:val="none" w:sz="0" w:space="0" w:color="auto"/>
                                    <w:bottom w:val="none" w:sz="0" w:space="0" w:color="auto"/>
                                    <w:right w:val="none" w:sz="0" w:space="0" w:color="auto"/>
                                  </w:divBdr>
                                  <w:divsChild>
                                    <w:div w:id="80662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1590572">
                      <w:marLeft w:val="0"/>
                      <w:marRight w:val="0"/>
                      <w:marTop w:val="0"/>
                      <w:marBottom w:val="0"/>
                      <w:divBdr>
                        <w:top w:val="none" w:sz="0" w:space="0" w:color="auto"/>
                        <w:left w:val="none" w:sz="0" w:space="0" w:color="auto"/>
                        <w:bottom w:val="none" w:sz="0" w:space="0" w:color="auto"/>
                        <w:right w:val="none" w:sz="0" w:space="0" w:color="auto"/>
                      </w:divBdr>
                      <w:divsChild>
                        <w:div w:id="101977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8216340">
      <w:bodyDiv w:val="1"/>
      <w:marLeft w:val="0"/>
      <w:marRight w:val="0"/>
      <w:marTop w:val="0"/>
      <w:marBottom w:val="0"/>
      <w:divBdr>
        <w:top w:val="none" w:sz="0" w:space="0" w:color="auto"/>
        <w:left w:val="none" w:sz="0" w:space="0" w:color="auto"/>
        <w:bottom w:val="none" w:sz="0" w:space="0" w:color="auto"/>
        <w:right w:val="none" w:sz="0" w:space="0" w:color="auto"/>
      </w:divBdr>
    </w:div>
    <w:div w:id="316613272">
      <w:bodyDiv w:val="1"/>
      <w:marLeft w:val="0"/>
      <w:marRight w:val="0"/>
      <w:marTop w:val="0"/>
      <w:marBottom w:val="0"/>
      <w:divBdr>
        <w:top w:val="none" w:sz="0" w:space="0" w:color="auto"/>
        <w:left w:val="none" w:sz="0" w:space="0" w:color="auto"/>
        <w:bottom w:val="none" w:sz="0" w:space="0" w:color="auto"/>
        <w:right w:val="none" w:sz="0" w:space="0" w:color="auto"/>
      </w:divBdr>
    </w:div>
    <w:div w:id="320158527">
      <w:bodyDiv w:val="1"/>
      <w:marLeft w:val="0"/>
      <w:marRight w:val="0"/>
      <w:marTop w:val="0"/>
      <w:marBottom w:val="0"/>
      <w:divBdr>
        <w:top w:val="none" w:sz="0" w:space="0" w:color="auto"/>
        <w:left w:val="none" w:sz="0" w:space="0" w:color="auto"/>
        <w:bottom w:val="none" w:sz="0" w:space="0" w:color="auto"/>
        <w:right w:val="none" w:sz="0" w:space="0" w:color="auto"/>
      </w:divBdr>
    </w:div>
    <w:div w:id="350570075">
      <w:bodyDiv w:val="1"/>
      <w:marLeft w:val="0"/>
      <w:marRight w:val="0"/>
      <w:marTop w:val="0"/>
      <w:marBottom w:val="0"/>
      <w:divBdr>
        <w:top w:val="none" w:sz="0" w:space="0" w:color="auto"/>
        <w:left w:val="none" w:sz="0" w:space="0" w:color="auto"/>
        <w:bottom w:val="none" w:sz="0" w:space="0" w:color="auto"/>
        <w:right w:val="none" w:sz="0" w:space="0" w:color="auto"/>
      </w:divBdr>
    </w:div>
    <w:div w:id="379088636">
      <w:bodyDiv w:val="1"/>
      <w:marLeft w:val="0"/>
      <w:marRight w:val="0"/>
      <w:marTop w:val="0"/>
      <w:marBottom w:val="0"/>
      <w:divBdr>
        <w:top w:val="none" w:sz="0" w:space="0" w:color="auto"/>
        <w:left w:val="none" w:sz="0" w:space="0" w:color="auto"/>
        <w:bottom w:val="none" w:sz="0" w:space="0" w:color="auto"/>
        <w:right w:val="none" w:sz="0" w:space="0" w:color="auto"/>
      </w:divBdr>
    </w:div>
    <w:div w:id="443962104">
      <w:bodyDiv w:val="1"/>
      <w:marLeft w:val="0"/>
      <w:marRight w:val="0"/>
      <w:marTop w:val="0"/>
      <w:marBottom w:val="0"/>
      <w:divBdr>
        <w:top w:val="none" w:sz="0" w:space="0" w:color="auto"/>
        <w:left w:val="none" w:sz="0" w:space="0" w:color="auto"/>
        <w:bottom w:val="none" w:sz="0" w:space="0" w:color="auto"/>
        <w:right w:val="none" w:sz="0" w:space="0" w:color="auto"/>
      </w:divBdr>
    </w:div>
    <w:div w:id="445152146">
      <w:bodyDiv w:val="1"/>
      <w:marLeft w:val="0"/>
      <w:marRight w:val="0"/>
      <w:marTop w:val="0"/>
      <w:marBottom w:val="0"/>
      <w:divBdr>
        <w:top w:val="none" w:sz="0" w:space="0" w:color="auto"/>
        <w:left w:val="none" w:sz="0" w:space="0" w:color="auto"/>
        <w:bottom w:val="none" w:sz="0" w:space="0" w:color="auto"/>
        <w:right w:val="none" w:sz="0" w:space="0" w:color="auto"/>
      </w:divBdr>
    </w:div>
    <w:div w:id="446975169">
      <w:bodyDiv w:val="1"/>
      <w:marLeft w:val="0"/>
      <w:marRight w:val="0"/>
      <w:marTop w:val="0"/>
      <w:marBottom w:val="0"/>
      <w:divBdr>
        <w:top w:val="none" w:sz="0" w:space="0" w:color="auto"/>
        <w:left w:val="none" w:sz="0" w:space="0" w:color="auto"/>
        <w:bottom w:val="none" w:sz="0" w:space="0" w:color="auto"/>
        <w:right w:val="none" w:sz="0" w:space="0" w:color="auto"/>
      </w:divBdr>
    </w:div>
    <w:div w:id="450782263">
      <w:bodyDiv w:val="1"/>
      <w:marLeft w:val="0"/>
      <w:marRight w:val="0"/>
      <w:marTop w:val="0"/>
      <w:marBottom w:val="0"/>
      <w:divBdr>
        <w:top w:val="none" w:sz="0" w:space="0" w:color="auto"/>
        <w:left w:val="none" w:sz="0" w:space="0" w:color="auto"/>
        <w:bottom w:val="none" w:sz="0" w:space="0" w:color="auto"/>
        <w:right w:val="none" w:sz="0" w:space="0" w:color="auto"/>
      </w:divBdr>
    </w:div>
    <w:div w:id="456293908">
      <w:bodyDiv w:val="1"/>
      <w:marLeft w:val="0"/>
      <w:marRight w:val="0"/>
      <w:marTop w:val="0"/>
      <w:marBottom w:val="0"/>
      <w:divBdr>
        <w:top w:val="none" w:sz="0" w:space="0" w:color="auto"/>
        <w:left w:val="none" w:sz="0" w:space="0" w:color="auto"/>
        <w:bottom w:val="none" w:sz="0" w:space="0" w:color="auto"/>
        <w:right w:val="none" w:sz="0" w:space="0" w:color="auto"/>
      </w:divBdr>
    </w:div>
    <w:div w:id="475726700">
      <w:bodyDiv w:val="1"/>
      <w:marLeft w:val="0"/>
      <w:marRight w:val="0"/>
      <w:marTop w:val="0"/>
      <w:marBottom w:val="0"/>
      <w:divBdr>
        <w:top w:val="none" w:sz="0" w:space="0" w:color="auto"/>
        <w:left w:val="none" w:sz="0" w:space="0" w:color="auto"/>
        <w:bottom w:val="none" w:sz="0" w:space="0" w:color="auto"/>
        <w:right w:val="none" w:sz="0" w:space="0" w:color="auto"/>
      </w:divBdr>
    </w:div>
    <w:div w:id="493759971">
      <w:bodyDiv w:val="1"/>
      <w:marLeft w:val="0"/>
      <w:marRight w:val="0"/>
      <w:marTop w:val="0"/>
      <w:marBottom w:val="0"/>
      <w:divBdr>
        <w:top w:val="none" w:sz="0" w:space="0" w:color="auto"/>
        <w:left w:val="none" w:sz="0" w:space="0" w:color="auto"/>
        <w:bottom w:val="none" w:sz="0" w:space="0" w:color="auto"/>
        <w:right w:val="none" w:sz="0" w:space="0" w:color="auto"/>
      </w:divBdr>
    </w:div>
    <w:div w:id="506676351">
      <w:bodyDiv w:val="1"/>
      <w:marLeft w:val="0"/>
      <w:marRight w:val="0"/>
      <w:marTop w:val="0"/>
      <w:marBottom w:val="0"/>
      <w:divBdr>
        <w:top w:val="none" w:sz="0" w:space="0" w:color="auto"/>
        <w:left w:val="none" w:sz="0" w:space="0" w:color="auto"/>
        <w:bottom w:val="none" w:sz="0" w:space="0" w:color="auto"/>
        <w:right w:val="none" w:sz="0" w:space="0" w:color="auto"/>
      </w:divBdr>
    </w:div>
    <w:div w:id="539784250">
      <w:bodyDiv w:val="1"/>
      <w:marLeft w:val="0"/>
      <w:marRight w:val="0"/>
      <w:marTop w:val="0"/>
      <w:marBottom w:val="0"/>
      <w:divBdr>
        <w:top w:val="none" w:sz="0" w:space="0" w:color="auto"/>
        <w:left w:val="none" w:sz="0" w:space="0" w:color="auto"/>
        <w:bottom w:val="none" w:sz="0" w:space="0" w:color="auto"/>
        <w:right w:val="none" w:sz="0" w:space="0" w:color="auto"/>
      </w:divBdr>
    </w:div>
    <w:div w:id="575479352">
      <w:bodyDiv w:val="1"/>
      <w:marLeft w:val="0"/>
      <w:marRight w:val="0"/>
      <w:marTop w:val="0"/>
      <w:marBottom w:val="0"/>
      <w:divBdr>
        <w:top w:val="none" w:sz="0" w:space="0" w:color="auto"/>
        <w:left w:val="none" w:sz="0" w:space="0" w:color="auto"/>
        <w:bottom w:val="none" w:sz="0" w:space="0" w:color="auto"/>
        <w:right w:val="none" w:sz="0" w:space="0" w:color="auto"/>
      </w:divBdr>
    </w:div>
    <w:div w:id="597062598">
      <w:bodyDiv w:val="1"/>
      <w:marLeft w:val="0"/>
      <w:marRight w:val="0"/>
      <w:marTop w:val="0"/>
      <w:marBottom w:val="0"/>
      <w:divBdr>
        <w:top w:val="none" w:sz="0" w:space="0" w:color="auto"/>
        <w:left w:val="none" w:sz="0" w:space="0" w:color="auto"/>
        <w:bottom w:val="none" w:sz="0" w:space="0" w:color="auto"/>
        <w:right w:val="none" w:sz="0" w:space="0" w:color="auto"/>
      </w:divBdr>
    </w:div>
    <w:div w:id="598372469">
      <w:bodyDiv w:val="1"/>
      <w:marLeft w:val="0"/>
      <w:marRight w:val="0"/>
      <w:marTop w:val="0"/>
      <w:marBottom w:val="0"/>
      <w:divBdr>
        <w:top w:val="none" w:sz="0" w:space="0" w:color="auto"/>
        <w:left w:val="none" w:sz="0" w:space="0" w:color="auto"/>
        <w:bottom w:val="none" w:sz="0" w:space="0" w:color="auto"/>
        <w:right w:val="none" w:sz="0" w:space="0" w:color="auto"/>
      </w:divBdr>
    </w:div>
    <w:div w:id="598877827">
      <w:bodyDiv w:val="1"/>
      <w:marLeft w:val="0"/>
      <w:marRight w:val="0"/>
      <w:marTop w:val="0"/>
      <w:marBottom w:val="0"/>
      <w:divBdr>
        <w:top w:val="none" w:sz="0" w:space="0" w:color="auto"/>
        <w:left w:val="none" w:sz="0" w:space="0" w:color="auto"/>
        <w:bottom w:val="none" w:sz="0" w:space="0" w:color="auto"/>
        <w:right w:val="none" w:sz="0" w:space="0" w:color="auto"/>
      </w:divBdr>
    </w:div>
    <w:div w:id="611743283">
      <w:bodyDiv w:val="1"/>
      <w:marLeft w:val="0"/>
      <w:marRight w:val="0"/>
      <w:marTop w:val="0"/>
      <w:marBottom w:val="0"/>
      <w:divBdr>
        <w:top w:val="none" w:sz="0" w:space="0" w:color="auto"/>
        <w:left w:val="none" w:sz="0" w:space="0" w:color="auto"/>
        <w:bottom w:val="none" w:sz="0" w:space="0" w:color="auto"/>
        <w:right w:val="none" w:sz="0" w:space="0" w:color="auto"/>
      </w:divBdr>
    </w:div>
    <w:div w:id="621495056">
      <w:bodyDiv w:val="1"/>
      <w:marLeft w:val="0"/>
      <w:marRight w:val="0"/>
      <w:marTop w:val="0"/>
      <w:marBottom w:val="0"/>
      <w:divBdr>
        <w:top w:val="none" w:sz="0" w:space="0" w:color="auto"/>
        <w:left w:val="none" w:sz="0" w:space="0" w:color="auto"/>
        <w:bottom w:val="none" w:sz="0" w:space="0" w:color="auto"/>
        <w:right w:val="none" w:sz="0" w:space="0" w:color="auto"/>
      </w:divBdr>
    </w:div>
    <w:div w:id="623535719">
      <w:bodyDiv w:val="1"/>
      <w:marLeft w:val="0"/>
      <w:marRight w:val="0"/>
      <w:marTop w:val="0"/>
      <w:marBottom w:val="0"/>
      <w:divBdr>
        <w:top w:val="none" w:sz="0" w:space="0" w:color="auto"/>
        <w:left w:val="none" w:sz="0" w:space="0" w:color="auto"/>
        <w:bottom w:val="none" w:sz="0" w:space="0" w:color="auto"/>
        <w:right w:val="none" w:sz="0" w:space="0" w:color="auto"/>
      </w:divBdr>
    </w:div>
    <w:div w:id="628975781">
      <w:bodyDiv w:val="1"/>
      <w:marLeft w:val="0"/>
      <w:marRight w:val="0"/>
      <w:marTop w:val="0"/>
      <w:marBottom w:val="0"/>
      <w:divBdr>
        <w:top w:val="none" w:sz="0" w:space="0" w:color="auto"/>
        <w:left w:val="none" w:sz="0" w:space="0" w:color="auto"/>
        <w:bottom w:val="none" w:sz="0" w:space="0" w:color="auto"/>
        <w:right w:val="none" w:sz="0" w:space="0" w:color="auto"/>
      </w:divBdr>
    </w:div>
    <w:div w:id="631060420">
      <w:bodyDiv w:val="1"/>
      <w:marLeft w:val="0"/>
      <w:marRight w:val="0"/>
      <w:marTop w:val="0"/>
      <w:marBottom w:val="0"/>
      <w:divBdr>
        <w:top w:val="none" w:sz="0" w:space="0" w:color="auto"/>
        <w:left w:val="none" w:sz="0" w:space="0" w:color="auto"/>
        <w:bottom w:val="none" w:sz="0" w:space="0" w:color="auto"/>
        <w:right w:val="none" w:sz="0" w:space="0" w:color="auto"/>
      </w:divBdr>
    </w:div>
    <w:div w:id="638532150">
      <w:bodyDiv w:val="1"/>
      <w:marLeft w:val="0"/>
      <w:marRight w:val="0"/>
      <w:marTop w:val="0"/>
      <w:marBottom w:val="0"/>
      <w:divBdr>
        <w:top w:val="none" w:sz="0" w:space="0" w:color="auto"/>
        <w:left w:val="none" w:sz="0" w:space="0" w:color="auto"/>
        <w:bottom w:val="none" w:sz="0" w:space="0" w:color="auto"/>
        <w:right w:val="none" w:sz="0" w:space="0" w:color="auto"/>
      </w:divBdr>
    </w:div>
    <w:div w:id="657198585">
      <w:bodyDiv w:val="1"/>
      <w:marLeft w:val="0"/>
      <w:marRight w:val="0"/>
      <w:marTop w:val="0"/>
      <w:marBottom w:val="0"/>
      <w:divBdr>
        <w:top w:val="none" w:sz="0" w:space="0" w:color="auto"/>
        <w:left w:val="none" w:sz="0" w:space="0" w:color="auto"/>
        <w:bottom w:val="none" w:sz="0" w:space="0" w:color="auto"/>
        <w:right w:val="none" w:sz="0" w:space="0" w:color="auto"/>
      </w:divBdr>
    </w:div>
    <w:div w:id="661349730">
      <w:bodyDiv w:val="1"/>
      <w:marLeft w:val="0"/>
      <w:marRight w:val="0"/>
      <w:marTop w:val="0"/>
      <w:marBottom w:val="0"/>
      <w:divBdr>
        <w:top w:val="none" w:sz="0" w:space="0" w:color="auto"/>
        <w:left w:val="none" w:sz="0" w:space="0" w:color="auto"/>
        <w:bottom w:val="none" w:sz="0" w:space="0" w:color="auto"/>
        <w:right w:val="none" w:sz="0" w:space="0" w:color="auto"/>
      </w:divBdr>
      <w:divsChild>
        <w:div w:id="947663022">
          <w:marLeft w:val="0"/>
          <w:marRight w:val="0"/>
          <w:marTop w:val="0"/>
          <w:marBottom w:val="0"/>
          <w:divBdr>
            <w:top w:val="none" w:sz="0" w:space="0" w:color="auto"/>
            <w:left w:val="none" w:sz="0" w:space="0" w:color="auto"/>
            <w:bottom w:val="none" w:sz="0" w:space="0" w:color="auto"/>
            <w:right w:val="none" w:sz="0" w:space="0" w:color="auto"/>
          </w:divBdr>
          <w:divsChild>
            <w:div w:id="1595088012">
              <w:marLeft w:val="0"/>
              <w:marRight w:val="0"/>
              <w:marTop w:val="0"/>
              <w:marBottom w:val="0"/>
              <w:divBdr>
                <w:top w:val="none" w:sz="0" w:space="0" w:color="auto"/>
                <w:left w:val="none" w:sz="0" w:space="0" w:color="auto"/>
                <w:bottom w:val="none" w:sz="0" w:space="0" w:color="auto"/>
                <w:right w:val="none" w:sz="0" w:space="0" w:color="auto"/>
              </w:divBdr>
              <w:divsChild>
                <w:div w:id="526792363">
                  <w:marLeft w:val="0"/>
                  <w:marRight w:val="0"/>
                  <w:marTop w:val="0"/>
                  <w:marBottom w:val="0"/>
                  <w:divBdr>
                    <w:top w:val="none" w:sz="0" w:space="0" w:color="auto"/>
                    <w:left w:val="none" w:sz="0" w:space="0" w:color="auto"/>
                    <w:bottom w:val="none" w:sz="0" w:space="0" w:color="auto"/>
                    <w:right w:val="none" w:sz="0" w:space="0" w:color="auto"/>
                  </w:divBdr>
                  <w:divsChild>
                    <w:div w:id="1154030398">
                      <w:marLeft w:val="0"/>
                      <w:marRight w:val="0"/>
                      <w:marTop w:val="0"/>
                      <w:marBottom w:val="0"/>
                      <w:divBdr>
                        <w:top w:val="none" w:sz="0" w:space="0" w:color="auto"/>
                        <w:left w:val="none" w:sz="0" w:space="0" w:color="auto"/>
                        <w:bottom w:val="none" w:sz="0" w:space="0" w:color="auto"/>
                        <w:right w:val="none" w:sz="0" w:space="0" w:color="auto"/>
                      </w:divBdr>
                      <w:divsChild>
                        <w:div w:id="1451850846">
                          <w:marLeft w:val="0"/>
                          <w:marRight w:val="0"/>
                          <w:marTop w:val="0"/>
                          <w:marBottom w:val="0"/>
                          <w:divBdr>
                            <w:top w:val="none" w:sz="0" w:space="0" w:color="auto"/>
                            <w:left w:val="none" w:sz="0" w:space="0" w:color="auto"/>
                            <w:bottom w:val="none" w:sz="0" w:space="0" w:color="auto"/>
                            <w:right w:val="none" w:sz="0" w:space="0" w:color="auto"/>
                          </w:divBdr>
                          <w:divsChild>
                            <w:div w:id="78854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2042">
                  <w:marLeft w:val="0"/>
                  <w:marRight w:val="0"/>
                  <w:marTop w:val="0"/>
                  <w:marBottom w:val="0"/>
                  <w:divBdr>
                    <w:top w:val="none" w:sz="0" w:space="0" w:color="auto"/>
                    <w:left w:val="none" w:sz="0" w:space="0" w:color="auto"/>
                    <w:bottom w:val="none" w:sz="0" w:space="0" w:color="auto"/>
                    <w:right w:val="none" w:sz="0" w:space="0" w:color="auto"/>
                  </w:divBdr>
                  <w:divsChild>
                    <w:div w:id="2712571">
                      <w:marLeft w:val="0"/>
                      <w:marRight w:val="0"/>
                      <w:marTop w:val="0"/>
                      <w:marBottom w:val="0"/>
                      <w:divBdr>
                        <w:top w:val="none" w:sz="0" w:space="0" w:color="auto"/>
                        <w:left w:val="none" w:sz="0" w:space="0" w:color="auto"/>
                        <w:bottom w:val="none" w:sz="0" w:space="0" w:color="auto"/>
                        <w:right w:val="none" w:sz="0" w:space="0" w:color="auto"/>
                      </w:divBdr>
                      <w:divsChild>
                        <w:div w:id="252475267">
                          <w:marLeft w:val="0"/>
                          <w:marRight w:val="0"/>
                          <w:marTop w:val="0"/>
                          <w:marBottom w:val="0"/>
                          <w:divBdr>
                            <w:top w:val="none" w:sz="0" w:space="0" w:color="auto"/>
                            <w:left w:val="none" w:sz="0" w:space="0" w:color="auto"/>
                            <w:bottom w:val="none" w:sz="0" w:space="0" w:color="auto"/>
                            <w:right w:val="none" w:sz="0" w:space="0" w:color="auto"/>
                          </w:divBdr>
                          <w:divsChild>
                            <w:div w:id="1065108294">
                              <w:marLeft w:val="0"/>
                              <w:marRight w:val="0"/>
                              <w:marTop w:val="0"/>
                              <w:marBottom w:val="0"/>
                              <w:divBdr>
                                <w:top w:val="none" w:sz="0" w:space="0" w:color="auto"/>
                                <w:left w:val="none" w:sz="0" w:space="0" w:color="auto"/>
                                <w:bottom w:val="none" w:sz="0" w:space="0" w:color="auto"/>
                                <w:right w:val="none" w:sz="0" w:space="0" w:color="auto"/>
                              </w:divBdr>
                              <w:divsChild>
                                <w:div w:id="1842088031">
                                  <w:marLeft w:val="0"/>
                                  <w:marRight w:val="0"/>
                                  <w:marTop w:val="0"/>
                                  <w:marBottom w:val="0"/>
                                  <w:divBdr>
                                    <w:top w:val="none" w:sz="0" w:space="0" w:color="auto"/>
                                    <w:left w:val="none" w:sz="0" w:space="0" w:color="auto"/>
                                    <w:bottom w:val="none" w:sz="0" w:space="0" w:color="auto"/>
                                    <w:right w:val="none" w:sz="0" w:space="0" w:color="auto"/>
                                  </w:divBdr>
                                  <w:divsChild>
                                    <w:div w:id="1758749506">
                                      <w:marLeft w:val="0"/>
                                      <w:marRight w:val="0"/>
                                      <w:marTop w:val="0"/>
                                      <w:marBottom w:val="0"/>
                                      <w:divBdr>
                                        <w:top w:val="none" w:sz="0" w:space="0" w:color="auto"/>
                                        <w:left w:val="none" w:sz="0" w:space="0" w:color="auto"/>
                                        <w:bottom w:val="none" w:sz="0" w:space="0" w:color="auto"/>
                                        <w:right w:val="none" w:sz="0" w:space="0" w:color="auto"/>
                                      </w:divBdr>
                                    </w:div>
                                  </w:divsChild>
                                </w:div>
                                <w:div w:id="1950621444">
                                  <w:marLeft w:val="0"/>
                                  <w:marRight w:val="0"/>
                                  <w:marTop w:val="0"/>
                                  <w:marBottom w:val="0"/>
                                  <w:divBdr>
                                    <w:top w:val="none" w:sz="0" w:space="0" w:color="auto"/>
                                    <w:left w:val="none" w:sz="0" w:space="0" w:color="auto"/>
                                    <w:bottom w:val="none" w:sz="0" w:space="0" w:color="auto"/>
                                    <w:right w:val="none" w:sz="0" w:space="0" w:color="auto"/>
                                  </w:divBdr>
                                  <w:divsChild>
                                    <w:div w:id="861167762">
                                      <w:marLeft w:val="0"/>
                                      <w:marRight w:val="0"/>
                                      <w:marTop w:val="0"/>
                                      <w:marBottom w:val="0"/>
                                      <w:divBdr>
                                        <w:top w:val="none" w:sz="0" w:space="0" w:color="auto"/>
                                        <w:left w:val="none" w:sz="0" w:space="0" w:color="auto"/>
                                        <w:bottom w:val="none" w:sz="0" w:space="0" w:color="auto"/>
                                        <w:right w:val="none" w:sz="0" w:space="0" w:color="auto"/>
                                      </w:divBdr>
                                    </w:div>
                                  </w:divsChild>
                                </w:div>
                                <w:div w:id="772675127">
                                  <w:marLeft w:val="0"/>
                                  <w:marRight w:val="0"/>
                                  <w:marTop w:val="0"/>
                                  <w:marBottom w:val="0"/>
                                  <w:divBdr>
                                    <w:top w:val="none" w:sz="0" w:space="0" w:color="auto"/>
                                    <w:left w:val="none" w:sz="0" w:space="0" w:color="auto"/>
                                    <w:bottom w:val="none" w:sz="0" w:space="0" w:color="auto"/>
                                    <w:right w:val="none" w:sz="0" w:space="0" w:color="auto"/>
                                  </w:divBdr>
                                  <w:divsChild>
                                    <w:div w:id="203803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26413">
                  <w:marLeft w:val="0"/>
                  <w:marRight w:val="0"/>
                  <w:marTop w:val="0"/>
                  <w:marBottom w:val="0"/>
                  <w:divBdr>
                    <w:top w:val="none" w:sz="0" w:space="0" w:color="auto"/>
                    <w:left w:val="none" w:sz="0" w:space="0" w:color="auto"/>
                    <w:bottom w:val="none" w:sz="0" w:space="0" w:color="auto"/>
                    <w:right w:val="none" w:sz="0" w:space="0" w:color="auto"/>
                  </w:divBdr>
                  <w:divsChild>
                    <w:div w:id="166562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402261">
      <w:bodyDiv w:val="1"/>
      <w:marLeft w:val="0"/>
      <w:marRight w:val="0"/>
      <w:marTop w:val="0"/>
      <w:marBottom w:val="0"/>
      <w:divBdr>
        <w:top w:val="none" w:sz="0" w:space="0" w:color="auto"/>
        <w:left w:val="none" w:sz="0" w:space="0" w:color="auto"/>
        <w:bottom w:val="none" w:sz="0" w:space="0" w:color="auto"/>
        <w:right w:val="none" w:sz="0" w:space="0" w:color="auto"/>
      </w:divBdr>
    </w:div>
    <w:div w:id="704447094">
      <w:bodyDiv w:val="1"/>
      <w:marLeft w:val="0"/>
      <w:marRight w:val="0"/>
      <w:marTop w:val="0"/>
      <w:marBottom w:val="0"/>
      <w:divBdr>
        <w:top w:val="none" w:sz="0" w:space="0" w:color="auto"/>
        <w:left w:val="none" w:sz="0" w:space="0" w:color="auto"/>
        <w:bottom w:val="none" w:sz="0" w:space="0" w:color="auto"/>
        <w:right w:val="none" w:sz="0" w:space="0" w:color="auto"/>
      </w:divBdr>
    </w:div>
    <w:div w:id="716858641">
      <w:bodyDiv w:val="1"/>
      <w:marLeft w:val="0"/>
      <w:marRight w:val="0"/>
      <w:marTop w:val="0"/>
      <w:marBottom w:val="0"/>
      <w:divBdr>
        <w:top w:val="none" w:sz="0" w:space="0" w:color="auto"/>
        <w:left w:val="none" w:sz="0" w:space="0" w:color="auto"/>
        <w:bottom w:val="none" w:sz="0" w:space="0" w:color="auto"/>
        <w:right w:val="none" w:sz="0" w:space="0" w:color="auto"/>
      </w:divBdr>
    </w:div>
    <w:div w:id="727143099">
      <w:bodyDiv w:val="1"/>
      <w:marLeft w:val="0"/>
      <w:marRight w:val="0"/>
      <w:marTop w:val="0"/>
      <w:marBottom w:val="0"/>
      <w:divBdr>
        <w:top w:val="none" w:sz="0" w:space="0" w:color="auto"/>
        <w:left w:val="none" w:sz="0" w:space="0" w:color="auto"/>
        <w:bottom w:val="none" w:sz="0" w:space="0" w:color="auto"/>
        <w:right w:val="none" w:sz="0" w:space="0" w:color="auto"/>
      </w:divBdr>
    </w:div>
    <w:div w:id="731346836">
      <w:bodyDiv w:val="1"/>
      <w:marLeft w:val="0"/>
      <w:marRight w:val="0"/>
      <w:marTop w:val="0"/>
      <w:marBottom w:val="0"/>
      <w:divBdr>
        <w:top w:val="none" w:sz="0" w:space="0" w:color="auto"/>
        <w:left w:val="none" w:sz="0" w:space="0" w:color="auto"/>
        <w:bottom w:val="none" w:sz="0" w:space="0" w:color="auto"/>
        <w:right w:val="none" w:sz="0" w:space="0" w:color="auto"/>
      </w:divBdr>
    </w:div>
    <w:div w:id="744377622">
      <w:bodyDiv w:val="1"/>
      <w:marLeft w:val="0"/>
      <w:marRight w:val="0"/>
      <w:marTop w:val="0"/>
      <w:marBottom w:val="0"/>
      <w:divBdr>
        <w:top w:val="none" w:sz="0" w:space="0" w:color="auto"/>
        <w:left w:val="none" w:sz="0" w:space="0" w:color="auto"/>
        <w:bottom w:val="none" w:sz="0" w:space="0" w:color="auto"/>
        <w:right w:val="none" w:sz="0" w:space="0" w:color="auto"/>
      </w:divBdr>
    </w:div>
    <w:div w:id="753822225">
      <w:bodyDiv w:val="1"/>
      <w:marLeft w:val="0"/>
      <w:marRight w:val="0"/>
      <w:marTop w:val="0"/>
      <w:marBottom w:val="0"/>
      <w:divBdr>
        <w:top w:val="none" w:sz="0" w:space="0" w:color="auto"/>
        <w:left w:val="none" w:sz="0" w:space="0" w:color="auto"/>
        <w:bottom w:val="none" w:sz="0" w:space="0" w:color="auto"/>
        <w:right w:val="none" w:sz="0" w:space="0" w:color="auto"/>
      </w:divBdr>
    </w:div>
    <w:div w:id="770008699">
      <w:bodyDiv w:val="1"/>
      <w:marLeft w:val="0"/>
      <w:marRight w:val="0"/>
      <w:marTop w:val="0"/>
      <w:marBottom w:val="0"/>
      <w:divBdr>
        <w:top w:val="none" w:sz="0" w:space="0" w:color="auto"/>
        <w:left w:val="none" w:sz="0" w:space="0" w:color="auto"/>
        <w:bottom w:val="none" w:sz="0" w:space="0" w:color="auto"/>
        <w:right w:val="none" w:sz="0" w:space="0" w:color="auto"/>
      </w:divBdr>
    </w:div>
    <w:div w:id="783112265">
      <w:bodyDiv w:val="1"/>
      <w:marLeft w:val="0"/>
      <w:marRight w:val="0"/>
      <w:marTop w:val="0"/>
      <w:marBottom w:val="0"/>
      <w:divBdr>
        <w:top w:val="none" w:sz="0" w:space="0" w:color="auto"/>
        <w:left w:val="none" w:sz="0" w:space="0" w:color="auto"/>
        <w:bottom w:val="none" w:sz="0" w:space="0" w:color="auto"/>
        <w:right w:val="none" w:sz="0" w:space="0" w:color="auto"/>
      </w:divBdr>
    </w:div>
    <w:div w:id="813329107">
      <w:bodyDiv w:val="1"/>
      <w:marLeft w:val="0"/>
      <w:marRight w:val="0"/>
      <w:marTop w:val="0"/>
      <w:marBottom w:val="0"/>
      <w:divBdr>
        <w:top w:val="none" w:sz="0" w:space="0" w:color="auto"/>
        <w:left w:val="none" w:sz="0" w:space="0" w:color="auto"/>
        <w:bottom w:val="none" w:sz="0" w:space="0" w:color="auto"/>
        <w:right w:val="none" w:sz="0" w:space="0" w:color="auto"/>
      </w:divBdr>
    </w:div>
    <w:div w:id="882986978">
      <w:bodyDiv w:val="1"/>
      <w:marLeft w:val="0"/>
      <w:marRight w:val="0"/>
      <w:marTop w:val="0"/>
      <w:marBottom w:val="0"/>
      <w:divBdr>
        <w:top w:val="none" w:sz="0" w:space="0" w:color="auto"/>
        <w:left w:val="none" w:sz="0" w:space="0" w:color="auto"/>
        <w:bottom w:val="none" w:sz="0" w:space="0" w:color="auto"/>
        <w:right w:val="none" w:sz="0" w:space="0" w:color="auto"/>
      </w:divBdr>
    </w:div>
    <w:div w:id="892541590">
      <w:bodyDiv w:val="1"/>
      <w:marLeft w:val="0"/>
      <w:marRight w:val="0"/>
      <w:marTop w:val="0"/>
      <w:marBottom w:val="0"/>
      <w:divBdr>
        <w:top w:val="none" w:sz="0" w:space="0" w:color="auto"/>
        <w:left w:val="none" w:sz="0" w:space="0" w:color="auto"/>
        <w:bottom w:val="none" w:sz="0" w:space="0" w:color="auto"/>
        <w:right w:val="none" w:sz="0" w:space="0" w:color="auto"/>
      </w:divBdr>
    </w:div>
    <w:div w:id="899436045">
      <w:bodyDiv w:val="1"/>
      <w:marLeft w:val="0"/>
      <w:marRight w:val="0"/>
      <w:marTop w:val="0"/>
      <w:marBottom w:val="0"/>
      <w:divBdr>
        <w:top w:val="none" w:sz="0" w:space="0" w:color="auto"/>
        <w:left w:val="none" w:sz="0" w:space="0" w:color="auto"/>
        <w:bottom w:val="none" w:sz="0" w:space="0" w:color="auto"/>
        <w:right w:val="none" w:sz="0" w:space="0" w:color="auto"/>
      </w:divBdr>
    </w:div>
    <w:div w:id="909585391">
      <w:bodyDiv w:val="1"/>
      <w:marLeft w:val="0"/>
      <w:marRight w:val="0"/>
      <w:marTop w:val="0"/>
      <w:marBottom w:val="0"/>
      <w:divBdr>
        <w:top w:val="none" w:sz="0" w:space="0" w:color="auto"/>
        <w:left w:val="none" w:sz="0" w:space="0" w:color="auto"/>
        <w:bottom w:val="none" w:sz="0" w:space="0" w:color="auto"/>
        <w:right w:val="none" w:sz="0" w:space="0" w:color="auto"/>
      </w:divBdr>
    </w:div>
    <w:div w:id="940643467">
      <w:bodyDiv w:val="1"/>
      <w:marLeft w:val="0"/>
      <w:marRight w:val="0"/>
      <w:marTop w:val="0"/>
      <w:marBottom w:val="0"/>
      <w:divBdr>
        <w:top w:val="none" w:sz="0" w:space="0" w:color="auto"/>
        <w:left w:val="none" w:sz="0" w:space="0" w:color="auto"/>
        <w:bottom w:val="none" w:sz="0" w:space="0" w:color="auto"/>
        <w:right w:val="none" w:sz="0" w:space="0" w:color="auto"/>
      </w:divBdr>
    </w:div>
    <w:div w:id="943000407">
      <w:bodyDiv w:val="1"/>
      <w:marLeft w:val="0"/>
      <w:marRight w:val="0"/>
      <w:marTop w:val="0"/>
      <w:marBottom w:val="0"/>
      <w:divBdr>
        <w:top w:val="none" w:sz="0" w:space="0" w:color="auto"/>
        <w:left w:val="none" w:sz="0" w:space="0" w:color="auto"/>
        <w:bottom w:val="none" w:sz="0" w:space="0" w:color="auto"/>
        <w:right w:val="none" w:sz="0" w:space="0" w:color="auto"/>
      </w:divBdr>
    </w:div>
    <w:div w:id="943343738">
      <w:bodyDiv w:val="1"/>
      <w:marLeft w:val="0"/>
      <w:marRight w:val="0"/>
      <w:marTop w:val="0"/>
      <w:marBottom w:val="0"/>
      <w:divBdr>
        <w:top w:val="none" w:sz="0" w:space="0" w:color="auto"/>
        <w:left w:val="none" w:sz="0" w:space="0" w:color="auto"/>
        <w:bottom w:val="none" w:sz="0" w:space="0" w:color="auto"/>
        <w:right w:val="none" w:sz="0" w:space="0" w:color="auto"/>
      </w:divBdr>
    </w:div>
    <w:div w:id="943877202">
      <w:bodyDiv w:val="1"/>
      <w:marLeft w:val="0"/>
      <w:marRight w:val="0"/>
      <w:marTop w:val="0"/>
      <w:marBottom w:val="0"/>
      <w:divBdr>
        <w:top w:val="none" w:sz="0" w:space="0" w:color="auto"/>
        <w:left w:val="none" w:sz="0" w:space="0" w:color="auto"/>
        <w:bottom w:val="none" w:sz="0" w:space="0" w:color="auto"/>
        <w:right w:val="none" w:sz="0" w:space="0" w:color="auto"/>
      </w:divBdr>
    </w:div>
    <w:div w:id="994452436">
      <w:bodyDiv w:val="1"/>
      <w:marLeft w:val="0"/>
      <w:marRight w:val="0"/>
      <w:marTop w:val="0"/>
      <w:marBottom w:val="0"/>
      <w:divBdr>
        <w:top w:val="none" w:sz="0" w:space="0" w:color="auto"/>
        <w:left w:val="none" w:sz="0" w:space="0" w:color="auto"/>
        <w:bottom w:val="none" w:sz="0" w:space="0" w:color="auto"/>
        <w:right w:val="none" w:sz="0" w:space="0" w:color="auto"/>
      </w:divBdr>
    </w:div>
    <w:div w:id="1003750340">
      <w:bodyDiv w:val="1"/>
      <w:marLeft w:val="0"/>
      <w:marRight w:val="0"/>
      <w:marTop w:val="0"/>
      <w:marBottom w:val="0"/>
      <w:divBdr>
        <w:top w:val="none" w:sz="0" w:space="0" w:color="auto"/>
        <w:left w:val="none" w:sz="0" w:space="0" w:color="auto"/>
        <w:bottom w:val="none" w:sz="0" w:space="0" w:color="auto"/>
        <w:right w:val="none" w:sz="0" w:space="0" w:color="auto"/>
      </w:divBdr>
    </w:div>
    <w:div w:id="1005473897">
      <w:bodyDiv w:val="1"/>
      <w:marLeft w:val="0"/>
      <w:marRight w:val="0"/>
      <w:marTop w:val="0"/>
      <w:marBottom w:val="0"/>
      <w:divBdr>
        <w:top w:val="none" w:sz="0" w:space="0" w:color="auto"/>
        <w:left w:val="none" w:sz="0" w:space="0" w:color="auto"/>
        <w:bottom w:val="none" w:sz="0" w:space="0" w:color="auto"/>
        <w:right w:val="none" w:sz="0" w:space="0" w:color="auto"/>
      </w:divBdr>
    </w:div>
    <w:div w:id="1019818197">
      <w:bodyDiv w:val="1"/>
      <w:marLeft w:val="0"/>
      <w:marRight w:val="0"/>
      <w:marTop w:val="0"/>
      <w:marBottom w:val="0"/>
      <w:divBdr>
        <w:top w:val="none" w:sz="0" w:space="0" w:color="auto"/>
        <w:left w:val="none" w:sz="0" w:space="0" w:color="auto"/>
        <w:bottom w:val="none" w:sz="0" w:space="0" w:color="auto"/>
        <w:right w:val="none" w:sz="0" w:space="0" w:color="auto"/>
      </w:divBdr>
    </w:div>
    <w:div w:id="1024675385">
      <w:bodyDiv w:val="1"/>
      <w:marLeft w:val="0"/>
      <w:marRight w:val="0"/>
      <w:marTop w:val="0"/>
      <w:marBottom w:val="0"/>
      <w:divBdr>
        <w:top w:val="none" w:sz="0" w:space="0" w:color="auto"/>
        <w:left w:val="none" w:sz="0" w:space="0" w:color="auto"/>
        <w:bottom w:val="none" w:sz="0" w:space="0" w:color="auto"/>
        <w:right w:val="none" w:sz="0" w:space="0" w:color="auto"/>
      </w:divBdr>
    </w:div>
    <w:div w:id="1028337385">
      <w:bodyDiv w:val="1"/>
      <w:marLeft w:val="0"/>
      <w:marRight w:val="0"/>
      <w:marTop w:val="0"/>
      <w:marBottom w:val="0"/>
      <w:divBdr>
        <w:top w:val="none" w:sz="0" w:space="0" w:color="auto"/>
        <w:left w:val="none" w:sz="0" w:space="0" w:color="auto"/>
        <w:bottom w:val="none" w:sz="0" w:space="0" w:color="auto"/>
        <w:right w:val="none" w:sz="0" w:space="0" w:color="auto"/>
      </w:divBdr>
    </w:div>
    <w:div w:id="1032733002">
      <w:bodyDiv w:val="1"/>
      <w:marLeft w:val="0"/>
      <w:marRight w:val="0"/>
      <w:marTop w:val="0"/>
      <w:marBottom w:val="0"/>
      <w:divBdr>
        <w:top w:val="none" w:sz="0" w:space="0" w:color="auto"/>
        <w:left w:val="none" w:sz="0" w:space="0" w:color="auto"/>
        <w:bottom w:val="none" w:sz="0" w:space="0" w:color="auto"/>
        <w:right w:val="none" w:sz="0" w:space="0" w:color="auto"/>
      </w:divBdr>
    </w:div>
    <w:div w:id="1058355115">
      <w:bodyDiv w:val="1"/>
      <w:marLeft w:val="0"/>
      <w:marRight w:val="0"/>
      <w:marTop w:val="0"/>
      <w:marBottom w:val="0"/>
      <w:divBdr>
        <w:top w:val="none" w:sz="0" w:space="0" w:color="auto"/>
        <w:left w:val="none" w:sz="0" w:space="0" w:color="auto"/>
        <w:bottom w:val="none" w:sz="0" w:space="0" w:color="auto"/>
        <w:right w:val="none" w:sz="0" w:space="0" w:color="auto"/>
      </w:divBdr>
    </w:div>
    <w:div w:id="1059934326">
      <w:bodyDiv w:val="1"/>
      <w:marLeft w:val="0"/>
      <w:marRight w:val="0"/>
      <w:marTop w:val="0"/>
      <w:marBottom w:val="0"/>
      <w:divBdr>
        <w:top w:val="none" w:sz="0" w:space="0" w:color="auto"/>
        <w:left w:val="none" w:sz="0" w:space="0" w:color="auto"/>
        <w:bottom w:val="none" w:sz="0" w:space="0" w:color="auto"/>
        <w:right w:val="none" w:sz="0" w:space="0" w:color="auto"/>
      </w:divBdr>
    </w:div>
    <w:div w:id="1065638468">
      <w:bodyDiv w:val="1"/>
      <w:marLeft w:val="0"/>
      <w:marRight w:val="0"/>
      <w:marTop w:val="0"/>
      <w:marBottom w:val="0"/>
      <w:divBdr>
        <w:top w:val="none" w:sz="0" w:space="0" w:color="auto"/>
        <w:left w:val="none" w:sz="0" w:space="0" w:color="auto"/>
        <w:bottom w:val="none" w:sz="0" w:space="0" w:color="auto"/>
        <w:right w:val="none" w:sz="0" w:space="0" w:color="auto"/>
      </w:divBdr>
    </w:div>
    <w:div w:id="1071082917">
      <w:bodyDiv w:val="1"/>
      <w:marLeft w:val="0"/>
      <w:marRight w:val="0"/>
      <w:marTop w:val="0"/>
      <w:marBottom w:val="0"/>
      <w:divBdr>
        <w:top w:val="none" w:sz="0" w:space="0" w:color="auto"/>
        <w:left w:val="none" w:sz="0" w:space="0" w:color="auto"/>
        <w:bottom w:val="none" w:sz="0" w:space="0" w:color="auto"/>
        <w:right w:val="none" w:sz="0" w:space="0" w:color="auto"/>
      </w:divBdr>
    </w:div>
    <w:div w:id="1098989164">
      <w:bodyDiv w:val="1"/>
      <w:marLeft w:val="0"/>
      <w:marRight w:val="0"/>
      <w:marTop w:val="0"/>
      <w:marBottom w:val="0"/>
      <w:divBdr>
        <w:top w:val="none" w:sz="0" w:space="0" w:color="auto"/>
        <w:left w:val="none" w:sz="0" w:space="0" w:color="auto"/>
        <w:bottom w:val="none" w:sz="0" w:space="0" w:color="auto"/>
        <w:right w:val="none" w:sz="0" w:space="0" w:color="auto"/>
      </w:divBdr>
    </w:div>
    <w:div w:id="1102266959">
      <w:bodyDiv w:val="1"/>
      <w:marLeft w:val="0"/>
      <w:marRight w:val="0"/>
      <w:marTop w:val="0"/>
      <w:marBottom w:val="0"/>
      <w:divBdr>
        <w:top w:val="none" w:sz="0" w:space="0" w:color="auto"/>
        <w:left w:val="none" w:sz="0" w:space="0" w:color="auto"/>
        <w:bottom w:val="none" w:sz="0" w:space="0" w:color="auto"/>
        <w:right w:val="none" w:sz="0" w:space="0" w:color="auto"/>
      </w:divBdr>
    </w:div>
    <w:div w:id="1138959739">
      <w:bodyDiv w:val="1"/>
      <w:marLeft w:val="0"/>
      <w:marRight w:val="0"/>
      <w:marTop w:val="0"/>
      <w:marBottom w:val="0"/>
      <w:divBdr>
        <w:top w:val="none" w:sz="0" w:space="0" w:color="auto"/>
        <w:left w:val="none" w:sz="0" w:space="0" w:color="auto"/>
        <w:bottom w:val="none" w:sz="0" w:space="0" w:color="auto"/>
        <w:right w:val="none" w:sz="0" w:space="0" w:color="auto"/>
      </w:divBdr>
    </w:div>
    <w:div w:id="1169252839">
      <w:bodyDiv w:val="1"/>
      <w:marLeft w:val="0"/>
      <w:marRight w:val="0"/>
      <w:marTop w:val="0"/>
      <w:marBottom w:val="0"/>
      <w:divBdr>
        <w:top w:val="none" w:sz="0" w:space="0" w:color="auto"/>
        <w:left w:val="none" w:sz="0" w:space="0" w:color="auto"/>
        <w:bottom w:val="none" w:sz="0" w:space="0" w:color="auto"/>
        <w:right w:val="none" w:sz="0" w:space="0" w:color="auto"/>
      </w:divBdr>
    </w:div>
    <w:div w:id="1189223911">
      <w:bodyDiv w:val="1"/>
      <w:marLeft w:val="0"/>
      <w:marRight w:val="0"/>
      <w:marTop w:val="0"/>
      <w:marBottom w:val="0"/>
      <w:divBdr>
        <w:top w:val="none" w:sz="0" w:space="0" w:color="auto"/>
        <w:left w:val="none" w:sz="0" w:space="0" w:color="auto"/>
        <w:bottom w:val="none" w:sz="0" w:space="0" w:color="auto"/>
        <w:right w:val="none" w:sz="0" w:space="0" w:color="auto"/>
      </w:divBdr>
    </w:div>
    <w:div w:id="1211455923">
      <w:bodyDiv w:val="1"/>
      <w:marLeft w:val="0"/>
      <w:marRight w:val="0"/>
      <w:marTop w:val="0"/>
      <w:marBottom w:val="0"/>
      <w:divBdr>
        <w:top w:val="none" w:sz="0" w:space="0" w:color="auto"/>
        <w:left w:val="none" w:sz="0" w:space="0" w:color="auto"/>
        <w:bottom w:val="none" w:sz="0" w:space="0" w:color="auto"/>
        <w:right w:val="none" w:sz="0" w:space="0" w:color="auto"/>
      </w:divBdr>
    </w:div>
    <w:div w:id="1218471694">
      <w:bodyDiv w:val="1"/>
      <w:marLeft w:val="0"/>
      <w:marRight w:val="0"/>
      <w:marTop w:val="0"/>
      <w:marBottom w:val="0"/>
      <w:divBdr>
        <w:top w:val="none" w:sz="0" w:space="0" w:color="auto"/>
        <w:left w:val="none" w:sz="0" w:space="0" w:color="auto"/>
        <w:bottom w:val="none" w:sz="0" w:space="0" w:color="auto"/>
        <w:right w:val="none" w:sz="0" w:space="0" w:color="auto"/>
      </w:divBdr>
    </w:div>
    <w:div w:id="1264992398">
      <w:bodyDiv w:val="1"/>
      <w:marLeft w:val="0"/>
      <w:marRight w:val="0"/>
      <w:marTop w:val="0"/>
      <w:marBottom w:val="0"/>
      <w:divBdr>
        <w:top w:val="none" w:sz="0" w:space="0" w:color="auto"/>
        <w:left w:val="none" w:sz="0" w:space="0" w:color="auto"/>
        <w:bottom w:val="none" w:sz="0" w:space="0" w:color="auto"/>
        <w:right w:val="none" w:sz="0" w:space="0" w:color="auto"/>
      </w:divBdr>
    </w:div>
    <w:div w:id="1280333511">
      <w:bodyDiv w:val="1"/>
      <w:marLeft w:val="0"/>
      <w:marRight w:val="0"/>
      <w:marTop w:val="0"/>
      <w:marBottom w:val="0"/>
      <w:divBdr>
        <w:top w:val="none" w:sz="0" w:space="0" w:color="auto"/>
        <w:left w:val="none" w:sz="0" w:space="0" w:color="auto"/>
        <w:bottom w:val="none" w:sz="0" w:space="0" w:color="auto"/>
        <w:right w:val="none" w:sz="0" w:space="0" w:color="auto"/>
      </w:divBdr>
    </w:div>
    <w:div w:id="1297491411">
      <w:bodyDiv w:val="1"/>
      <w:marLeft w:val="0"/>
      <w:marRight w:val="0"/>
      <w:marTop w:val="0"/>
      <w:marBottom w:val="0"/>
      <w:divBdr>
        <w:top w:val="none" w:sz="0" w:space="0" w:color="auto"/>
        <w:left w:val="none" w:sz="0" w:space="0" w:color="auto"/>
        <w:bottom w:val="none" w:sz="0" w:space="0" w:color="auto"/>
        <w:right w:val="none" w:sz="0" w:space="0" w:color="auto"/>
      </w:divBdr>
    </w:div>
    <w:div w:id="1308896544">
      <w:bodyDiv w:val="1"/>
      <w:marLeft w:val="0"/>
      <w:marRight w:val="0"/>
      <w:marTop w:val="0"/>
      <w:marBottom w:val="0"/>
      <w:divBdr>
        <w:top w:val="none" w:sz="0" w:space="0" w:color="auto"/>
        <w:left w:val="none" w:sz="0" w:space="0" w:color="auto"/>
        <w:bottom w:val="none" w:sz="0" w:space="0" w:color="auto"/>
        <w:right w:val="none" w:sz="0" w:space="0" w:color="auto"/>
      </w:divBdr>
    </w:div>
    <w:div w:id="1314023303">
      <w:bodyDiv w:val="1"/>
      <w:marLeft w:val="0"/>
      <w:marRight w:val="0"/>
      <w:marTop w:val="0"/>
      <w:marBottom w:val="0"/>
      <w:divBdr>
        <w:top w:val="none" w:sz="0" w:space="0" w:color="auto"/>
        <w:left w:val="none" w:sz="0" w:space="0" w:color="auto"/>
        <w:bottom w:val="none" w:sz="0" w:space="0" w:color="auto"/>
        <w:right w:val="none" w:sz="0" w:space="0" w:color="auto"/>
      </w:divBdr>
    </w:div>
    <w:div w:id="1327828046">
      <w:bodyDiv w:val="1"/>
      <w:marLeft w:val="0"/>
      <w:marRight w:val="0"/>
      <w:marTop w:val="0"/>
      <w:marBottom w:val="0"/>
      <w:divBdr>
        <w:top w:val="none" w:sz="0" w:space="0" w:color="auto"/>
        <w:left w:val="none" w:sz="0" w:space="0" w:color="auto"/>
        <w:bottom w:val="none" w:sz="0" w:space="0" w:color="auto"/>
        <w:right w:val="none" w:sz="0" w:space="0" w:color="auto"/>
      </w:divBdr>
    </w:div>
    <w:div w:id="1337659880">
      <w:bodyDiv w:val="1"/>
      <w:marLeft w:val="0"/>
      <w:marRight w:val="0"/>
      <w:marTop w:val="0"/>
      <w:marBottom w:val="0"/>
      <w:divBdr>
        <w:top w:val="none" w:sz="0" w:space="0" w:color="auto"/>
        <w:left w:val="none" w:sz="0" w:space="0" w:color="auto"/>
        <w:bottom w:val="none" w:sz="0" w:space="0" w:color="auto"/>
        <w:right w:val="none" w:sz="0" w:space="0" w:color="auto"/>
      </w:divBdr>
    </w:div>
    <w:div w:id="1404139868">
      <w:bodyDiv w:val="1"/>
      <w:marLeft w:val="0"/>
      <w:marRight w:val="0"/>
      <w:marTop w:val="0"/>
      <w:marBottom w:val="0"/>
      <w:divBdr>
        <w:top w:val="none" w:sz="0" w:space="0" w:color="auto"/>
        <w:left w:val="none" w:sz="0" w:space="0" w:color="auto"/>
        <w:bottom w:val="none" w:sz="0" w:space="0" w:color="auto"/>
        <w:right w:val="none" w:sz="0" w:space="0" w:color="auto"/>
      </w:divBdr>
    </w:div>
    <w:div w:id="1409956999">
      <w:bodyDiv w:val="1"/>
      <w:marLeft w:val="0"/>
      <w:marRight w:val="0"/>
      <w:marTop w:val="0"/>
      <w:marBottom w:val="0"/>
      <w:divBdr>
        <w:top w:val="none" w:sz="0" w:space="0" w:color="auto"/>
        <w:left w:val="none" w:sz="0" w:space="0" w:color="auto"/>
        <w:bottom w:val="none" w:sz="0" w:space="0" w:color="auto"/>
        <w:right w:val="none" w:sz="0" w:space="0" w:color="auto"/>
      </w:divBdr>
    </w:div>
    <w:div w:id="1423600791">
      <w:bodyDiv w:val="1"/>
      <w:marLeft w:val="0"/>
      <w:marRight w:val="0"/>
      <w:marTop w:val="0"/>
      <w:marBottom w:val="0"/>
      <w:divBdr>
        <w:top w:val="none" w:sz="0" w:space="0" w:color="auto"/>
        <w:left w:val="none" w:sz="0" w:space="0" w:color="auto"/>
        <w:bottom w:val="none" w:sz="0" w:space="0" w:color="auto"/>
        <w:right w:val="none" w:sz="0" w:space="0" w:color="auto"/>
      </w:divBdr>
    </w:div>
    <w:div w:id="1434741275">
      <w:bodyDiv w:val="1"/>
      <w:marLeft w:val="0"/>
      <w:marRight w:val="0"/>
      <w:marTop w:val="0"/>
      <w:marBottom w:val="0"/>
      <w:divBdr>
        <w:top w:val="none" w:sz="0" w:space="0" w:color="auto"/>
        <w:left w:val="none" w:sz="0" w:space="0" w:color="auto"/>
        <w:bottom w:val="none" w:sz="0" w:space="0" w:color="auto"/>
        <w:right w:val="none" w:sz="0" w:space="0" w:color="auto"/>
      </w:divBdr>
    </w:div>
    <w:div w:id="1448739823">
      <w:bodyDiv w:val="1"/>
      <w:marLeft w:val="0"/>
      <w:marRight w:val="0"/>
      <w:marTop w:val="0"/>
      <w:marBottom w:val="0"/>
      <w:divBdr>
        <w:top w:val="none" w:sz="0" w:space="0" w:color="auto"/>
        <w:left w:val="none" w:sz="0" w:space="0" w:color="auto"/>
        <w:bottom w:val="none" w:sz="0" w:space="0" w:color="auto"/>
        <w:right w:val="none" w:sz="0" w:space="0" w:color="auto"/>
      </w:divBdr>
    </w:div>
    <w:div w:id="1450273742">
      <w:bodyDiv w:val="1"/>
      <w:marLeft w:val="0"/>
      <w:marRight w:val="0"/>
      <w:marTop w:val="0"/>
      <w:marBottom w:val="0"/>
      <w:divBdr>
        <w:top w:val="none" w:sz="0" w:space="0" w:color="auto"/>
        <w:left w:val="none" w:sz="0" w:space="0" w:color="auto"/>
        <w:bottom w:val="none" w:sz="0" w:space="0" w:color="auto"/>
        <w:right w:val="none" w:sz="0" w:space="0" w:color="auto"/>
      </w:divBdr>
    </w:div>
    <w:div w:id="1463961976">
      <w:bodyDiv w:val="1"/>
      <w:marLeft w:val="0"/>
      <w:marRight w:val="0"/>
      <w:marTop w:val="0"/>
      <w:marBottom w:val="0"/>
      <w:divBdr>
        <w:top w:val="none" w:sz="0" w:space="0" w:color="auto"/>
        <w:left w:val="none" w:sz="0" w:space="0" w:color="auto"/>
        <w:bottom w:val="none" w:sz="0" w:space="0" w:color="auto"/>
        <w:right w:val="none" w:sz="0" w:space="0" w:color="auto"/>
      </w:divBdr>
    </w:div>
    <w:div w:id="1481116027">
      <w:bodyDiv w:val="1"/>
      <w:marLeft w:val="0"/>
      <w:marRight w:val="0"/>
      <w:marTop w:val="0"/>
      <w:marBottom w:val="0"/>
      <w:divBdr>
        <w:top w:val="none" w:sz="0" w:space="0" w:color="auto"/>
        <w:left w:val="none" w:sz="0" w:space="0" w:color="auto"/>
        <w:bottom w:val="none" w:sz="0" w:space="0" w:color="auto"/>
        <w:right w:val="none" w:sz="0" w:space="0" w:color="auto"/>
      </w:divBdr>
    </w:div>
    <w:div w:id="1483422022">
      <w:bodyDiv w:val="1"/>
      <w:marLeft w:val="0"/>
      <w:marRight w:val="0"/>
      <w:marTop w:val="0"/>
      <w:marBottom w:val="0"/>
      <w:divBdr>
        <w:top w:val="none" w:sz="0" w:space="0" w:color="auto"/>
        <w:left w:val="none" w:sz="0" w:space="0" w:color="auto"/>
        <w:bottom w:val="none" w:sz="0" w:space="0" w:color="auto"/>
        <w:right w:val="none" w:sz="0" w:space="0" w:color="auto"/>
      </w:divBdr>
    </w:div>
    <w:div w:id="1521314473">
      <w:bodyDiv w:val="1"/>
      <w:marLeft w:val="0"/>
      <w:marRight w:val="0"/>
      <w:marTop w:val="0"/>
      <w:marBottom w:val="0"/>
      <w:divBdr>
        <w:top w:val="none" w:sz="0" w:space="0" w:color="auto"/>
        <w:left w:val="none" w:sz="0" w:space="0" w:color="auto"/>
        <w:bottom w:val="none" w:sz="0" w:space="0" w:color="auto"/>
        <w:right w:val="none" w:sz="0" w:space="0" w:color="auto"/>
      </w:divBdr>
    </w:div>
    <w:div w:id="1537346847">
      <w:bodyDiv w:val="1"/>
      <w:marLeft w:val="0"/>
      <w:marRight w:val="0"/>
      <w:marTop w:val="0"/>
      <w:marBottom w:val="0"/>
      <w:divBdr>
        <w:top w:val="none" w:sz="0" w:space="0" w:color="auto"/>
        <w:left w:val="none" w:sz="0" w:space="0" w:color="auto"/>
        <w:bottom w:val="none" w:sz="0" w:space="0" w:color="auto"/>
        <w:right w:val="none" w:sz="0" w:space="0" w:color="auto"/>
      </w:divBdr>
    </w:div>
    <w:div w:id="1547138813">
      <w:bodyDiv w:val="1"/>
      <w:marLeft w:val="0"/>
      <w:marRight w:val="0"/>
      <w:marTop w:val="0"/>
      <w:marBottom w:val="0"/>
      <w:divBdr>
        <w:top w:val="none" w:sz="0" w:space="0" w:color="auto"/>
        <w:left w:val="none" w:sz="0" w:space="0" w:color="auto"/>
        <w:bottom w:val="none" w:sz="0" w:space="0" w:color="auto"/>
        <w:right w:val="none" w:sz="0" w:space="0" w:color="auto"/>
      </w:divBdr>
    </w:div>
    <w:div w:id="1555194867">
      <w:bodyDiv w:val="1"/>
      <w:marLeft w:val="0"/>
      <w:marRight w:val="0"/>
      <w:marTop w:val="0"/>
      <w:marBottom w:val="0"/>
      <w:divBdr>
        <w:top w:val="none" w:sz="0" w:space="0" w:color="auto"/>
        <w:left w:val="none" w:sz="0" w:space="0" w:color="auto"/>
        <w:bottom w:val="none" w:sz="0" w:space="0" w:color="auto"/>
        <w:right w:val="none" w:sz="0" w:space="0" w:color="auto"/>
      </w:divBdr>
    </w:div>
    <w:div w:id="1559516218">
      <w:bodyDiv w:val="1"/>
      <w:marLeft w:val="0"/>
      <w:marRight w:val="0"/>
      <w:marTop w:val="0"/>
      <w:marBottom w:val="0"/>
      <w:divBdr>
        <w:top w:val="none" w:sz="0" w:space="0" w:color="auto"/>
        <w:left w:val="none" w:sz="0" w:space="0" w:color="auto"/>
        <w:bottom w:val="none" w:sz="0" w:space="0" w:color="auto"/>
        <w:right w:val="none" w:sz="0" w:space="0" w:color="auto"/>
      </w:divBdr>
    </w:div>
    <w:div w:id="1583224754">
      <w:bodyDiv w:val="1"/>
      <w:marLeft w:val="0"/>
      <w:marRight w:val="0"/>
      <w:marTop w:val="0"/>
      <w:marBottom w:val="0"/>
      <w:divBdr>
        <w:top w:val="none" w:sz="0" w:space="0" w:color="auto"/>
        <w:left w:val="none" w:sz="0" w:space="0" w:color="auto"/>
        <w:bottom w:val="none" w:sz="0" w:space="0" w:color="auto"/>
        <w:right w:val="none" w:sz="0" w:space="0" w:color="auto"/>
      </w:divBdr>
    </w:div>
    <w:div w:id="1585609682">
      <w:bodyDiv w:val="1"/>
      <w:marLeft w:val="0"/>
      <w:marRight w:val="0"/>
      <w:marTop w:val="0"/>
      <w:marBottom w:val="0"/>
      <w:divBdr>
        <w:top w:val="none" w:sz="0" w:space="0" w:color="auto"/>
        <w:left w:val="none" w:sz="0" w:space="0" w:color="auto"/>
        <w:bottom w:val="none" w:sz="0" w:space="0" w:color="auto"/>
        <w:right w:val="none" w:sz="0" w:space="0" w:color="auto"/>
      </w:divBdr>
    </w:div>
    <w:div w:id="1606422004">
      <w:bodyDiv w:val="1"/>
      <w:marLeft w:val="0"/>
      <w:marRight w:val="0"/>
      <w:marTop w:val="0"/>
      <w:marBottom w:val="0"/>
      <w:divBdr>
        <w:top w:val="none" w:sz="0" w:space="0" w:color="auto"/>
        <w:left w:val="none" w:sz="0" w:space="0" w:color="auto"/>
        <w:bottom w:val="none" w:sz="0" w:space="0" w:color="auto"/>
        <w:right w:val="none" w:sz="0" w:space="0" w:color="auto"/>
      </w:divBdr>
    </w:div>
    <w:div w:id="1609311769">
      <w:bodyDiv w:val="1"/>
      <w:marLeft w:val="0"/>
      <w:marRight w:val="0"/>
      <w:marTop w:val="0"/>
      <w:marBottom w:val="0"/>
      <w:divBdr>
        <w:top w:val="none" w:sz="0" w:space="0" w:color="auto"/>
        <w:left w:val="none" w:sz="0" w:space="0" w:color="auto"/>
        <w:bottom w:val="none" w:sz="0" w:space="0" w:color="auto"/>
        <w:right w:val="none" w:sz="0" w:space="0" w:color="auto"/>
      </w:divBdr>
    </w:div>
    <w:div w:id="1630625063">
      <w:bodyDiv w:val="1"/>
      <w:marLeft w:val="0"/>
      <w:marRight w:val="0"/>
      <w:marTop w:val="0"/>
      <w:marBottom w:val="0"/>
      <w:divBdr>
        <w:top w:val="none" w:sz="0" w:space="0" w:color="auto"/>
        <w:left w:val="none" w:sz="0" w:space="0" w:color="auto"/>
        <w:bottom w:val="none" w:sz="0" w:space="0" w:color="auto"/>
        <w:right w:val="none" w:sz="0" w:space="0" w:color="auto"/>
      </w:divBdr>
    </w:div>
    <w:div w:id="1641030737">
      <w:bodyDiv w:val="1"/>
      <w:marLeft w:val="0"/>
      <w:marRight w:val="0"/>
      <w:marTop w:val="0"/>
      <w:marBottom w:val="0"/>
      <w:divBdr>
        <w:top w:val="none" w:sz="0" w:space="0" w:color="auto"/>
        <w:left w:val="none" w:sz="0" w:space="0" w:color="auto"/>
        <w:bottom w:val="none" w:sz="0" w:space="0" w:color="auto"/>
        <w:right w:val="none" w:sz="0" w:space="0" w:color="auto"/>
      </w:divBdr>
    </w:div>
    <w:div w:id="1673146160">
      <w:bodyDiv w:val="1"/>
      <w:marLeft w:val="0"/>
      <w:marRight w:val="0"/>
      <w:marTop w:val="0"/>
      <w:marBottom w:val="0"/>
      <w:divBdr>
        <w:top w:val="none" w:sz="0" w:space="0" w:color="auto"/>
        <w:left w:val="none" w:sz="0" w:space="0" w:color="auto"/>
        <w:bottom w:val="none" w:sz="0" w:space="0" w:color="auto"/>
        <w:right w:val="none" w:sz="0" w:space="0" w:color="auto"/>
      </w:divBdr>
    </w:div>
    <w:div w:id="1674335360">
      <w:bodyDiv w:val="1"/>
      <w:marLeft w:val="0"/>
      <w:marRight w:val="0"/>
      <w:marTop w:val="0"/>
      <w:marBottom w:val="0"/>
      <w:divBdr>
        <w:top w:val="none" w:sz="0" w:space="0" w:color="auto"/>
        <w:left w:val="none" w:sz="0" w:space="0" w:color="auto"/>
        <w:bottom w:val="none" w:sz="0" w:space="0" w:color="auto"/>
        <w:right w:val="none" w:sz="0" w:space="0" w:color="auto"/>
      </w:divBdr>
    </w:div>
    <w:div w:id="1684015426">
      <w:bodyDiv w:val="1"/>
      <w:marLeft w:val="0"/>
      <w:marRight w:val="0"/>
      <w:marTop w:val="0"/>
      <w:marBottom w:val="0"/>
      <w:divBdr>
        <w:top w:val="none" w:sz="0" w:space="0" w:color="auto"/>
        <w:left w:val="none" w:sz="0" w:space="0" w:color="auto"/>
        <w:bottom w:val="none" w:sz="0" w:space="0" w:color="auto"/>
        <w:right w:val="none" w:sz="0" w:space="0" w:color="auto"/>
      </w:divBdr>
    </w:div>
    <w:div w:id="1690251493">
      <w:bodyDiv w:val="1"/>
      <w:marLeft w:val="0"/>
      <w:marRight w:val="0"/>
      <w:marTop w:val="0"/>
      <w:marBottom w:val="0"/>
      <w:divBdr>
        <w:top w:val="none" w:sz="0" w:space="0" w:color="auto"/>
        <w:left w:val="none" w:sz="0" w:space="0" w:color="auto"/>
        <w:bottom w:val="none" w:sz="0" w:space="0" w:color="auto"/>
        <w:right w:val="none" w:sz="0" w:space="0" w:color="auto"/>
      </w:divBdr>
    </w:div>
    <w:div w:id="1698655550">
      <w:bodyDiv w:val="1"/>
      <w:marLeft w:val="0"/>
      <w:marRight w:val="0"/>
      <w:marTop w:val="0"/>
      <w:marBottom w:val="0"/>
      <w:divBdr>
        <w:top w:val="none" w:sz="0" w:space="0" w:color="auto"/>
        <w:left w:val="none" w:sz="0" w:space="0" w:color="auto"/>
        <w:bottom w:val="none" w:sz="0" w:space="0" w:color="auto"/>
        <w:right w:val="none" w:sz="0" w:space="0" w:color="auto"/>
      </w:divBdr>
    </w:div>
    <w:div w:id="1711762517">
      <w:bodyDiv w:val="1"/>
      <w:marLeft w:val="0"/>
      <w:marRight w:val="0"/>
      <w:marTop w:val="0"/>
      <w:marBottom w:val="0"/>
      <w:divBdr>
        <w:top w:val="none" w:sz="0" w:space="0" w:color="auto"/>
        <w:left w:val="none" w:sz="0" w:space="0" w:color="auto"/>
        <w:bottom w:val="none" w:sz="0" w:space="0" w:color="auto"/>
        <w:right w:val="none" w:sz="0" w:space="0" w:color="auto"/>
      </w:divBdr>
    </w:div>
    <w:div w:id="1732382248">
      <w:bodyDiv w:val="1"/>
      <w:marLeft w:val="0"/>
      <w:marRight w:val="0"/>
      <w:marTop w:val="0"/>
      <w:marBottom w:val="0"/>
      <w:divBdr>
        <w:top w:val="none" w:sz="0" w:space="0" w:color="auto"/>
        <w:left w:val="none" w:sz="0" w:space="0" w:color="auto"/>
        <w:bottom w:val="none" w:sz="0" w:space="0" w:color="auto"/>
        <w:right w:val="none" w:sz="0" w:space="0" w:color="auto"/>
      </w:divBdr>
    </w:div>
    <w:div w:id="1742941155">
      <w:bodyDiv w:val="1"/>
      <w:marLeft w:val="0"/>
      <w:marRight w:val="0"/>
      <w:marTop w:val="0"/>
      <w:marBottom w:val="0"/>
      <w:divBdr>
        <w:top w:val="none" w:sz="0" w:space="0" w:color="auto"/>
        <w:left w:val="none" w:sz="0" w:space="0" w:color="auto"/>
        <w:bottom w:val="none" w:sz="0" w:space="0" w:color="auto"/>
        <w:right w:val="none" w:sz="0" w:space="0" w:color="auto"/>
      </w:divBdr>
    </w:div>
    <w:div w:id="1775785114">
      <w:bodyDiv w:val="1"/>
      <w:marLeft w:val="0"/>
      <w:marRight w:val="0"/>
      <w:marTop w:val="0"/>
      <w:marBottom w:val="0"/>
      <w:divBdr>
        <w:top w:val="none" w:sz="0" w:space="0" w:color="auto"/>
        <w:left w:val="none" w:sz="0" w:space="0" w:color="auto"/>
        <w:bottom w:val="none" w:sz="0" w:space="0" w:color="auto"/>
        <w:right w:val="none" w:sz="0" w:space="0" w:color="auto"/>
      </w:divBdr>
    </w:div>
    <w:div w:id="1815678927">
      <w:bodyDiv w:val="1"/>
      <w:marLeft w:val="0"/>
      <w:marRight w:val="0"/>
      <w:marTop w:val="0"/>
      <w:marBottom w:val="0"/>
      <w:divBdr>
        <w:top w:val="none" w:sz="0" w:space="0" w:color="auto"/>
        <w:left w:val="none" w:sz="0" w:space="0" w:color="auto"/>
        <w:bottom w:val="none" w:sz="0" w:space="0" w:color="auto"/>
        <w:right w:val="none" w:sz="0" w:space="0" w:color="auto"/>
      </w:divBdr>
    </w:div>
    <w:div w:id="1825076987">
      <w:bodyDiv w:val="1"/>
      <w:marLeft w:val="0"/>
      <w:marRight w:val="0"/>
      <w:marTop w:val="0"/>
      <w:marBottom w:val="0"/>
      <w:divBdr>
        <w:top w:val="none" w:sz="0" w:space="0" w:color="auto"/>
        <w:left w:val="none" w:sz="0" w:space="0" w:color="auto"/>
        <w:bottom w:val="none" w:sz="0" w:space="0" w:color="auto"/>
        <w:right w:val="none" w:sz="0" w:space="0" w:color="auto"/>
      </w:divBdr>
    </w:div>
    <w:div w:id="1835223428">
      <w:bodyDiv w:val="1"/>
      <w:marLeft w:val="0"/>
      <w:marRight w:val="0"/>
      <w:marTop w:val="0"/>
      <w:marBottom w:val="0"/>
      <w:divBdr>
        <w:top w:val="none" w:sz="0" w:space="0" w:color="auto"/>
        <w:left w:val="none" w:sz="0" w:space="0" w:color="auto"/>
        <w:bottom w:val="none" w:sz="0" w:space="0" w:color="auto"/>
        <w:right w:val="none" w:sz="0" w:space="0" w:color="auto"/>
      </w:divBdr>
    </w:div>
    <w:div w:id="1856070607">
      <w:bodyDiv w:val="1"/>
      <w:marLeft w:val="0"/>
      <w:marRight w:val="0"/>
      <w:marTop w:val="0"/>
      <w:marBottom w:val="0"/>
      <w:divBdr>
        <w:top w:val="none" w:sz="0" w:space="0" w:color="auto"/>
        <w:left w:val="none" w:sz="0" w:space="0" w:color="auto"/>
        <w:bottom w:val="none" w:sz="0" w:space="0" w:color="auto"/>
        <w:right w:val="none" w:sz="0" w:space="0" w:color="auto"/>
      </w:divBdr>
    </w:div>
    <w:div w:id="1865628311">
      <w:bodyDiv w:val="1"/>
      <w:marLeft w:val="0"/>
      <w:marRight w:val="0"/>
      <w:marTop w:val="0"/>
      <w:marBottom w:val="0"/>
      <w:divBdr>
        <w:top w:val="none" w:sz="0" w:space="0" w:color="auto"/>
        <w:left w:val="none" w:sz="0" w:space="0" w:color="auto"/>
        <w:bottom w:val="none" w:sz="0" w:space="0" w:color="auto"/>
        <w:right w:val="none" w:sz="0" w:space="0" w:color="auto"/>
      </w:divBdr>
    </w:div>
    <w:div w:id="1866749382">
      <w:bodyDiv w:val="1"/>
      <w:marLeft w:val="0"/>
      <w:marRight w:val="0"/>
      <w:marTop w:val="0"/>
      <w:marBottom w:val="0"/>
      <w:divBdr>
        <w:top w:val="none" w:sz="0" w:space="0" w:color="auto"/>
        <w:left w:val="none" w:sz="0" w:space="0" w:color="auto"/>
        <w:bottom w:val="none" w:sz="0" w:space="0" w:color="auto"/>
        <w:right w:val="none" w:sz="0" w:space="0" w:color="auto"/>
      </w:divBdr>
    </w:div>
    <w:div w:id="1873691235">
      <w:bodyDiv w:val="1"/>
      <w:marLeft w:val="0"/>
      <w:marRight w:val="0"/>
      <w:marTop w:val="0"/>
      <w:marBottom w:val="0"/>
      <w:divBdr>
        <w:top w:val="none" w:sz="0" w:space="0" w:color="auto"/>
        <w:left w:val="none" w:sz="0" w:space="0" w:color="auto"/>
        <w:bottom w:val="none" w:sz="0" w:space="0" w:color="auto"/>
        <w:right w:val="none" w:sz="0" w:space="0" w:color="auto"/>
      </w:divBdr>
    </w:div>
    <w:div w:id="1878158786">
      <w:bodyDiv w:val="1"/>
      <w:marLeft w:val="0"/>
      <w:marRight w:val="0"/>
      <w:marTop w:val="0"/>
      <w:marBottom w:val="0"/>
      <w:divBdr>
        <w:top w:val="none" w:sz="0" w:space="0" w:color="auto"/>
        <w:left w:val="none" w:sz="0" w:space="0" w:color="auto"/>
        <w:bottom w:val="none" w:sz="0" w:space="0" w:color="auto"/>
        <w:right w:val="none" w:sz="0" w:space="0" w:color="auto"/>
      </w:divBdr>
    </w:div>
    <w:div w:id="1879315369">
      <w:bodyDiv w:val="1"/>
      <w:marLeft w:val="0"/>
      <w:marRight w:val="0"/>
      <w:marTop w:val="0"/>
      <w:marBottom w:val="0"/>
      <w:divBdr>
        <w:top w:val="none" w:sz="0" w:space="0" w:color="auto"/>
        <w:left w:val="none" w:sz="0" w:space="0" w:color="auto"/>
        <w:bottom w:val="none" w:sz="0" w:space="0" w:color="auto"/>
        <w:right w:val="none" w:sz="0" w:space="0" w:color="auto"/>
      </w:divBdr>
    </w:div>
    <w:div w:id="1893074450">
      <w:bodyDiv w:val="1"/>
      <w:marLeft w:val="0"/>
      <w:marRight w:val="0"/>
      <w:marTop w:val="0"/>
      <w:marBottom w:val="0"/>
      <w:divBdr>
        <w:top w:val="none" w:sz="0" w:space="0" w:color="auto"/>
        <w:left w:val="none" w:sz="0" w:space="0" w:color="auto"/>
        <w:bottom w:val="none" w:sz="0" w:space="0" w:color="auto"/>
        <w:right w:val="none" w:sz="0" w:space="0" w:color="auto"/>
      </w:divBdr>
    </w:div>
    <w:div w:id="1904635579">
      <w:bodyDiv w:val="1"/>
      <w:marLeft w:val="0"/>
      <w:marRight w:val="0"/>
      <w:marTop w:val="0"/>
      <w:marBottom w:val="0"/>
      <w:divBdr>
        <w:top w:val="none" w:sz="0" w:space="0" w:color="auto"/>
        <w:left w:val="none" w:sz="0" w:space="0" w:color="auto"/>
        <w:bottom w:val="none" w:sz="0" w:space="0" w:color="auto"/>
        <w:right w:val="none" w:sz="0" w:space="0" w:color="auto"/>
      </w:divBdr>
    </w:div>
    <w:div w:id="1915968760">
      <w:bodyDiv w:val="1"/>
      <w:marLeft w:val="0"/>
      <w:marRight w:val="0"/>
      <w:marTop w:val="0"/>
      <w:marBottom w:val="0"/>
      <w:divBdr>
        <w:top w:val="none" w:sz="0" w:space="0" w:color="auto"/>
        <w:left w:val="none" w:sz="0" w:space="0" w:color="auto"/>
        <w:bottom w:val="none" w:sz="0" w:space="0" w:color="auto"/>
        <w:right w:val="none" w:sz="0" w:space="0" w:color="auto"/>
      </w:divBdr>
    </w:div>
    <w:div w:id="1935166326">
      <w:bodyDiv w:val="1"/>
      <w:marLeft w:val="0"/>
      <w:marRight w:val="0"/>
      <w:marTop w:val="0"/>
      <w:marBottom w:val="0"/>
      <w:divBdr>
        <w:top w:val="none" w:sz="0" w:space="0" w:color="auto"/>
        <w:left w:val="none" w:sz="0" w:space="0" w:color="auto"/>
        <w:bottom w:val="none" w:sz="0" w:space="0" w:color="auto"/>
        <w:right w:val="none" w:sz="0" w:space="0" w:color="auto"/>
      </w:divBdr>
    </w:div>
    <w:div w:id="1949896470">
      <w:bodyDiv w:val="1"/>
      <w:marLeft w:val="0"/>
      <w:marRight w:val="0"/>
      <w:marTop w:val="0"/>
      <w:marBottom w:val="0"/>
      <w:divBdr>
        <w:top w:val="none" w:sz="0" w:space="0" w:color="auto"/>
        <w:left w:val="none" w:sz="0" w:space="0" w:color="auto"/>
        <w:bottom w:val="none" w:sz="0" w:space="0" w:color="auto"/>
        <w:right w:val="none" w:sz="0" w:space="0" w:color="auto"/>
      </w:divBdr>
    </w:div>
    <w:div w:id="1980331723">
      <w:bodyDiv w:val="1"/>
      <w:marLeft w:val="0"/>
      <w:marRight w:val="0"/>
      <w:marTop w:val="0"/>
      <w:marBottom w:val="0"/>
      <w:divBdr>
        <w:top w:val="none" w:sz="0" w:space="0" w:color="auto"/>
        <w:left w:val="none" w:sz="0" w:space="0" w:color="auto"/>
        <w:bottom w:val="none" w:sz="0" w:space="0" w:color="auto"/>
        <w:right w:val="none" w:sz="0" w:space="0" w:color="auto"/>
      </w:divBdr>
    </w:div>
    <w:div w:id="1980451498">
      <w:bodyDiv w:val="1"/>
      <w:marLeft w:val="0"/>
      <w:marRight w:val="0"/>
      <w:marTop w:val="0"/>
      <w:marBottom w:val="0"/>
      <w:divBdr>
        <w:top w:val="none" w:sz="0" w:space="0" w:color="auto"/>
        <w:left w:val="none" w:sz="0" w:space="0" w:color="auto"/>
        <w:bottom w:val="none" w:sz="0" w:space="0" w:color="auto"/>
        <w:right w:val="none" w:sz="0" w:space="0" w:color="auto"/>
      </w:divBdr>
    </w:div>
    <w:div w:id="1990398204">
      <w:bodyDiv w:val="1"/>
      <w:marLeft w:val="0"/>
      <w:marRight w:val="0"/>
      <w:marTop w:val="0"/>
      <w:marBottom w:val="0"/>
      <w:divBdr>
        <w:top w:val="none" w:sz="0" w:space="0" w:color="auto"/>
        <w:left w:val="none" w:sz="0" w:space="0" w:color="auto"/>
        <w:bottom w:val="none" w:sz="0" w:space="0" w:color="auto"/>
        <w:right w:val="none" w:sz="0" w:space="0" w:color="auto"/>
      </w:divBdr>
    </w:div>
    <w:div w:id="2015721558">
      <w:bodyDiv w:val="1"/>
      <w:marLeft w:val="0"/>
      <w:marRight w:val="0"/>
      <w:marTop w:val="0"/>
      <w:marBottom w:val="0"/>
      <w:divBdr>
        <w:top w:val="none" w:sz="0" w:space="0" w:color="auto"/>
        <w:left w:val="none" w:sz="0" w:space="0" w:color="auto"/>
        <w:bottom w:val="none" w:sz="0" w:space="0" w:color="auto"/>
        <w:right w:val="none" w:sz="0" w:space="0" w:color="auto"/>
      </w:divBdr>
    </w:div>
    <w:div w:id="2016105477">
      <w:bodyDiv w:val="1"/>
      <w:marLeft w:val="0"/>
      <w:marRight w:val="0"/>
      <w:marTop w:val="0"/>
      <w:marBottom w:val="0"/>
      <w:divBdr>
        <w:top w:val="none" w:sz="0" w:space="0" w:color="auto"/>
        <w:left w:val="none" w:sz="0" w:space="0" w:color="auto"/>
        <w:bottom w:val="none" w:sz="0" w:space="0" w:color="auto"/>
        <w:right w:val="none" w:sz="0" w:space="0" w:color="auto"/>
      </w:divBdr>
    </w:div>
    <w:div w:id="2021855424">
      <w:bodyDiv w:val="1"/>
      <w:marLeft w:val="0"/>
      <w:marRight w:val="0"/>
      <w:marTop w:val="0"/>
      <w:marBottom w:val="0"/>
      <w:divBdr>
        <w:top w:val="none" w:sz="0" w:space="0" w:color="auto"/>
        <w:left w:val="none" w:sz="0" w:space="0" w:color="auto"/>
        <w:bottom w:val="none" w:sz="0" w:space="0" w:color="auto"/>
        <w:right w:val="none" w:sz="0" w:space="0" w:color="auto"/>
      </w:divBdr>
      <w:divsChild>
        <w:div w:id="1693648689">
          <w:marLeft w:val="0"/>
          <w:marRight w:val="0"/>
          <w:marTop w:val="0"/>
          <w:marBottom w:val="0"/>
          <w:divBdr>
            <w:top w:val="none" w:sz="0" w:space="0" w:color="auto"/>
            <w:left w:val="none" w:sz="0" w:space="0" w:color="auto"/>
            <w:bottom w:val="none" w:sz="0" w:space="0" w:color="auto"/>
            <w:right w:val="none" w:sz="0" w:space="0" w:color="auto"/>
          </w:divBdr>
          <w:divsChild>
            <w:div w:id="408617907">
              <w:marLeft w:val="0"/>
              <w:marRight w:val="0"/>
              <w:marTop w:val="0"/>
              <w:marBottom w:val="0"/>
              <w:divBdr>
                <w:top w:val="none" w:sz="0" w:space="0" w:color="auto"/>
                <w:left w:val="none" w:sz="0" w:space="0" w:color="auto"/>
                <w:bottom w:val="none" w:sz="0" w:space="0" w:color="auto"/>
                <w:right w:val="none" w:sz="0" w:space="0" w:color="auto"/>
              </w:divBdr>
              <w:divsChild>
                <w:div w:id="994336371">
                  <w:marLeft w:val="0"/>
                  <w:marRight w:val="0"/>
                  <w:marTop w:val="0"/>
                  <w:marBottom w:val="0"/>
                  <w:divBdr>
                    <w:top w:val="none" w:sz="0" w:space="0" w:color="auto"/>
                    <w:left w:val="none" w:sz="0" w:space="0" w:color="auto"/>
                    <w:bottom w:val="none" w:sz="0" w:space="0" w:color="auto"/>
                    <w:right w:val="none" w:sz="0" w:space="0" w:color="auto"/>
                  </w:divBdr>
                  <w:divsChild>
                    <w:div w:id="1873378209">
                      <w:marLeft w:val="0"/>
                      <w:marRight w:val="0"/>
                      <w:marTop w:val="0"/>
                      <w:marBottom w:val="0"/>
                      <w:divBdr>
                        <w:top w:val="none" w:sz="0" w:space="0" w:color="auto"/>
                        <w:left w:val="none" w:sz="0" w:space="0" w:color="auto"/>
                        <w:bottom w:val="none" w:sz="0" w:space="0" w:color="auto"/>
                        <w:right w:val="none" w:sz="0" w:space="0" w:color="auto"/>
                      </w:divBdr>
                      <w:divsChild>
                        <w:div w:id="895509087">
                          <w:marLeft w:val="0"/>
                          <w:marRight w:val="0"/>
                          <w:marTop w:val="0"/>
                          <w:marBottom w:val="0"/>
                          <w:divBdr>
                            <w:top w:val="none" w:sz="0" w:space="0" w:color="auto"/>
                            <w:left w:val="none" w:sz="0" w:space="0" w:color="auto"/>
                            <w:bottom w:val="none" w:sz="0" w:space="0" w:color="auto"/>
                            <w:right w:val="none" w:sz="0" w:space="0" w:color="auto"/>
                          </w:divBdr>
                          <w:divsChild>
                            <w:div w:id="816147328">
                              <w:marLeft w:val="0"/>
                              <w:marRight w:val="0"/>
                              <w:marTop w:val="0"/>
                              <w:marBottom w:val="0"/>
                              <w:divBdr>
                                <w:top w:val="none" w:sz="0" w:space="0" w:color="auto"/>
                                <w:left w:val="none" w:sz="0" w:space="0" w:color="auto"/>
                                <w:bottom w:val="none" w:sz="0" w:space="0" w:color="auto"/>
                                <w:right w:val="none" w:sz="0" w:space="0" w:color="auto"/>
                              </w:divBdr>
                              <w:divsChild>
                                <w:div w:id="312224459">
                                  <w:marLeft w:val="0"/>
                                  <w:marRight w:val="0"/>
                                  <w:marTop w:val="0"/>
                                  <w:marBottom w:val="0"/>
                                  <w:divBdr>
                                    <w:top w:val="none" w:sz="0" w:space="0" w:color="auto"/>
                                    <w:left w:val="none" w:sz="0" w:space="0" w:color="auto"/>
                                    <w:bottom w:val="none" w:sz="0" w:space="0" w:color="auto"/>
                                    <w:right w:val="none" w:sz="0" w:space="0" w:color="auto"/>
                                  </w:divBdr>
                                  <w:divsChild>
                                    <w:div w:id="9541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5554067">
                      <w:marLeft w:val="0"/>
                      <w:marRight w:val="0"/>
                      <w:marTop w:val="0"/>
                      <w:marBottom w:val="0"/>
                      <w:divBdr>
                        <w:top w:val="none" w:sz="0" w:space="0" w:color="auto"/>
                        <w:left w:val="none" w:sz="0" w:space="0" w:color="auto"/>
                        <w:bottom w:val="none" w:sz="0" w:space="0" w:color="auto"/>
                        <w:right w:val="none" w:sz="0" w:space="0" w:color="auto"/>
                      </w:divBdr>
                      <w:divsChild>
                        <w:div w:id="7741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446468">
      <w:bodyDiv w:val="1"/>
      <w:marLeft w:val="0"/>
      <w:marRight w:val="0"/>
      <w:marTop w:val="0"/>
      <w:marBottom w:val="0"/>
      <w:divBdr>
        <w:top w:val="none" w:sz="0" w:space="0" w:color="auto"/>
        <w:left w:val="none" w:sz="0" w:space="0" w:color="auto"/>
        <w:bottom w:val="none" w:sz="0" w:space="0" w:color="auto"/>
        <w:right w:val="none" w:sz="0" w:space="0" w:color="auto"/>
      </w:divBdr>
    </w:div>
    <w:div w:id="2035031262">
      <w:bodyDiv w:val="1"/>
      <w:marLeft w:val="0"/>
      <w:marRight w:val="0"/>
      <w:marTop w:val="0"/>
      <w:marBottom w:val="0"/>
      <w:divBdr>
        <w:top w:val="none" w:sz="0" w:space="0" w:color="auto"/>
        <w:left w:val="none" w:sz="0" w:space="0" w:color="auto"/>
        <w:bottom w:val="none" w:sz="0" w:space="0" w:color="auto"/>
        <w:right w:val="none" w:sz="0" w:space="0" w:color="auto"/>
      </w:divBdr>
    </w:div>
    <w:div w:id="2048019018">
      <w:bodyDiv w:val="1"/>
      <w:marLeft w:val="0"/>
      <w:marRight w:val="0"/>
      <w:marTop w:val="0"/>
      <w:marBottom w:val="0"/>
      <w:divBdr>
        <w:top w:val="none" w:sz="0" w:space="0" w:color="auto"/>
        <w:left w:val="none" w:sz="0" w:space="0" w:color="auto"/>
        <w:bottom w:val="none" w:sz="0" w:space="0" w:color="auto"/>
        <w:right w:val="none" w:sz="0" w:space="0" w:color="auto"/>
      </w:divBdr>
    </w:div>
    <w:div w:id="2062708516">
      <w:bodyDiv w:val="1"/>
      <w:marLeft w:val="0"/>
      <w:marRight w:val="0"/>
      <w:marTop w:val="0"/>
      <w:marBottom w:val="0"/>
      <w:divBdr>
        <w:top w:val="none" w:sz="0" w:space="0" w:color="auto"/>
        <w:left w:val="none" w:sz="0" w:space="0" w:color="auto"/>
        <w:bottom w:val="none" w:sz="0" w:space="0" w:color="auto"/>
        <w:right w:val="none" w:sz="0" w:space="0" w:color="auto"/>
      </w:divBdr>
    </w:div>
    <w:div w:id="2069568292">
      <w:bodyDiv w:val="1"/>
      <w:marLeft w:val="0"/>
      <w:marRight w:val="0"/>
      <w:marTop w:val="0"/>
      <w:marBottom w:val="0"/>
      <w:divBdr>
        <w:top w:val="none" w:sz="0" w:space="0" w:color="auto"/>
        <w:left w:val="none" w:sz="0" w:space="0" w:color="auto"/>
        <w:bottom w:val="none" w:sz="0" w:space="0" w:color="auto"/>
        <w:right w:val="none" w:sz="0" w:space="0" w:color="auto"/>
      </w:divBdr>
    </w:div>
    <w:div w:id="2076972273">
      <w:bodyDiv w:val="1"/>
      <w:marLeft w:val="0"/>
      <w:marRight w:val="0"/>
      <w:marTop w:val="0"/>
      <w:marBottom w:val="0"/>
      <w:divBdr>
        <w:top w:val="none" w:sz="0" w:space="0" w:color="auto"/>
        <w:left w:val="none" w:sz="0" w:space="0" w:color="auto"/>
        <w:bottom w:val="none" w:sz="0" w:space="0" w:color="auto"/>
        <w:right w:val="none" w:sz="0" w:space="0" w:color="auto"/>
      </w:divBdr>
    </w:div>
    <w:div w:id="2099448971">
      <w:bodyDiv w:val="1"/>
      <w:marLeft w:val="0"/>
      <w:marRight w:val="0"/>
      <w:marTop w:val="0"/>
      <w:marBottom w:val="0"/>
      <w:divBdr>
        <w:top w:val="none" w:sz="0" w:space="0" w:color="auto"/>
        <w:left w:val="none" w:sz="0" w:space="0" w:color="auto"/>
        <w:bottom w:val="none" w:sz="0" w:space="0" w:color="auto"/>
        <w:right w:val="none" w:sz="0" w:space="0" w:color="auto"/>
      </w:divBdr>
    </w:div>
    <w:div w:id="2125925517">
      <w:bodyDiv w:val="1"/>
      <w:marLeft w:val="0"/>
      <w:marRight w:val="0"/>
      <w:marTop w:val="0"/>
      <w:marBottom w:val="0"/>
      <w:divBdr>
        <w:top w:val="none" w:sz="0" w:space="0" w:color="auto"/>
        <w:left w:val="none" w:sz="0" w:space="0" w:color="auto"/>
        <w:bottom w:val="none" w:sz="0" w:space="0" w:color="auto"/>
        <w:right w:val="none" w:sz="0" w:space="0" w:color="auto"/>
      </w:divBdr>
    </w:div>
    <w:div w:id="2142765384">
      <w:bodyDiv w:val="1"/>
      <w:marLeft w:val="0"/>
      <w:marRight w:val="0"/>
      <w:marTop w:val="0"/>
      <w:marBottom w:val="0"/>
      <w:divBdr>
        <w:top w:val="none" w:sz="0" w:space="0" w:color="auto"/>
        <w:left w:val="none" w:sz="0" w:space="0" w:color="auto"/>
        <w:bottom w:val="none" w:sz="0" w:space="0" w:color="auto"/>
        <w:right w:val="none" w:sz="0" w:space="0" w:color="auto"/>
      </w:divBdr>
    </w:div>
    <w:div w:id="2144469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8" Target="https://clinicaltrials.gov/study/NCT06625775" TargetMode="External" /><Relationship Type="http://schemas.openxmlformats.org/officeDocument/2006/relationships/hyperlink" Id="rId40" Target="https://datacommons.cancer.gov/cloud-resources" TargetMode="External" /><Relationship Type="http://schemas.openxmlformats.org/officeDocument/2006/relationships/hyperlink" Id="rId118" Target="https://dpcpsi.nih.gov/thro/tribal-consultations/national-institute-minority-health-and-health-disparities-nimhd-initiative-improving-american" TargetMode="External" /><Relationship Type="http://schemas.openxmlformats.org/officeDocument/2006/relationships/hyperlink" Id="rId124" Target="https://grants.nih.gov/grants/guide/notice-files/NOT-MD-24-015.html" TargetMode="External" /><Relationship Type="http://schemas.openxmlformats.org/officeDocument/2006/relationships/hyperlink" Id="rId107" Target="https://onlinelibrary.wiley.com/doi/10.1002/em.22534" TargetMode="External" /><Relationship Type="http://schemas.openxmlformats.org/officeDocument/2006/relationships/hyperlink" Id="rId80" Target="https://prevention.cancer.gov/major-programs/cancer-screening-research-network-csrn" TargetMode="External" /><Relationship Type="http://schemas.openxmlformats.org/officeDocument/2006/relationships/hyperlink" Id="rId45" Target="https://progressreport.cancer.gov" TargetMode="External" /><Relationship Type="http://schemas.openxmlformats.org/officeDocument/2006/relationships/hyperlink" Id="rId181" Target="https://pubmed.ncbi.nlm.nih.gov/35773409" TargetMode="External" /><Relationship Type="http://schemas.openxmlformats.org/officeDocument/2006/relationships/hyperlink" Id="rId174" Target="https://pubmed.ncbi.nlm.nih.gov/36823587" TargetMode="External" /><Relationship Type="http://schemas.openxmlformats.org/officeDocument/2006/relationships/hyperlink" Id="rId128" Target="https://pubmed.ncbi.nlm.nih.gov/37169842" TargetMode="External" /><Relationship Type="http://schemas.openxmlformats.org/officeDocument/2006/relationships/hyperlink" Id="rId205" Target="https://pubmed.ncbi.nlm.nih.gov/37289928" TargetMode="External" /><Relationship Type="http://schemas.openxmlformats.org/officeDocument/2006/relationships/hyperlink" Id="rId50" Target="https://www.cancer.gov/research/infrastructure/clinical-trials/ctiu" TargetMode="External" /><Relationship Type="http://schemas.openxmlformats.org/officeDocument/2006/relationships/hyperlink" Id="rId57" Target="https://www.cancer.gov/research/leading-progress/stories/cytalux" TargetMode="External" /><Relationship Type="http://schemas.openxmlformats.org/officeDocument/2006/relationships/hyperlink" Id="rId131" Target="https://www.midrc.org" TargetMode="External" /><Relationship Type="http://schemas.openxmlformats.org/officeDocument/2006/relationships/hyperlink" Id="rId228" Target="https://www.nidcr.nih.gov/grants-funding/research-funded-by-nidcr-extramural/ahead" TargetMode="External" /></Relationships>
</file>

<file path=word/_rels/footnotes.xml.rels><?xml version="1.0" encoding="UTF-8"?><Relationships xmlns="http://schemas.openxmlformats.org/package/2006/relationships"><Relationship Type="http://schemas.openxmlformats.org/officeDocument/2006/relationships/hyperlink" Id="rId138" Target="https://clinicaltrials.gov/study/NCT06625775" TargetMode="External" /><Relationship Type="http://schemas.openxmlformats.org/officeDocument/2006/relationships/hyperlink" Id="rId40" Target="https://datacommons.cancer.gov/cloud-resources" TargetMode="External" /><Relationship Type="http://schemas.openxmlformats.org/officeDocument/2006/relationships/hyperlink" Id="rId118" Target="https://dpcpsi.nih.gov/thro/tribal-consultations/national-institute-minority-health-and-health-disparities-nimhd-initiative-improving-american" TargetMode="External" /><Relationship Type="http://schemas.openxmlformats.org/officeDocument/2006/relationships/hyperlink" Id="rId124" Target="https://grants.nih.gov/grants/guide/notice-files/NOT-MD-24-015.html" TargetMode="External" /><Relationship Type="http://schemas.openxmlformats.org/officeDocument/2006/relationships/hyperlink" Id="rId107" Target="https://onlinelibrary.wiley.com/doi/10.1002/em.22534" TargetMode="External" /><Relationship Type="http://schemas.openxmlformats.org/officeDocument/2006/relationships/hyperlink" Id="rId80" Target="https://prevention.cancer.gov/major-programs/cancer-screening-research-network-csrn" TargetMode="External" /><Relationship Type="http://schemas.openxmlformats.org/officeDocument/2006/relationships/hyperlink" Id="rId45" Target="https://progressreport.cancer.gov" TargetMode="External" /><Relationship Type="http://schemas.openxmlformats.org/officeDocument/2006/relationships/hyperlink" Id="rId181" Target="https://pubmed.ncbi.nlm.nih.gov/35773409" TargetMode="External" /><Relationship Type="http://schemas.openxmlformats.org/officeDocument/2006/relationships/hyperlink" Id="rId174" Target="https://pubmed.ncbi.nlm.nih.gov/36823587" TargetMode="External" /><Relationship Type="http://schemas.openxmlformats.org/officeDocument/2006/relationships/hyperlink" Id="rId128" Target="https://pubmed.ncbi.nlm.nih.gov/37169842" TargetMode="External" /><Relationship Type="http://schemas.openxmlformats.org/officeDocument/2006/relationships/hyperlink" Id="rId205" Target="https://pubmed.ncbi.nlm.nih.gov/37289928" TargetMode="External" /><Relationship Type="http://schemas.openxmlformats.org/officeDocument/2006/relationships/hyperlink" Id="rId50" Target="https://www.cancer.gov/research/infrastructure/clinical-trials/ctiu" TargetMode="External" /><Relationship Type="http://schemas.openxmlformats.org/officeDocument/2006/relationships/hyperlink" Id="rId57" Target="https://www.cancer.gov/research/leading-progress/stories/cytalux" TargetMode="External" /><Relationship Type="http://schemas.openxmlformats.org/officeDocument/2006/relationships/hyperlink" Id="rId131" Target="https://www.midrc.org" TargetMode="External" /><Relationship Type="http://schemas.openxmlformats.org/officeDocument/2006/relationships/hyperlink" Id="rId228" Target="https://www.nidcr.nih.gov/grants-funding/research-funded-by-nidcr-extramural/ah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7981</Words>
  <Characters>45493</Characters>
  <Application>Microsoft Office Word</Application>
  <DocSecurity>0</DocSecurity>
  <Lines>379</Lines>
  <Paragraphs>106</Paragraphs>
  <ScaleCrop>false</ScaleCrop>
  <Company/>
  <LinksUpToDate>false</LinksUpToDate>
  <CharactersWithSpaces>53368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2026-02-14T12:51:35Z</dcterms:created>
  <dcterms:modified xsi:type="dcterms:W3CDTF">2026-02-14T12:51:35Z</dcterms:modified>
</cp:coreProperties>
</file>

<file path=docProps/custom.xml><?xml version="1.0" encoding="utf-8"?>
<Properties xmlns="http://schemas.openxmlformats.org/officeDocument/2006/custom-properties" xmlns:vt="http://schemas.openxmlformats.org/officeDocument/2006/docPropsVTypes"/>
</file>