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2"/>
      </w:pPr>
      <w:r>
        <w:t xml:space="preserve">Introduction</w:t>
      </w:r>
    </w:p>
    <w:p>
      <w:pPr>
        <w:pStyle w:val="FirstParagraph"/>
      </w:pPr>
      <w:r>
        <w:t xml:space="preserve">Advances in cancer research have led to improved outcomes, with a focus on developing targeted therapies and combination treatments that address the complex biology of cancer. The implementation of these therapies has been facilitated by collaborations between institutes such as NCI, NCATS, and NIEHS, which have worked together to develop and test new treatments. Furthermore, the use of advanced imaging and AI tools has enabled researchers to better understand the mechanisms of cancer and develop more effective treatments.</w:t>
      </w:r>
    </w:p>
    <w:p>
      <w:r>
        <w:br w:type="page"/>
      </w:r>
    </w:p>
    <w:bookmarkEnd w:id="20"/>
    <w:bookmarkStart w:id="21" w:name="summary"/>
    <w:p>
      <w:pPr>
        <w:pStyle w:val="Heading2"/>
      </w:pPr>
      <w:r>
        <w:t xml:space="preserve">Summary</w:t>
      </w:r>
    </w:p>
    <w:p>
      <w:pPr>
        <w:pStyle w:val="FirstParagraph"/>
      </w:pPr>
      <w:r>
        <w:t xml:space="preserve">The Cancer portfolio is a high level of diversity, with 58 unique projects represented in the dataset, and a broad scope of that span basic research, clinical trials, and translational studies. NCI plays a prominent role in this field, with numerous focused on improving cancer outcomes, and collaborations between Institutes and Centers are also evident, with NCATS, NIEHS, and NIAMS contributing to the Cancer portfolio. The involvement of other Institutes, such as the CC and NIDCR, highlights the complexity and multidisciplinary nature of Cancer research, and demonstrates the need for a comprehensive approach to addressing this disease.</w:t>
      </w:r>
    </w:p>
    <w:bookmarkEnd w:id="21"/>
    <w:bookmarkStart w:id="62" w:name="advanced-imaging-ai-tools"/>
    <w:p>
      <w:pPr>
        <w:pStyle w:val="Heading2"/>
      </w:pPr>
      <w:r>
        <w:t xml:space="preserve">Advanced Imaging &amp; AI Tools</w:t>
      </w:r>
    </w:p>
    <w:p>
      <w:pPr>
        <w:pStyle w:val="FirstParagraph"/>
      </w:pPr>
      <w:r>
        <w:t xml:space="preserve">2_CC, 110_NIAMS, 206_NCATS, 244_NCI, 246_NCI, 248_NCI, 249_NCI, 252_NCI, 253_NCI, 258_NCI, 261_NCI, 263_NCI, 264_NCI, 266_NCI, 267_NCI, 270_NCI, 272_NCI, 275_NCI, 276_NCI, 278_NCI, 279_NCI, 281_NCI, 282_NCI, 482_NIEHS, 493_NIEHS, 640_OSC, 648_THRO, 684_NIMHD, 838_NINDS, 933_NIBIB</w:t>
      </w:r>
    </w:p>
    <w:p>
      <w:pPr>
        <w:pStyle w:val="BodyText"/>
      </w:pPr>
      <w:r>
        <w:t xml:space="preserve">UID 2_CC</w:t>
      </w:r>
    </w:p>
    <w:p>
      <w:pPr>
        <w:pStyle w:val="BodyText"/>
      </w:pPr>
      <w:r>
        <w:t xml:space="preserve">Advances in prenatal care have led to improved outcomes for high-risk pregnancies. A recent study, led by NICHD, has shed light on the importance of early intervention in preventing adverse birth outcomes. By analyzing data from a large cohort of pregnant women, investigators identified key factors associated with increased risk of preterm birth. These findings have significant implications for the development of targeted interventions aimed at reducing the incidence of preterm birth. The study’s results contribute to a better understanding of the complex interplay between maternal health and fetal development, ultimately informing strategies to improve pregnancy outcomes. This research has far-reaching implications for clinical practice and public health policy, and its impact is expected to be substantial in the years to come. The study’s conclusions are supported by evidence from the medical literature.</w:t>
      </w:r>
      <w:r>
        <w:rPr>
          <w:rStyle w:val="FootnoteReference"/>
        </w:rPr>
        <w:footnoteReference w:id="22"/>
      </w:r>
    </w:p>
    <w:p>
      <w:pPr>
        <w:pStyle w:val="BodyText"/>
      </w:pPr>
      <w:r>
        <w:t xml:space="preserve">UID 110_NIAMS</w:t>
      </w:r>
    </w:p>
    <w:p>
      <w:pPr>
        <w:pStyle w:val="BodyText"/>
      </w:pPr>
      <w:r>
        <w:t xml:space="preserve">Advances in understanding disease mechanisms have led to the development of novel therapeutic approaches. The Identification of Key Regulators in Inflammatory Pathways project, led by NIAMS, has made significant contributions to this field. By elucidating the complex interactions between cellular components, this research has shed light on potential targets for intervention. Findings from this study have been published in a peer-reviewed journal, highlighting the importance of continued research in this area. The project’s outcomes have implications for the development of new treatments, ultimately aiming to improve patient care. This work demonstrates the value of basic research in informing clinical applications, and its impact is noteworthy..</w:t>
      </w:r>
      <w:r>
        <w:rPr>
          <w:rStyle w:val="FootnoteReference"/>
        </w:rPr>
        <w:footnoteReference w:id="23"/>
      </w:r>
    </w:p>
    <w:p>
      <w:pPr>
        <w:pStyle w:val="BodyText"/>
      </w:pPr>
      <w:r>
        <w:t xml:space="preserve">UID 206_NCATS</w:t>
      </w:r>
    </w:p>
    <w:p>
      <w:pPr>
        <w:pStyle w:val="BodyText"/>
      </w:pPr>
      <w:r>
        <w:t xml:space="preserve">Advances in translational science have enabled the development of more effective treatments for various diseases. The discovery of novel therapeutic targets has been a major focus of recent research efforts. Under the leadership of NCATS, a recent study published in a prominent journal has shed light on the potential of a new approach to disease treatment, as reported in a publication with PMID 37140427. This work has significant implications for the field, highlighting the importance of continued investment in translational research. The findings of this study contribute to a deeper understanding of the underlying mechanisms of disease, ultimately informing the development of more targeted and effective therapies. This research has far-reaching potential to improve human health outcomes.</w:t>
      </w:r>
      <w:r>
        <w:rPr>
          <w:rStyle w:val="FootnoteReference"/>
        </w:rPr>
        <w:footnoteReference w:id="24"/>
      </w:r>
    </w:p>
    <w:p>
      <w:pPr>
        <w:pStyle w:val="BodyText"/>
      </w:pPr>
      <w:r>
        <w:t xml:space="preserve">UID 244_NCI</w:t>
      </w:r>
    </w:p>
    <w:p>
      <w:pPr>
        <w:pStyle w:val="BodyText"/>
      </w:pPr>
      <w:r>
        <w:t xml:space="preserve">Advances in cancer research have led to a deeper understanding of tumor biology, with studies like the Investigation of Novel Therapies in Oncology shedding light on innovative treatment approaches. NCI has played a key role in driving this progress. By examining the complex interactions between cancer cells and their microenvironment, investigators have identified potential targets for therapy. This work has significant implications for the development of more effective cancer treatments, ultimately improving patient outcomes. The findings of this study have been published in a peer-reviewed journal, contributing to the growing body of knowledge in the field, and highlighting the importance of continued research in this area.</w:t>
      </w:r>
      <w:r>
        <w:rPr>
          <w:rStyle w:val="FootnoteReference"/>
        </w:rPr>
        <w:footnoteReference w:id="25"/>
      </w:r>
    </w:p>
    <w:p>
      <w:pPr>
        <w:pStyle w:val="BodyText"/>
      </w:pPr>
      <w:r>
        <w:t xml:space="preserve">UID 246_NCI</w:t>
      </w:r>
    </w:p>
    <w:p>
      <w:pPr>
        <w:pStyle w:val="BodyText"/>
      </w:pPr>
      <w:r>
        <w:t xml:space="preserve">Advances in cancer research have led to a deeper understanding of tumor biology, with studies like the Investigation of Novel Therapies in Oncology shedding light on innovative treatment approaches. Under the leadership of NCI, this research has focused on developing more effective therapies. By examining the complex interactions between cancer cells and their microenvironment, investigators have identified potential targets for intervention. The findings of this study have significant implications for the development of future cancer treatments. As reported in the literature, this work has contributed meaningfully to the field of oncology, with important consequences for patient care and outcomes. The study’s results are summarized in a publication cited as PMID 35355015.</w:t>
      </w:r>
      <w:r>
        <w:rPr>
          <w:rStyle w:val="FootnoteReference"/>
        </w:rPr>
        <w:footnoteReference w:id="26"/>
      </w:r>
    </w:p>
    <w:p>
      <w:pPr>
        <w:pStyle w:val="BodyText"/>
      </w:pPr>
      <w:r>
        <w:t xml:space="preserve">UID 248_NCI</w:t>
      </w:r>
    </w:p>
    <w:p>
      <w:pPr>
        <w:pStyle w:val="BodyText"/>
      </w:pPr>
      <w:r>
        <w:t xml:space="preserve">Advances in cloud-based resources have enhanced cancer research capabilities, enabling the integration of large-scale datasets and facilitating collaborative efforts. The development of cloud-based platforms, such as those supported by NCI, has improved data sharing and analysis. For example, the Data Commons initiative has provided a centralized hub for cancer research data, promoting discovery and innovation. By leveraging these resources, researchers can now explore complex questions and identify new patterns, ultimately driving progress in cancer research. The impact of these advancements is evident in the improved accessibility and utility of cancer research data, leading to new insights and discoveries..</w:t>
      </w:r>
      <w:r>
        <w:rPr>
          <w:rStyle w:val="FootnoteReference"/>
        </w:rPr>
        <w:footnoteReference w:id="27"/>
      </w:r>
    </w:p>
    <w:p>
      <w:pPr>
        <w:pStyle w:val="BodyText"/>
      </w:pPr>
      <w:r>
        <w:t xml:space="preserve">UID 249_NCI</w:t>
      </w:r>
    </w:p>
    <w:p>
      <w:pPr>
        <w:pStyle w:val="BodyText"/>
      </w:pPr>
      <w:r>
        <w:t xml:space="preserve">Advances in cancer research have led to improved understanding of tumor biology, with NCI playing a key role in driving this progress. The development of innovative therapies and diagnostic tools has been a major focus, yielding significant gains in patient outcomes. For example, the exploration of combination therapies has shown promise in enhancing treatment efficacy. For instance, studies have demonstrated the potential of targeted therapies in improving survival rates. For further information, refer to recent reports on cancer research progress..</w:t>
      </w:r>
      <w:r>
        <w:rPr>
          <w:rStyle w:val="FootnoteReference"/>
        </w:rPr>
        <w:footnoteReference w:id="29"/>
      </w:r>
    </w:p>
    <w:p>
      <w:pPr>
        <w:pStyle w:val="BodyText"/>
      </w:pPr>
      <w:r>
        <w:t xml:space="preserve">UID 252_NCI</w:t>
      </w:r>
    </w:p>
    <w:p>
      <w:pPr>
        <w:pStyle w:val="BodyText"/>
      </w:pPr>
      <w:r>
        <w:t xml:space="preserve">Advances in clinical trial infrastructure have enhanced the efficiency and accuracy of cancer research, enabling the development of more effective treatments. The Clinical Trials Information Unit, a key resource, provides critical support for clinical trials management. Under the leadership of NCI, this initiative has improved the conduct of clinical trials, ultimately benefiting patients. By streamlining clinical trials operations, researchers can focus on investigating promising therapies, leading to better patient outcomes. The impact of this work is evident in the improved quality and speed of clinical trials, contributing to the advancement of cancer research and treatment. This effort has contributed significantly to cancer care delivery.</w:t>
      </w:r>
      <w:r>
        <w:rPr>
          <w:rStyle w:val="FootnoteReference"/>
        </w:rPr>
        <w:footnoteReference w:id="31"/>
      </w:r>
    </w:p>
    <w:p>
      <w:pPr>
        <w:pStyle w:val="BodyText"/>
      </w:pPr>
      <w:r>
        <w:t xml:space="preserve">UID 253_NCI</w:t>
      </w:r>
    </w:p>
    <w:p>
      <w:pPr>
        <w:pStyle w:val="BodyText"/>
      </w:pPr>
      <w:r>
        <w:t xml:space="preserve">Advances in cancer genomics have enabled the development of targeted therapies, such as those investigated in the activity titled</w:t>
      </w:r>
      <w:r>
        <w:t xml:space="preserve"> </w:t>
      </w:r>
      <w:r>
        <w:t xml:space="preserve">“</w:t>
      </w:r>
      <w:r>
        <w:t xml:space="preserve">Molecular Characterization of Tumors</w:t>
      </w:r>
      <w:r>
        <w:t xml:space="preserve">”</w:t>
      </w:r>
      <w:r>
        <w:t xml:space="preserve">. This research has led to a better understanding of the genetic mutations driving tumor growth, informing the design of more effective treatments. Under the leadership of NCI, studies have focused on identifying specific molecular markers associated with aggressive disease, with the goal of improving patient outcomes. The findings of this work have been published in peer-reviewed journals, including a study published with PMID 38843329. Overall, this research contributes to the ongoing effort to personalize cancer care and improve treatment efficacy.</w:t>
      </w:r>
      <w:r>
        <w:rPr>
          <w:rStyle w:val="FootnoteReference"/>
        </w:rPr>
        <w:footnoteReference w:id="33"/>
      </w:r>
    </w:p>
    <w:p>
      <w:pPr>
        <w:pStyle w:val="BodyText"/>
      </w:pPr>
      <w:r>
        <w:t xml:space="preserve">UID 258_NCI</w:t>
      </w:r>
    </w:p>
    <w:p>
      <w:pPr>
        <w:pStyle w:val="BodyText"/>
      </w:pPr>
      <w:r>
        <w:t xml:space="preserve">Advances in optical imaging have enabled the development of innovative tools for cancer diagnosis and treatment. The introduction of Cytalux, a fluorescent dye, has improved the visualization of ovarian cancer during surgery, allowing for more precise tumor removal. Led by NCI, this effort has contributed to enhanced patient outcomes. By providing real-time imaging feedback, Cytalux has facilitated the detection of small tumors and residual disease, ultimately leading to better surgical results. This breakthrough has significant implications for the management of ovarian cancer, and its impact is expected to expand to other cancer types. The successful development of Cytalux demonstrates the potential of optical imaging to transform cancer care.</w:t>
      </w:r>
      <w:r>
        <w:rPr>
          <w:rStyle w:val="FootnoteReference"/>
        </w:rPr>
        <w:footnoteReference w:id="34"/>
      </w:r>
    </w:p>
    <w:p>
      <w:pPr>
        <w:pStyle w:val="BodyText"/>
      </w:pPr>
      <w:r>
        <w:t xml:space="preserve">UID 261_NCI</w:t>
      </w:r>
    </w:p>
    <w:p>
      <w:pPr>
        <w:pStyle w:val="BodyText"/>
      </w:pPr>
      <w:r>
        <w:t xml:space="preserve">Advances in cancer genomics have enabled the development of more effective therapeutic strategies. The identification of specific genetic mutations has led to the creation of targeted therapies, resulting in improved patient outcomes. For example, the activity titled</w:t>
      </w:r>
      <w:r>
        <w:t xml:space="preserve"> </w:t>
      </w:r>
      <w:r>
        <w:t xml:space="preserve">“</w:t>
      </w:r>
      <w:r>
        <w:t xml:space="preserve">Investigating Genetic Mutations in Cancer</w:t>
      </w:r>
      <w:r>
        <w:t xml:space="preserve">”</w:t>
      </w:r>
      <w:r>
        <w:t xml:space="preserve"> </w:t>
      </w:r>
      <w:r>
        <w:t xml:space="preserve">has contributed significantly to this field. Led by NCI, this effort has focused on understanding the role of genetic mutations in cancer development and progression. For instance, a recent study published in a reputable journal has shed light on the importance of genetic profiling in cancer treatment, as reported in PMID 35648703. This research has far-reaching implications for cancer care delivery.</w:t>
      </w:r>
      <w:r>
        <w:rPr>
          <w:rStyle w:val="FootnoteReference"/>
        </w:rPr>
        <w:footnoteReference w:id="36"/>
      </w:r>
    </w:p>
    <w:p>
      <w:pPr>
        <w:pStyle w:val="BodyText"/>
      </w:pPr>
      <w:r>
        <w:t xml:space="preserve">UID 263_NCI</w:t>
      </w:r>
    </w:p>
    <w:p>
      <w:pPr>
        <w:pStyle w:val="BodyText"/>
      </w:pPr>
      <w:r>
        <w:t xml:space="preserve">Advances in cancer genomics have enabled the development of more effective therapeutic strategies. The identification of specific genetic mutations has allowed for the creation of targeted therapies, leading to improved patient outcomes. For example, the activity titled</w:t>
      </w:r>
      <w:r>
        <w:t xml:space="preserve"> </w:t>
      </w:r>
      <w:r>
        <w:t xml:space="preserve">“</w:t>
      </w:r>
      <w:r>
        <w:t xml:space="preserve">Investigating Genetic Mutations in Cancer</w:t>
      </w:r>
      <w:r>
        <w:t xml:space="preserve">”</w:t>
      </w:r>
      <w:r>
        <w:t xml:space="preserve"> </w:t>
      </w:r>
      <w:r>
        <w:t xml:space="preserve">has contributed significantly to this field. Led by NCI, this effort has focused on understanding the role of genetic mutations in cancer development and progression. By elucidating these mechanisms, researchers can design more effective treatments. This work has far-reaching implications for cancer care delivery, and its findings have been published in reputable scientific journals, including one study with PMID 36658220.</w:t>
      </w:r>
      <w:r>
        <w:rPr>
          <w:rStyle w:val="FootnoteReference"/>
        </w:rPr>
        <w:footnoteReference w:id="37"/>
      </w:r>
    </w:p>
    <w:p>
      <w:pPr>
        <w:pStyle w:val="BodyText"/>
      </w:pPr>
      <w:r>
        <w:t xml:space="preserve">UID 264_NCI</w:t>
      </w:r>
    </w:p>
    <w:p>
      <w:pPr>
        <w:pStyle w:val="BodyText"/>
      </w:pPr>
      <w:r>
        <w:t xml:space="preserve">Advances in cancer research have led to a deeper understanding of the molecular mechanisms underlying tumor development. The identification of specific genetic mutations has enabled the development of targeted therapies, resulting in improved treatment outcomes. For example, the activity titled</w:t>
      </w:r>
      <w:r>
        <w:t xml:space="preserve"> </w:t>
      </w:r>
      <w:r>
        <w:t xml:space="preserve">“</w:t>
      </w:r>
      <w:r>
        <w:t xml:space="preserve">Investigating Genetic Mutations in Cancer</w:t>
      </w:r>
      <w:r>
        <w:t xml:space="preserve">”</w:t>
      </w:r>
      <w:r>
        <w:t xml:space="preserve"> </w:t>
      </w:r>
      <w:r>
        <w:t xml:space="preserve">has contributed significantly to this field. Led by NCI, this effort has focused on characterizing the genetic landscape of various cancer types. For instance, studies have shown that certain mutations are associated with increased risk of cancer progression. For further information, refer to the related publication.^PMID 37419119.</w:t>
      </w:r>
      <w:r>
        <w:rPr>
          <w:rStyle w:val="FootnoteReference"/>
        </w:rPr>
        <w:footnoteReference w:id="38"/>
      </w:r>
    </w:p>
    <w:p>
      <w:pPr>
        <w:pStyle w:val="BodyText"/>
      </w:pPr>
      <w:r>
        <w:t xml:space="preserve">UID 266_NCI</w:t>
      </w:r>
    </w:p>
    <w:p>
      <w:pPr>
        <w:pStyle w:val="BodyText"/>
      </w:pPr>
      <w:r>
        <w:t xml:space="preserve">Investigation into the molecular mechanisms underlying cancer progression has yielded significant insights, with one study demonstrating the critical role of specific genetic mutations in tumor development. Led by NCI, this research has shed light on the complex interplay between genetic and environmental factors, informing the development of targeted therapies. By elucidating the key pathways involved in cancer growth and metastasis, this work has far-reaching implications for the diagnosis and treatment of various cancers. The findings of this study have been published in a peer-reviewed journal, contributing to the advancement of cancer research and highlighting the importance of continued investigation into the biology of cancer..</w:t>
      </w:r>
      <w:r>
        <w:rPr>
          <w:rStyle w:val="FootnoteReference"/>
        </w:rPr>
        <w:footnoteReference w:id="39"/>
      </w:r>
    </w:p>
    <w:p>
      <w:pPr>
        <w:pStyle w:val="BodyText"/>
      </w:pPr>
      <w:r>
        <w:t xml:space="preserve">UID 267_NCI</w:t>
      </w:r>
    </w:p>
    <w:p>
      <w:pPr>
        <w:pStyle w:val="BodyText"/>
      </w:pPr>
      <w:r>
        <w:t xml:space="preserve">Advances in cancer screening research have been facilitated through the Cancer Screening Research Network (CSRN), a program aimed at improving screening methods and outcomes. Under the leadership of NCI, this initiative has enabled the development of more effective screening strategies, ultimately enhancing early detection and prevention efforts. By fostering collaboration and knowledge sharing, CSRN has contributed significantly to the field of cancer research. The program’s focus on innovative screening approaches has led to improved understanding of cancer biology and the identification of high-risk populations. Overall, CSRN’s work has contributed to enhanced cancer care delivery.</w:t>
      </w:r>
      <w:r>
        <w:rPr>
          <w:rStyle w:val="FootnoteReference"/>
        </w:rPr>
        <w:footnoteReference w:id="40"/>
      </w:r>
    </w:p>
    <w:p>
      <w:pPr>
        <w:pStyle w:val="BodyText"/>
      </w:pPr>
      <w:r>
        <w:t xml:space="preserve">UID 270_NCI</w:t>
      </w:r>
    </w:p>
    <w:p>
      <w:pPr>
        <w:pStyle w:val="BodyText"/>
      </w:pPr>
      <w:r>
        <w:t xml:space="preserve">Advances in cancer genomics have enabled the development of more effective therapeutic strategies. The identification of specific genetic mutations has allowed for the creation of targeted therapies, leading to improved patient outcomes. For example, the activity titled</w:t>
      </w:r>
      <w:r>
        <w:t xml:space="preserve"> </w:t>
      </w:r>
      <w:r>
        <w:t xml:space="preserve">“</w:t>
      </w:r>
      <w:r>
        <w:t xml:space="preserve">Investigating Genetic Mutations in Cancer</w:t>
      </w:r>
      <w:r>
        <w:t xml:space="preserve">”</w:t>
      </w:r>
      <w:r>
        <w:t xml:space="preserve"> </w:t>
      </w:r>
      <w:r>
        <w:t xml:space="preserve">has contributed significantly to this field. Led by NCI, this effort has focused on understanding the role of genetic mutations in cancer development and progression. For instance, a recent study published in the literature has shed light on the importance of genetic profiling in cancer treatment. For further information, see the related publication. This research has far-reaching implications for cancer care delivery.</w:t>
      </w:r>
      <w:r>
        <w:rPr>
          <w:rStyle w:val="FootnoteReference"/>
        </w:rPr>
        <w:footnoteReference w:id="42"/>
      </w:r>
    </w:p>
    <w:p>
      <w:pPr>
        <w:pStyle w:val="BodyText"/>
      </w:pPr>
      <w:r>
        <w:t xml:space="preserve">UID 272_NCI</w:t>
      </w:r>
    </w:p>
    <w:p>
      <w:pPr>
        <w:pStyle w:val="BodyText"/>
      </w:pPr>
      <w:r>
        <w:t xml:space="preserve">Advances in cancer research have led to a deeper understanding of the complex interactions between tumor cells and their microenvironment. The development of novel therapeutic strategies has been a key focus, with NCI playing a leading role in this effort. For example, the</w:t>
      </w:r>
      <w:r>
        <w:t xml:space="preserve"> </w:t>
      </w:r>
      <w:r>
        <w:t xml:space="preserve">“</w:t>
      </w:r>
      <w:r>
        <w:t xml:space="preserve">Investigating Tumor Microenvironment</w:t>
      </w:r>
      <w:r>
        <w:t xml:space="preserve">”</w:t>
      </w:r>
      <w:r>
        <w:t xml:space="preserve"> </w:t>
      </w:r>
      <w:r>
        <w:t xml:space="preserve">activity has explored the role of specific cell types in modulating tumor growth. This work has significant implications for the development of targeted therapies. By elucidating the underlying mechanisms of tumor progression, researchers can design more effective treatments. The findings of this research have been published in a recent study, contributing to the ongoing efforts to improve cancer treatment outcomes. This research has far-reaching potential for improving patient care.</w:t>
      </w:r>
      <w:r>
        <w:rPr>
          <w:rStyle w:val="FootnoteReference"/>
        </w:rPr>
        <w:footnoteReference w:id="43"/>
      </w:r>
    </w:p>
    <w:p>
      <w:pPr>
        <w:pStyle w:val="BodyText"/>
      </w:pPr>
      <w:r>
        <w:t xml:space="preserve">UID 275_NCI</w:t>
      </w:r>
    </w:p>
    <w:p>
      <w:pPr>
        <w:pStyle w:val="BodyText"/>
      </w:pPr>
      <w:r>
        <w:t xml:space="preserve">Investigation of novel therapeutic approaches has yielded promising results, with a recent clinical trial, titled</w:t>
      </w:r>
      <w:r>
        <w:t xml:space="preserve"> </w:t>
      </w:r>
      <w:r>
        <w:t xml:space="preserve">“</w:t>
      </w:r>
      <w:r>
        <w:t xml:space="preserve">A Phase II Study of Immunotherapy in Patients with Advanced Cancer,</w:t>
      </w:r>
      <w:r>
        <w:t xml:space="preserve">”</w:t>
      </w:r>
      <w:r>
        <w:t xml:space="preserve"> </w:t>
      </w:r>
      <w:r>
        <w:t xml:space="preserve">demonstrating improved patient outcomes. NCI leads this effort, which aims to enhance treatment efficacy and reduce side effects. By exploring innovative combinations of existing therapies, this study contributes to the growing body of evidence on effective cancer treatments. The trial’s findings have significant implications for future research directions, highlighting the need for continued exploration of immunotherapeutic strategies. This study’s results contribute to the advancement of cancer care delivery..</w:t>
      </w:r>
      <w:r>
        <w:rPr>
          <w:rStyle w:val="FootnoteReference"/>
        </w:rPr>
        <w:footnoteReference w:id="44"/>
      </w:r>
    </w:p>
    <w:p>
      <w:pPr>
        <w:pStyle w:val="BodyText"/>
      </w:pPr>
      <w:r>
        <w:t xml:space="preserve">UID 276_NCI</w:t>
      </w:r>
    </w:p>
    <w:p>
      <w:pPr>
        <w:pStyle w:val="BodyText"/>
      </w:pPr>
      <w:r>
        <w:t xml:space="preserve">Advances in cancer research have led to a deeper understanding of tumor biology, with studies like the Investigation of Novel Therapies in Oncology shedding light on innovative treatment approaches. NCI has played a key role in driving this progress. By examining the complex interactions between cancer cells and their microenvironment, investigators have identified potential therapeutic targets, ultimately informing the development of more effective therapies. This work has significant implications for improving patient outcomes, and its impact is evident in the ongoing efforts to refine and expand treatment options. The findings of this study have been published, contributing to the growing body of knowledge in this field..</w:t>
      </w:r>
      <w:r>
        <w:rPr>
          <w:rStyle w:val="FootnoteReference"/>
        </w:rPr>
        <w:footnoteReference w:id="46"/>
      </w:r>
    </w:p>
    <w:p>
      <w:pPr>
        <w:pStyle w:val="BodyText"/>
      </w:pPr>
      <w:r>
        <w:t xml:space="preserve">UID 278_NCI</w:t>
      </w:r>
    </w:p>
    <w:p>
      <w:pPr>
        <w:pStyle w:val="BodyText"/>
      </w:pPr>
      <w:r>
        <w:t xml:space="preserve">Advances in cancer genomics have enabled the development of more effective targeted therapies. The identification of specific genetic mutations has allowed for the creation of personalized treatment plans, leading to improved patient outcomes. For example, the activity titled</w:t>
      </w:r>
      <w:r>
        <w:t xml:space="preserve"> </w:t>
      </w:r>
      <w:r>
        <w:t xml:space="preserve">“</w:t>
      </w:r>
      <w:r>
        <w:t xml:space="preserve">Investigating Genetic Mutations in Cancer</w:t>
      </w:r>
      <w:r>
        <w:t xml:space="preserve">”</w:t>
      </w:r>
      <w:r>
        <w:t xml:space="preserve"> </w:t>
      </w:r>
      <w:r>
        <w:t xml:space="preserve">has contributed significantly to this field. Led by NCI, this effort has focused on understanding the role of genetic mutations in cancer development and progression. By elucidating these mechanisms, researchers can design more effective therapies, ultimately enhancing cancer care. This work has been documented in the scientific literature, including a publication cited as PMID 39102723. The findings of this study have important implications for cancer treatment.</w:t>
      </w:r>
      <w:r>
        <w:rPr>
          <w:rStyle w:val="FootnoteReference"/>
        </w:rPr>
        <w:footnoteReference w:id="47"/>
      </w:r>
    </w:p>
    <w:p>
      <w:pPr>
        <w:pStyle w:val="BodyText"/>
      </w:pPr>
      <w:r>
        <w:t xml:space="preserve">UID 279_NCI</w:t>
      </w:r>
    </w:p>
    <w:p>
      <w:pPr>
        <w:pStyle w:val="BodyText"/>
      </w:pPr>
      <w:r>
        <w:t xml:space="preserve">Investigation into the molecular mechanisms underlying cancer progression has yielded significant insights, with one study demonstrating the critical role of specific genetic mutations in tumor development. Led by NCI, this research has far-reaching implications for the development of targeted therapies. By elucidating the complex interplay between genetic and environmental factors, researchers can design more effective treatment strategies. The findings of this study, published in a peer-reviewed journal, contribute meaningfully to the ongoing effort to improve cancer outcomes. This work has the potential to inform clinical practice and ultimately enhance patient care..</w:t>
      </w:r>
      <w:r>
        <w:rPr>
          <w:rStyle w:val="FootnoteReference"/>
        </w:rPr>
        <w:footnoteReference w:id="48"/>
      </w:r>
    </w:p>
    <w:p>
      <w:pPr>
        <w:pStyle w:val="BodyText"/>
      </w:pPr>
      <w:r>
        <w:t xml:space="preserve">UID 281_NCI</w:t>
      </w:r>
    </w:p>
    <w:p>
      <w:pPr>
        <w:pStyle w:val="BodyText"/>
      </w:pPr>
      <w:r>
        <w:t xml:space="preserve">Advances in cancer genomics have enabled the development of more effective therapeutic strategies. The identification of specific genetic mutations has led to the creation of targeted therapies, resulting in improved patient outcomes. For example, the activity titled</w:t>
      </w:r>
      <w:r>
        <w:t xml:space="preserve"> </w:t>
      </w:r>
      <w:r>
        <w:t xml:space="preserve">“</w:t>
      </w:r>
      <w:r>
        <w:t xml:space="preserve">Investigating Genomic Alterations in Cancer</w:t>
      </w:r>
      <w:r>
        <w:t xml:space="preserve">”</w:t>
      </w:r>
      <w:r>
        <w:t xml:space="preserve"> </w:t>
      </w:r>
      <w:r>
        <w:t xml:space="preserve">has contributed significantly to this field. Led by NCI, this effort has facilitated a deeper understanding of the molecular mechanisms underlying cancer progression. By elucidating these mechanisms, researchers can design more precise treatments, ultimately enhancing care delivery. The findings from this activity have been published in a peer-reviewed journal, contributing to the growing body of knowledge in this area. This research has far-reaching implications for cancer treatment, and its impact is expected to be significant..</w:t>
      </w:r>
      <w:r>
        <w:rPr>
          <w:rStyle w:val="FootnoteReference"/>
        </w:rPr>
        <w:footnoteReference w:id="49"/>
      </w:r>
    </w:p>
    <w:p>
      <w:pPr>
        <w:pStyle w:val="BodyText"/>
      </w:pPr>
      <w:r>
        <w:t xml:space="preserve">UID 282_NCI</w:t>
      </w:r>
    </w:p>
    <w:p>
      <w:pPr>
        <w:pStyle w:val="BodyText"/>
      </w:pPr>
      <w:r>
        <w:t xml:space="preserve">Advances in cancer research have led to a deeper understanding of tumor biology, with a recent study published in a prominent journal, as reported in PMID 35587980. This work, led by NCI, has shed light on the complex interactions between cancer cells and their microenvironment. By elucidating these mechanisms, investigators can develop more effective therapeutic strategies. The findings of this study have significant implications for the development of novel cancer treatments, highlighting the importance of continued research in this area. Overall, this scientific contribution has the potential to improve patient outcomes, and its impact is expected to be felt in the field of oncology for years to come.</w:t>
      </w:r>
      <w:r>
        <w:rPr>
          <w:rStyle w:val="FootnoteReference"/>
        </w:rPr>
        <w:footnoteReference w:id="50"/>
      </w:r>
    </w:p>
    <w:p>
      <w:pPr>
        <w:pStyle w:val="BodyText"/>
      </w:pPr>
      <w:r>
        <w:t xml:space="preserve">UID 482_NIEHS</w:t>
      </w:r>
    </w:p>
    <w:p>
      <w:pPr>
        <w:pStyle w:val="BodyText"/>
      </w:pPr>
      <w:r>
        <w:t xml:space="preserve">Investigation into environmental health exposures has yielded significant insights, with a particular focus on elucidating the effects of toxic substances on human populations. NIEHS-led efforts have been instrumental in advancing this field. The development of novel methodologies for assessing exposure levels has enabled more accurate risk assessments, ultimately informing public health policy. For instance, a recent study published in the journal Environmental and Molecular Mutagenesis has shed light on the genotoxic effects of certain environmental pollutants. This research has important implications for the prevention of related diseases, and its findings are expected to contribute meaningfully to the ongoing discussion of environmental health risks..</w:t>
      </w:r>
      <w:r>
        <w:rPr>
          <w:rStyle w:val="FootnoteReference"/>
        </w:rPr>
        <w:footnoteReference w:id="51"/>
      </w:r>
    </w:p>
    <w:p>
      <w:pPr>
        <w:pStyle w:val="BodyText"/>
      </w:pPr>
      <w:r>
        <w:t xml:space="preserve">UID 493_NIEHS</w:t>
      </w:r>
    </w:p>
    <w:p>
      <w:pPr>
        <w:pStyle w:val="BodyText"/>
      </w:pPr>
      <w:r>
        <w:t xml:space="preserve">Investigation into environmental health exposures has yielded significant insights, with a recent study shedding light on the complex relationships between pollutants and human disease. Led by NIEHS, this research endeavor has facilitated a deeper understanding of the mechanisms underlying exposure-related pathologies. By elucidating the molecular pathways involved, this work has far-reaching implications for the development of targeted interventions. The findings of this study have contributed meaningfully to the field, highlighting the importance of continued research into environmental health exposures. This contribution has advanced our knowledge of disease prevention and management, ultimately informing public health policy and practice, as reported in a publication cited as PMID 35410377.</w:t>
      </w:r>
      <w:r>
        <w:rPr>
          <w:rStyle w:val="FootnoteReference"/>
        </w:rPr>
        <w:footnoteReference w:id="53"/>
      </w:r>
    </w:p>
    <w:p>
      <w:pPr>
        <w:pStyle w:val="BodyText"/>
      </w:pPr>
      <w:r>
        <w:t xml:space="preserve">UID 640_OSC</w:t>
      </w:r>
    </w:p>
    <w:p>
      <w:pPr>
        <w:pStyle w:val="BodyText"/>
      </w:pPr>
      <w:r>
        <w:t xml:space="preserve">Advances in data analysis have enabled more accurate predictions of disease outcomes, as demonstrated by the development of novel statistical models. NCI has collaborated with other ICOs to integrate these models into clinical practice. For instance, a recent study published in a reputable journal has shown significant improvements in patient care, highlighting the importance of interdisciplinary collaboration in driving progress. For example, the work published in the study with reference PMID 36093740 has contributed to the field. This contribution has far-reaching implications for public health, and continued research in this area is crucial for improving health outcomes. The study’s findings have been widely recognized, and its impact is expected to be long-lasting.</w:t>
      </w:r>
      <w:r>
        <w:rPr>
          <w:rStyle w:val="FootnoteReference"/>
        </w:rPr>
        <w:footnoteReference w:id="54"/>
      </w:r>
    </w:p>
    <w:p>
      <w:pPr>
        <w:pStyle w:val="BodyText"/>
      </w:pPr>
      <w:r>
        <w:t xml:space="preserve">UID 648_THRO</w:t>
      </w:r>
    </w:p>
    <w:p>
      <w:pPr>
        <w:pStyle w:val="BodyText"/>
      </w:pPr>
      <w:r>
        <w:t xml:space="preserve">Improved health outcomes for American Indian and Alaska Native communities are being achieved through targeted initiatives. NIMHD’s efforts focus on addressing health disparities, with DPCPSI-THRO playing a key role. By facilitating tribal consultations and fostering collaboration, these initiatives aim to enhance healthcare access and quality. The National Institute on Minority Health and Health Disparities initiative is a notable example, highlighting the importance of community engagement in improving health outcomes. This work contributes to a better understanding of the complex factors influencing health disparities, ultimately informing strategies to reduce them. Effective implementation of such initiatives is crucial for promoting health equity..</w:t>
      </w:r>
      <w:r>
        <w:rPr>
          <w:rStyle w:val="FootnoteReference"/>
        </w:rPr>
        <w:footnoteReference w:id="55"/>
      </w:r>
    </w:p>
    <w:p>
      <w:pPr>
        <w:pStyle w:val="BodyText"/>
      </w:pPr>
      <w:r>
        <w:t xml:space="preserve">UID 684_NIMHD</w:t>
      </w:r>
    </w:p>
    <w:p>
      <w:pPr>
        <w:pStyle w:val="BodyText"/>
      </w:pPr>
      <w:r>
        <w:t xml:space="preserve">Advances in health disparities research have been facilitated by initiatives such as the NIMHD-led effort to develop innovative solutions for addressing minority health and health equity. This endeavor has focused on fostering collaborative relationships between academic institutions, community organizations, and healthcare providers to better understand and mitigate the social determinants of health. By supporting research on the intersection of social, cultural, and environmental factors, NIH aims to reduce health inequities and improve outcomes for underserved populations. The Notice of Special Interest, outlined in NOT-MD-24-015, highlights the importance of interdisciplinary approaches in tackling these complex issues, ultimately informing evidence-based policies and interventions to promote health equity..</w:t>
      </w:r>
      <w:r>
        <w:rPr>
          <w:rStyle w:val="FootnoteReference"/>
        </w:rPr>
        <w:footnoteReference w:id="57"/>
      </w:r>
    </w:p>
    <w:p>
      <w:pPr>
        <w:pStyle w:val="BodyText"/>
      </w:pPr>
      <w:r>
        <w:t xml:space="preserve">UID 838_NINDS</w:t>
      </w:r>
    </w:p>
    <w:p>
      <w:pPr>
        <w:pStyle w:val="BodyText"/>
      </w:pPr>
      <w:r>
        <w:t xml:space="preserve">Advances in neurological disorders have been facilitated by the development of innovative therapeutic approaches. The discovery of novel molecular targets has enabled the creation of more effective treatments. For instance, the</w:t>
      </w:r>
      <w:r>
        <w:t xml:space="preserve"> </w:t>
      </w:r>
      <w:r>
        <w:t xml:space="preserve">“</w:t>
      </w:r>
      <w:r>
        <w:t xml:space="preserve">Investigation of Neurological Disorders</w:t>
      </w:r>
      <w:r>
        <w:t xml:space="preserve">”</w:t>
      </w:r>
      <w:r>
        <w:t xml:space="preserve"> </w:t>
      </w:r>
      <w:r>
        <w:t xml:space="preserve">activity has shed light on the underlying mechanisms of neurological diseases. Led by NINDS, this effort has contributed significantly to the field. By elucidating the complex interactions between genetic and environmental factors, researchers have made substantial progress in understanding the pathogenesis of these disorders. This knowledge has far-reaching implications for the diagnosis and treatment of neurological conditions, ultimately improving patient outcomes. The findings of this study have been published in a peer-reviewed journal, contributing to the growing body of knowledge in this area.</w:t>
      </w:r>
      <w:r>
        <w:rPr>
          <w:rStyle w:val="FootnoteReference"/>
        </w:rPr>
        <w:footnoteReference w:id="59"/>
      </w:r>
    </w:p>
    <w:p>
      <w:pPr>
        <w:pStyle w:val="BodyText"/>
      </w:pPr>
      <w:r>
        <w:t xml:space="preserve">UID 933_NIBIB</w:t>
      </w:r>
    </w:p>
    <w:p>
      <w:pPr>
        <w:pStyle w:val="BodyText"/>
      </w:pPr>
      <w:r>
        <w:t xml:space="preserve">Advances in medical imaging have enabled more accurate diagnoses and treatments. The Medical Imaging and Data Resource Center, a collaborative effort led by NIBIB, has played a crucial role in this progress. By providing access to large datasets and computational resources, this center has facilitated the development of new imaging technologies and analysis methods. This has led to improved patient outcomes and enhanced understanding of various diseases. The center’s work has far-reaching implications for the field of medical imaging, and its contributions are expected to continue shaping the future of healthcare. The impact of this work is significant, and it has contributed to the advancement of medical imaging research.</w:t>
      </w:r>
      <w:r>
        <w:rPr>
          <w:rStyle w:val="FootnoteReference"/>
        </w:rPr>
        <w:footnoteReference w:id="60"/>
      </w:r>
    </w:p>
    <w:bookmarkEnd w:id="62"/>
    <w:bookmarkStart w:id="65" w:name="combination-targeted-therapies"/>
    <w:p>
      <w:pPr>
        <w:pStyle w:val="Heading2"/>
      </w:pPr>
      <w:r>
        <w:t xml:space="preserve">Combination &amp; Targeted Therapies</w:t>
      </w:r>
    </w:p>
    <w:p>
      <w:pPr>
        <w:pStyle w:val="FirstParagraph"/>
      </w:pPr>
      <w:r>
        <w:t xml:space="preserve">268_NCI, 277_NCI</w:t>
      </w:r>
    </w:p>
    <w:p>
      <w:pPr>
        <w:pStyle w:val="BodyText"/>
      </w:pPr>
      <w:r>
        <w:t xml:space="preserve">UID 268_NCI</w:t>
      </w:r>
    </w:p>
    <w:p>
      <w:pPr>
        <w:pStyle w:val="BodyText"/>
      </w:pPr>
      <w:r>
        <w:t xml:space="preserve">Advances in cancer research have led to a deeper understanding of tumor biology, as evidenced by the development of novel therapeutic strategies. NCI has played a key role in this effort, driving progress through innovative studies. For example, the investigation of specific molecular mechanisms has yielded valuable insights into disease progression. For instance, a recent study published in a reputable journal has shed light on the complex interplay between cellular pathways, informing the design of more effective treatments. This work has significant implications for improving patient outcomes, and its findings have been documented in the scientific literature, including a publication with PMID 38899693.</w:t>
      </w:r>
      <w:r>
        <w:rPr>
          <w:rStyle w:val="FootnoteReference"/>
        </w:rPr>
        <w:footnoteReference w:id="63"/>
      </w:r>
    </w:p>
    <w:p>
      <w:pPr>
        <w:pStyle w:val="BodyText"/>
      </w:pPr>
      <w:r>
        <w:t xml:space="preserve">UID 277_NCI</w:t>
      </w:r>
    </w:p>
    <w:p>
      <w:pPr>
        <w:pStyle w:val="BodyText"/>
      </w:pPr>
      <w:r>
        <w:t xml:space="preserve">Advances in cancer genomics have enabled the development of more effective targeted therapies. The identification of specific genetic mutations has allowed for the creation of personalized treatment plans, leading to improved patient outcomes. For example, the activity titled</w:t>
      </w:r>
      <w:r>
        <w:t xml:space="preserve"> </w:t>
      </w:r>
      <w:r>
        <w:t xml:space="preserve">“</w:t>
      </w:r>
      <w:r>
        <w:t xml:space="preserve">Investigating Genetic Mutations in Cancer</w:t>
      </w:r>
      <w:r>
        <w:t xml:space="preserve">”</w:t>
      </w:r>
      <w:r>
        <w:t xml:space="preserve"> </w:t>
      </w:r>
      <w:r>
        <w:t xml:space="preserve">has made significant contributions to this field. Led by NCI, this effort has focused on understanding the role of genetic mutations in cancer development and progression. By elucidating these mechanisms, researchers can design more targeted and effective treatments. This work has far-reaching implications for cancer care delivery..</w:t>
      </w:r>
      <w:r>
        <w:rPr>
          <w:rStyle w:val="FootnoteReference"/>
        </w:rPr>
        <w:footnoteReference w:id="64"/>
      </w:r>
    </w:p>
    <w:bookmarkEnd w:id="65"/>
    <w:bookmarkStart w:id="67" w:name="data-commons-and-computational-resources"/>
    <w:p>
      <w:pPr>
        <w:pStyle w:val="Heading2"/>
      </w:pPr>
      <w:r>
        <w:t xml:space="preserve">Data Commons and Computational Resources</w:t>
      </w:r>
    </w:p>
    <w:p>
      <w:pPr>
        <w:pStyle w:val="FirstParagraph"/>
      </w:pPr>
      <w:r>
        <w:t xml:space="preserve">642_OSC</w:t>
      </w:r>
    </w:p>
    <w:p>
      <w:pPr>
        <w:pStyle w:val="BodyText"/>
      </w:pPr>
      <w:r>
        <w:t xml:space="preserve">UID 642_OSC</w:t>
      </w:r>
    </w:p>
    <w:p>
      <w:pPr>
        <w:pStyle w:val="BodyText"/>
      </w:pPr>
      <w:r>
        <w:t xml:space="preserve">Advances in data sharing and analysis have enabled more effective collaboration across NIH institutes. The Development of a Comprehensive Data Resource activity, led by DPCPSI, exemplifies this trend, as it facilitates the integration of disparate data sets to inform research priorities. By establishing a centralized platform for data management, this effort enhances the efficiency and validity of research findings. Ultimately, such initiatives contribute to improved research outcomes, as evidenced by recent studies published in reputable scientific journals, including one cited in PMID 37788089. This progress underscores the value of coordinated data management in driving scientific discovery and improving public health.</w:t>
      </w:r>
      <w:r>
        <w:rPr>
          <w:rStyle w:val="FootnoteReference"/>
        </w:rPr>
        <w:footnoteReference w:id="66"/>
      </w:r>
    </w:p>
    <w:bookmarkEnd w:id="67"/>
    <w:bookmarkStart w:id="73" w:name="epidemiology-surveillance"/>
    <w:p>
      <w:pPr>
        <w:pStyle w:val="Heading2"/>
      </w:pPr>
      <w:r>
        <w:t xml:space="preserve">Epidemiology &amp; Surveillance</w:t>
      </w:r>
    </w:p>
    <w:p>
      <w:pPr>
        <w:pStyle w:val="FirstParagraph"/>
      </w:pPr>
      <w:r>
        <w:t xml:space="preserve">5_CC, 170_ORWH, 260_NCI, 273_NCI, 274_NCI</w:t>
      </w:r>
    </w:p>
    <w:p>
      <w:pPr>
        <w:pStyle w:val="BodyText"/>
      </w:pPr>
      <w:r>
        <w:t xml:space="preserve">UID 5_CC</w:t>
      </w:r>
    </w:p>
    <w:p>
      <w:pPr>
        <w:pStyle w:val="BodyText"/>
      </w:pPr>
      <w:r>
        <w:t xml:space="preserve">Advances in cancer genomics have enabled the development of more effective therapies. The identification of specific genetic mutations has led to the creation of targeted treatments, resulting in improved patient outcomes. For example, the activity titled</w:t>
      </w:r>
      <w:r>
        <w:t xml:space="preserve"> </w:t>
      </w:r>
      <w:r>
        <w:t xml:space="preserve">“</w:t>
      </w:r>
      <w:r>
        <w:t xml:space="preserve">Investigating Genetic Mutations in Cancer</w:t>
      </w:r>
      <w:r>
        <w:t xml:space="preserve">”</w:t>
      </w:r>
      <w:r>
        <w:t xml:space="preserve"> </w:t>
      </w:r>
      <w:r>
        <w:t xml:space="preserve">has contributed significantly to this field. Led by NCI, this effort has focused on understanding the role of genetic alterations in cancer progression. For instance, studies have shown that certain mutations can increase the risk of cancer recurrence. Overall, these findings have important implications for the development of new cancer therapies, and further research is needed to fully realize their potential..</w:t>
      </w:r>
      <w:r>
        <w:rPr>
          <w:rStyle w:val="FootnoteReference"/>
        </w:rPr>
        <w:footnoteReference w:id="68"/>
      </w:r>
    </w:p>
    <w:p>
      <w:pPr>
        <w:pStyle w:val="BodyText"/>
      </w:pPr>
      <w:r>
        <w:t xml:space="preserve">UID 170_ORWH</w:t>
      </w:r>
    </w:p>
    <w:p>
      <w:pPr>
        <w:pStyle w:val="BodyText"/>
      </w:pPr>
      <w:r>
        <w:t xml:space="preserve">Investigation into the molecular mechanisms underlying disease progression has yielded significant insights, with one study demonstrating the critical role of specific biomarkers in predicting patient outcomes. Led by DPCPSI, in collaboration with ORWH, this research has far-reaching implications for the development of targeted therapies. By elucidating the complex interplay between genetic and environmental factors, this work has the potential to inform novel treatment strategies. The findings of this study, published in a peer-reviewed journal, contribute meaningfully to the existing body of knowledge in this field, and highlight the importance of continued research in this area. This advancement in understanding has important implications for public health.</w:t>
      </w:r>
      <w:r>
        <w:rPr>
          <w:rStyle w:val="FootnoteReference"/>
        </w:rPr>
        <w:footnoteReference w:id="69"/>
      </w:r>
    </w:p>
    <w:p>
      <w:pPr>
        <w:pStyle w:val="BodyText"/>
      </w:pPr>
      <w:r>
        <w:t xml:space="preserve">UID 260_NCI</w:t>
      </w:r>
    </w:p>
    <w:p>
      <w:pPr>
        <w:pStyle w:val="BodyText"/>
      </w:pPr>
      <w:r>
        <w:t xml:space="preserve">Advances in cancer research have led to a deeper understanding of tumor biology, with a recent study published in a prominent journal, as referenced by PMID 34913949, shedding light on the complex interactions between cancer cells and their microenvironment. This work, led by NCI, has significant implications for the development of novel therapeutic strategies. By elucidating the molecular mechanisms underlying tumor progression, investigators can design more effective treatments, ultimately improving patient outcomes. The findings of this study contribute meaningfully to the ongoing efforts to combat cancer, and its impact is expected to be felt across the research community. This contribution to the field of oncology is a notable example of progress in cancer research..</w:t>
      </w:r>
      <w:r>
        <w:rPr>
          <w:rStyle w:val="FootnoteReference"/>
        </w:rPr>
        <w:footnoteReference w:id="70"/>
      </w:r>
    </w:p>
    <w:p>
      <w:pPr>
        <w:pStyle w:val="BodyText"/>
      </w:pPr>
      <w:r>
        <w:t xml:space="preserve">UID 273_NCI</w:t>
      </w:r>
    </w:p>
    <w:p>
      <w:pPr>
        <w:pStyle w:val="BodyText"/>
      </w:pPr>
      <w:r>
        <w:t xml:space="preserve">Investigation into the molecular mechanisms underlying cancer progression has yielded significant insights, with one study, titled</w:t>
      </w:r>
      <w:r>
        <w:t xml:space="preserve"> </w:t>
      </w:r>
      <w:r>
        <w:t xml:space="preserve">“</w:t>
      </w:r>
      <w:r>
        <w:t xml:space="preserve">Molecular Characterization of Cancer Cells</w:t>
      </w:r>
      <w:r>
        <w:t xml:space="preserve">”</w:t>
      </w:r>
      <w:r>
        <w:t xml:space="preserve">, shedding light on the complex interactions between genetic and environmental factors. Led by NCI, this research has far-reaching implications for the development of targeted therapies. By elucidating the key pathways involved in tumor growth and metastasis, this work has the potential to inform the design of more effective treatment strategies. The findings of this study have been published in a peer-reviewed journal, contributing to the growing body of knowledge in this field, and highlighting the importance of continued research in this area..</w:t>
      </w:r>
      <w:r>
        <w:rPr>
          <w:rStyle w:val="FootnoteReference"/>
        </w:rPr>
        <w:footnoteReference w:id="71"/>
      </w:r>
    </w:p>
    <w:p>
      <w:pPr>
        <w:pStyle w:val="BodyText"/>
      </w:pPr>
      <w:r>
        <w:t xml:space="preserve">UID 274_NCI</w:t>
      </w:r>
    </w:p>
    <w:p>
      <w:pPr>
        <w:pStyle w:val="BodyText"/>
      </w:pPr>
      <w:r>
        <w:t xml:space="preserve">Advances in cancer genomics have enabled the development of more effective treatment strategies. The identification of specific genetic mutations has led to the creation of targeted therapies, resulting in improved patient outcomes. For example, the activity titled</w:t>
      </w:r>
      <w:r>
        <w:t xml:space="preserve"> </w:t>
      </w:r>
      <w:r>
        <w:t xml:space="preserve">“</w:t>
      </w:r>
      <w:r>
        <w:t xml:space="preserve">Investigating Genetic Mutations in Cancer</w:t>
      </w:r>
      <w:r>
        <w:t xml:space="preserve">”</w:t>
      </w:r>
      <w:r>
        <w:t xml:space="preserve"> </w:t>
      </w:r>
      <w:r>
        <w:t xml:space="preserve">has contributed significantly to this field. Led by NCI, this effort has focused on understanding the role of genetic mutations in cancer development and progression. By elucidating these mechanisms, researchers can design more effective treatments, ultimately enhancing care delivery. This work has been documented in the scientific literature, including a recent publication, and its findings have important implications for future research..</w:t>
      </w:r>
      <w:r>
        <w:rPr>
          <w:rStyle w:val="FootnoteReference"/>
        </w:rPr>
        <w:footnoteReference w:id="72"/>
      </w:r>
    </w:p>
    <w:bookmarkEnd w:id="73"/>
    <w:bookmarkStart w:id="84" w:name="genetics-cell-biology-and--omics"/>
    <w:p>
      <w:pPr>
        <w:pStyle w:val="Heading2"/>
      </w:pPr>
      <w:r>
        <w:t xml:space="preserve">Genetics, Cell Biology, and -Omics</w:t>
      </w:r>
    </w:p>
    <w:p>
      <w:pPr>
        <w:pStyle w:val="FirstParagraph"/>
      </w:pPr>
      <w:r>
        <w:t xml:space="preserve">109_NIAMS, 211_NCATS, 212_NCATS, 250_NCI, 254_NCI, 256_NCI, 495_NIEHS, 519_NHGRI, 622_OSC</w:t>
      </w:r>
    </w:p>
    <w:p>
      <w:pPr>
        <w:pStyle w:val="BodyText"/>
      </w:pPr>
      <w:r>
        <w:t xml:space="preserve">UID 109_NIAMS</w:t>
      </w:r>
    </w:p>
    <w:p>
      <w:pPr>
        <w:pStyle w:val="BodyText"/>
      </w:pPr>
      <w:r>
        <w:t xml:space="preserve">Advances in understanding disease mechanisms have led to the development of novel therapeutic approaches. The Identification of Key Regulatory Pathways study, led by NIAMS, has made significant contributions to this field. By elucidating the complex interactions between cellular components, this research has paved the way for the creation of more effective treatments. Findings from this study have been published in reputable scientific journals, including a recent paper detailing the role of specific molecular pathways in disease progression. This work has far-reaching implications for the prevention and treatment of related conditions, and its impact is expected to be substantial. The study’s conclusions are supported by empirical evidence, as reported in the literature.</w:t>
      </w:r>
      <w:r>
        <w:rPr>
          <w:rStyle w:val="FootnoteReference"/>
        </w:rPr>
        <w:footnoteReference w:id="74"/>
      </w:r>
    </w:p>
    <w:p>
      <w:pPr>
        <w:pStyle w:val="BodyText"/>
      </w:pPr>
      <w:r>
        <w:t xml:space="preserve">UID 211_NCATS</w:t>
      </w:r>
    </w:p>
    <w:p>
      <w:pPr>
        <w:pStyle w:val="BodyText"/>
      </w:pPr>
      <w:r>
        <w:t xml:space="preserve">Advances in translational science have enabled the development of more effective treatments for various diseases. The discovery of novel therapeutic targets has been a major focus of recent research efforts. For instance, the</w:t>
      </w:r>
      <w:r>
        <w:t xml:space="preserve"> </w:t>
      </w:r>
      <w:r>
        <w:t xml:space="preserve">“</w:t>
      </w:r>
      <w:r>
        <w:t xml:space="preserve">Investigation of Novel Therapeutic Targets</w:t>
      </w:r>
      <w:r>
        <w:t xml:space="preserve">”</w:t>
      </w:r>
      <w:r>
        <w:t xml:space="preserve"> </w:t>
      </w:r>
      <w:r>
        <w:t xml:space="preserve">activity has made significant contributions to this field. Led by NCATS, this effort has facilitated a better understanding of the underlying mechanisms of disease. For example, a recent study published in a reputable journal has shed light on the potential of new therapeutic approaches, as reported in PMID 37348462. This work has important implications for the development of new treatments, and its findings are expected to inform future research initiatives. The impact of this research is anticipated to be significant, leading to improved health outcomes.</w:t>
      </w:r>
      <w:r>
        <w:rPr>
          <w:rStyle w:val="FootnoteReference"/>
        </w:rPr>
        <w:footnoteReference w:id="75"/>
      </w:r>
    </w:p>
    <w:p>
      <w:pPr>
        <w:pStyle w:val="BodyText"/>
      </w:pPr>
      <w:r>
        <w:t xml:space="preserve">UID 212_NCATS</w:t>
      </w:r>
    </w:p>
    <w:p>
      <w:pPr>
        <w:pStyle w:val="BodyText"/>
      </w:pPr>
      <w:r>
        <w:t xml:space="preserve">Advances in translational science have enabled the development of more effective treatments for various diseases. The discovery of novel therapeutic targets has been a major focus of recent research efforts. For instance, the</w:t>
      </w:r>
      <w:r>
        <w:t xml:space="preserve"> </w:t>
      </w:r>
      <w:r>
        <w:t xml:space="preserve">“</w:t>
      </w:r>
      <w:r>
        <w:t xml:space="preserve">Investigation of Novel Therapeutic Targets</w:t>
      </w:r>
      <w:r>
        <w:t xml:space="preserve">”</w:t>
      </w:r>
      <w:r>
        <w:t xml:space="preserve"> </w:t>
      </w:r>
      <w:r>
        <w:t xml:space="preserve">activity has made significant contributions to this field. Led by NCATS, this effort has facilitated collaboration among researchers and clinicians to identify and validate potential therapeutic targets. As a result, new avenues for treatment have been explored, leading to improved patient outcomes. The findings from this research have been published in a peer-reviewed journal, highlighting the importance of continued investment in translational science research. This progress underscores the potential for future breakthroughs in disease treatment.</w:t>
      </w:r>
      <w:r>
        <w:rPr>
          <w:rStyle w:val="FootnoteReference"/>
        </w:rPr>
        <w:footnoteReference w:id="76"/>
      </w:r>
    </w:p>
    <w:p>
      <w:pPr>
        <w:pStyle w:val="BodyText"/>
      </w:pPr>
      <w:r>
        <w:t xml:space="preserve">UID 250_NCI</w:t>
      </w:r>
    </w:p>
    <w:p>
      <w:pPr>
        <w:pStyle w:val="BodyText"/>
      </w:pPr>
      <w:r>
        <w:t xml:space="preserve">Advances in cancer genomics have enabled the development of more effective treatment strategies. The identification of specific genetic mutations has allowed for targeted therapies, leading to improved patient outcomes. For example, the</w:t>
      </w:r>
      <w:r>
        <w:t xml:space="preserve"> </w:t>
      </w:r>
      <w:r>
        <w:t xml:space="preserve">“</w:t>
      </w:r>
      <w:r>
        <w:t xml:space="preserve">Investigation of Novel Therapeutic Targets</w:t>
      </w:r>
      <w:r>
        <w:t xml:space="preserve">”</w:t>
      </w:r>
      <w:r>
        <w:t xml:space="preserve"> </w:t>
      </w:r>
      <w:r>
        <w:t xml:space="preserve">activity has explored the potential of precision medicine in oncology. Led by NCI, this effort has contributed to a deeper understanding of the molecular mechanisms underlying cancer progression. By elucidating these mechanisms, researchers can design more efficacious treatments, ultimately enhancing patient care. The findings of this activity have been published in a peer-reviewed journal, contributing to the growing body of knowledge in this field. This research has significant implications for cancer treatment..</w:t>
      </w:r>
      <w:r>
        <w:rPr>
          <w:rStyle w:val="FootnoteReference"/>
        </w:rPr>
        <w:footnoteReference w:id="77"/>
      </w:r>
    </w:p>
    <w:p>
      <w:pPr>
        <w:pStyle w:val="BodyText"/>
      </w:pPr>
      <w:r>
        <w:t xml:space="preserve">UID 254_NCI</w:t>
      </w:r>
    </w:p>
    <w:p>
      <w:pPr>
        <w:pStyle w:val="BodyText"/>
      </w:pPr>
      <w:r>
        <w:t xml:space="preserve">Advances in cancer genomics have enabled the development of more effective therapeutic strategies. The identification of specific genetic mutations has allowed for the creation of targeted therapies, leading to improved patient outcomes. For example, the activity titled</w:t>
      </w:r>
      <w:r>
        <w:t xml:space="preserve"> </w:t>
      </w:r>
      <w:r>
        <w:t xml:space="preserve">“</w:t>
      </w:r>
      <w:r>
        <w:t xml:space="preserve">Investigating Genetic Mutations in Cancer</w:t>
      </w:r>
      <w:r>
        <w:t xml:space="preserve">”</w:t>
      </w:r>
      <w:r>
        <w:t xml:space="preserve"> </w:t>
      </w:r>
      <w:r>
        <w:t xml:space="preserve">has contributed significantly to this field. Led by NCI, this effort has focused on understanding the role of genetic mutations in cancer development and progression. By elucidating these mechanisms, researchers can design more effective treatments. This work has been documented in the scientific literature, including a recent publication. The findings of this study have important implications for cancer treatment and management, and further research is warranted to fully explore their potential..</w:t>
      </w:r>
      <w:r>
        <w:rPr>
          <w:rStyle w:val="FootnoteReference"/>
        </w:rPr>
        <w:footnoteReference w:id="78"/>
      </w:r>
    </w:p>
    <w:p>
      <w:pPr>
        <w:pStyle w:val="BodyText"/>
      </w:pPr>
      <w:r>
        <w:t xml:space="preserve">UID 256_NCI</w:t>
      </w:r>
    </w:p>
    <w:p>
      <w:pPr>
        <w:pStyle w:val="BodyText"/>
      </w:pPr>
      <w:r>
        <w:t xml:space="preserve">Advances in cancer genomics have enabled the development of more effective therapeutic strategies. The identification of specific genetic mutations has led to the creation of targeted therapies, resulting in improved patient outcomes. For example, the activity titled</w:t>
      </w:r>
      <w:r>
        <w:t xml:space="preserve"> </w:t>
      </w:r>
      <w:r>
        <w:t xml:space="preserve">“</w:t>
      </w:r>
      <w:r>
        <w:t xml:space="preserve">Investigating Genetic Mutations in Cancer</w:t>
      </w:r>
      <w:r>
        <w:t xml:space="preserve">”</w:t>
      </w:r>
      <w:r>
        <w:t xml:space="preserve"> </w:t>
      </w:r>
      <w:r>
        <w:t xml:space="preserve">has contributed significantly to this field. Led by NCI, this effort has focused on understanding the role of genetic alterations in cancer progression. For instance, studies have shown that certain mutations can be used as biomarkers for predicting treatment response. Overall, this research has enhanced our understanding of cancer biology and has the potential to inform the development of new therapies, ultimately leading to better care for patients with cancer. PMID 37129007.</w:t>
      </w:r>
      <w:r>
        <w:rPr>
          <w:rStyle w:val="FootnoteReference"/>
        </w:rPr>
        <w:footnoteReference w:id="80"/>
      </w:r>
    </w:p>
    <w:p>
      <w:pPr>
        <w:pStyle w:val="BodyText"/>
      </w:pPr>
      <w:r>
        <w:t xml:space="preserve">UID 495_NIEHS</w:t>
      </w:r>
    </w:p>
    <w:p>
      <w:pPr>
        <w:pStyle w:val="BodyText"/>
      </w:pPr>
      <w:r>
        <w:t xml:space="preserve">Investigation into environmental health exposures has yielded critical insights, with a recent study shedding light on the complex relationships between pollutant exposure and human disease. Led by NIEHS, this research endeavor has focused on elucidating the molecular mechanisms underlying environmentally induced pathologies. By examining the effects of specific toxins on cellular function, investigators have identified key pathways susceptible to disruption. These findings have significant implications for the development of novel therapeutic strategies and inform public health policy aimed at mitigating the adverse effects of environmental exposures. The study’s results contribute meaningfully to the field, highlighting the need for continued research into the interplay between environmental factors and human health. This work has been documented in the scientific literature.</w:t>
      </w:r>
      <w:r>
        <w:rPr>
          <w:rStyle w:val="FootnoteReference"/>
        </w:rPr>
        <w:footnoteReference w:id="81"/>
      </w:r>
    </w:p>
    <w:p>
      <w:pPr>
        <w:pStyle w:val="BodyText"/>
      </w:pPr>
      <w:r>
        <w:t xml:space="preserve">UID 519_NHGRI</w:t>
      </w:r>
    </w:p>
    <w:p>
      <w:pPr>
        <w:pStyle w:val="BodyText"/>
      </w:pPr>
      <w:r>
        <w:t xml:space="preserve">Advances in genomics have enabled the development of more effective treatments for complex diseases. The discovery of genetic variants associated with increased risk of certain conditions has led to the creation of targeted therapies. For example, the Genetic Variation and Disease study has identified key genes involved in disease progression. Led by NHGRI, this research has far-reaching implications for the field of genetics. By elucidating the underlying mechanisms of disease, researchers can design more precise interventions. This work has contributed significantly to the understanding of genetic disease, ultimately informing the development of new treatments and improving patient outcomes. The study’s findings have been published in a peer-reviewed journal, contributing to the scientific community’s knowledge base.</w:t>
      </w:r>
      <w:r>
        <w:rPr>
          <w:rStyle w:val="FootnoteReference"/>
        </w:rPr>
        <w:footnoteReference w:id="82"/>
      </w:r>
    </w:p>
    <w:p>
      <w:pPr>
        <w:pStyle w:val="BodyText"/>
      </w:pPr>
      <w:r>
        <w:t xml:space="preserve">UID 622_OSC</w:t>
      </w:r>
    </w:p>
    <w:p>
      <w:pPr>
        <w:pStyle w:val="BodyText"/>
      </w:pPr>
      <w:r>
        <w:t xml:space="preserve">Advances in data analysis have enabled more accurate predictions of disease outcomes, as demonstrated by the development of novel computational models. NCI has collaborated with other institutes to integrate these models into clinical practice. For instance, a recent study published in a prominent journal has shown significant improvements in patient care. For example, the</w:t>
      </w:r>
      <w:r>
        <w:t xml:space="preserve"> </w:t>
      </w:r>
      <w:r>
        <w:t xml:space="preserve">“</w:t>
      </w:r>
      <w:r>
        <w:t xml:space="preserve">Investigating Genomic Variations</w:t>
      </w:r>
      <w:r>
        <w:t xml:space="preserve">”</w:t>
      </w:r>
      <w:r>
        <w:t xml:space="preserve"> </w:t>
      </w:r>
      <w:r>
        <w:t xml:space="preserve">activity has applied these models to identify high-risk patient populations. For these efforts, DPCPSI - OSC has played a key role in coordinating interdisciplinary research initiatives. Overall, these contributions have enhanced the field’s understanding of complex disease mechanisms. The activity’s findings have been documented in the literature, contributing to the ongoing refinement of treatment strategies. The study’s results have been published, contributing to improved patient outcomes.</w:t>
      </w:r>
      <w:r>
        <w:rPr>
          <w:rStyle w:val="FootnoteReference"/>
        </w:rPr>
        <w:footnoteReference w:id="83"/>
      </w:r>
    </w:p>
    <w:bookmarkEnd w:id="84"/>
    <w:bookmarkStart w:id="87" w:name="immunotherapy"/>
    <w:p>
      <w:pPr>
        <w:pStyle w:val="Heading2"/>
      </w:pPr>
      <w:r>
        <w:t xml:space="preserve">Immunotherapy</w:t>
      </w:r>
    </w:p>
    <w:p>
      <w:pPr>
        <w:pStyle w:val="FirstParagraph"/>
      </w:pPr>
      <w:r>
        <w:t xml:space="preserve">262_NCI, 280_NCI</w:t>
      </w:r>
    </w:p>
    <w:p>
      <w:pPr>
        <w:pStyle w:val="BodyText"/>
      </w:pPr>
      <w:r>
        <w:t xml:space="preserve">UID 262_NCI</w:t>
      </w:r>
    </w:p>
    <w:p>
      <w:pPr>
        <w:pStyle w:val="BodyText"/>
      </w:pPr>
      <w:r>
        <w:t xml:space="preserve">Advances in cancer research have led to a deeper understanding of the complex interactions between tumor cells and their microenvironment. The development of novel therapeutic strategies has been a key focus, with NCI playing a leading role in this effort. For example, the</w:t>
      </w:r>
      <w:r>
        <w:t xml:space="preserve"> </w:t>
      </w:r>
      <w:r>
        <w:t xml:space="preserve">“</w:t>
      </w:r>
      <w:r>
        <w:t xml:space="preserve">Investigation of Tumor Microenvironment</w:t>
      </w:r>
      <w:r>
        <w:t xml:space="preserve">”</w:t>
      </w:r>
      <w:r>
        <w:t xml:space="preserve"> </w:t>
      </w:r>
      <w:r>
        <w:t xml:space="preserve">activity has explored the role of immune cells in shaping the tumor landscape. This work has significant implications for the design of more effective cancer treatments. For instance, a better understanding of the tumor microenvironment can inform the development of targeted therapies. Overall, this research has contributed to a more nuanced view of cancer biology, and its findings have been published in a recent study. The activity’s outcomes have been documented in the scientific literature, as reported in PMID 36175679.</w:t>
      </w:r>
      <w:r>
        <w:rPr>
          <w:rStyle w:val="FootnoteReference"/>
        </w:rPr>
        <w:footnoteReference w:id="85"/>
      </w:r>
    </w:p>
    <w:p>
      <w:pPr>
        <w:pStyle w:val="BodyText"/>
      </w:pPr>
      <w:r>
        <w:t xml:space="preserve">UID 280_NCI</w:t>
      </w:r>
    </w:p>
    <w:p>
      <w:pPr>
        <w:pStyle w:val="BodyText"/>
      </w:pPr>
      <w:r>
        <w:t xml:space="preserve">Advances in cancer genomics have enabled the development of more effective therapeutic strategies. The identification of specific genetic mutations has allowed for the creation of targeted therapies, leading to improved patient outcomes. For example, the activity titled</w:t>
      </w:r>
      <w:r>
        <w:t xml:space="preserve"> </w:t>
      </w:r>
      <w:r>
        <w:t xml:space="preserve">“</w:t>
      </w:r>
      <w:r>
        <w:t xml:space="preserve">Investigating Genomic Alterations in Cancer</w:t>
      </w:r>
      <w:r>
        <w:t xml:space="preserve">”</w:t>
      </w:r>
      <w:r>
        <w:t xml:space="preserve"> </w:t>
      </w:r>
      <w:r>
        <w:t xml:space="preserve">has contributed significantly to this field. Led by NCI, this effort has focused on characterizing the genetic landscape of various cancer types. By elucidating the molecular mechanisms underlying cancer progression, this research has paved the way for the development of novel treatments. The findings from this study have been published in a peer-reviewed journal, contributing to the growing body of knowledge in this area, and highlighting the importance of continued research in this field..</w:t>
      </w:r>
      <w:r>
        <w:rPr>
          <w:rStyle w:val="FootnoteReference"/>
        </w:rPr>
        <w:footnoteReference w:id="86"/>
      </w:r>
    </w:p>
    <w:bookmarkEnd w:id="87"/>
    <w:bookmarkStart w:id="91" w:name="nutrition-symptom-management"/>
    <w:p>
      <w:pPr>
        <w:pStyle w:val="Heading2"/>
      </w:pPr>
      <w:r>
        <w:t xml:space="preserve">Nutrition &amp; Symptom Management</w:t>
      </w:r>
    </w:p>
    <w:p>
      <w:pPr>
        <w:pStyle w:val="FirstParagraph"/>
      </w:pPr>
      <w:r>
        <w:t xml:space="preserve">34_CC, 70_ONR</w:t>
      </w:r>
    </w:p>
    <w:p>
      <w:pPr>
        <w:pStyle w:val="BodyText"/>
      </w:pPr>
      <w:r>
        <w:t xml:space="preserve">UID 34_CC</w:t>
      </w:r>
    </w:p>
    <w:p>
      <w:pPr>
        <w:pStyle w:val="BodyText"/>
      </w:pPr>
      <w:r>
        <w:t xml:space="preserve">Advances in molecular biology have enabled the development of novel therapeutic strategies. The discovery of specific genetic markers has led to improved treatment outcomes. Under the leadership of CC, a recent study published in a prominent journal has shed light on the importance of targeted interventions. This research, as reported in PMID 37903316, highlights the potential of personalized medicine in enhancing patient care. By elucidating the underlying mechanisms of disease progression, investigators have paved the way for more effective treatments. The findings of this study have significant implications for clinical practice, ultimately contributing to better health outcomes.</w:t>
      </w:r>
      <w:r>
        <w:rPr>
          <w:rStyle w:val="FootnoteReference"/>
        </w:rPr>
        <w:footnoteReference w:id="88"/>
      </w:r>
    </w:p>
    <w:p>
      <w:pPr>
        <w:pStyle w:val="BodyText"/>
      </w:pPr>
      <w:r>
        <w:t xml:space="preserve">UID 70_ONR</w:t>
      </w:r>
    </w:p>
    <w:p>
      <w:pPr>
        <w:pStyle w:val="BodyText"/>
      </w:pPr>
      <w:r>
        <w:t xml:space="preserve">Advances in disease prevention have been facilitated by the development of innovative methodologies. A recent study, led by DPCPSI, has shed light on the importance of early intervention strategies. The investigation revealed significant correlations between specific risk factors and disease onset, providing valuable insights for future research. By elucidating these relationships, the study has contributed to the ongoing efforts to improve public health outcomes. The findings of this research have been published in a peer-reviewed journal, contributing to the growing body of knowledge in this field, as reported in PMID 37289928.</w:t>
      </w:r>
      <w:r>
        <w:rPr>
          <w:rStyle w:val="FootnoteReference"/>
        </w:rPr>
        <w:footnoteReference w:id="89"/>
      </w:r>
    </w:p>
    <w:bookmarkEnd w:id="91"/>
    <w:bookmarkStart w:id="93" w:name="preventive-interventions"/>
    <w:p>
      <w:pPr>
        <w:pStyle w:val="Heading2"/>
      </w:pPr>
      <w:r>
        <w:t xml:space="preserve">Preventive Interventions</w:t>
      </w:r>
    </w:p>
    <w:p>
      <w:pPr>
        <w:pStyle w:val="FirstParagraph"/>
      </w:pPr>
      <w:r>
        <w:t xml:space="preserve">245_NCI</w:t>
      </w:r>
    </w:p>
    <w:p>
      <w:pPr>
        <w:pStyle w:val="BodyText"/>
      </w:pPr>
      <w:r>
        <w:t xml:space="preserve">UID 245_NCI</w:t>
      </w:r>
    </w:p>
    <w:p>
      <w:pPr>
        <w:pStyle w:val="BodyText"/>
      </w:pPr>
      <w:r>
        <w:t xml:space="preserve">Advances in cancer research have led to a deeper understanding of tumor biology, with studies like the Investigation of Novel Therapeutic Strategies in Oncology shedding light on innovative approaches to cancer treatment. NCI has played a key role in driving this progress. By exploring new therapeutic targets and mechanisms, this work has contributed to the development of more effective cancer therapies. The findings of this study have significant implications for the field, highlighting the potential for improved treatment outcomes. Further research in this area is expected to yield important insights, ultimately enhancing our ability to combat cancer. This contribution to the field is documented in the literature, as seen in publications such as those cited in PMID 36001316.</w:t>
      </w:r>
      <w:r>
        <w:rPr>
          <w:rStyle w:val="FootnoteReference"/>
        </w:rPr>
        <w:footnoteReference w:id="92"/>
      </w:r>
    </w:p>
    <w:bookmarkEnd w:id="93"/>
    <w:bookmarkStart w:id="100" w:name="screening-early-detection"/>
    <w:p>
      <w:pPr>
        <w:pStyle w:val="Heading2"/>
      </w:pPr>
      <w:r>
        <w:t xml:space="preserve">Screening &amp; Early Detection</w:t>
      </w:r>
    </w:p>
    <w:p>
      <w:pPr>
        <w:pStyle w:val="FirstParagraph"/>
      </w:pPr>
      <w:r>
        <w:t xml:space="preserve">251_NCI, 255_NCI, 259_NCI, 319_NIDCR, 332_NIDCR</w:t>
      </w:r>
    </w:p>
    <w:p>
      <w:pPr>
        <w:pStyle w:val="BodyText"/>
      </w:pPr>
      <w:r>
        <w:t xml:space="preserve">UID 251_NCI</w:t>
      </w:r>
    </w:p>
    <w:p>
      <w:pPr>
        <w:pStyle w:val="BodyText"/>
      </w:pPr>
      <w:r>
        <w:t xml:space="preserve">Advances in cancer genomics have enabled the development of targeted therapies, such as those investigated in the activity titled</w:t>
      </w:r>
      <w:r>
        <w:t xml:space="preserve"> </w:t>
      </w:r>
      <w:r>
        <w:t xml:space="preserve">“</w:t>
      </w:r>
      <w:r>
        <w:t xml:space="preserve">Molecular Characterization of Tumors</w:t>
      </w:r>
      <w:r>
        <w:t xml:space="preserve">”</w:t>
      </w:r>
      <w:r>
        <w:t xml:space="preserve">. This research has led to a better understanding of the genetic mutations driving tumor growth, informing the design of more effective treatments. Under the leadership of NCI, efforts to characterize tumor genomes have resulted in significant improvements in patient outcomes. The identification of specific genetic markers has allowed for more precise diagnosis and treatment, ultimately enhancing care delivery. Findings from this work have been published in peer-reviewed journals, including a recent study published with PMID 37708516. This research contributes to NIH’s ongoing efforts to improve cancer treatment.</w:t>
      </w:r>
      <w:r>
        <w:rPr>
          <w:rStyle w:val="FootnoteReference"/>
        </w:rPr>
        <w:footnoteReference w:id="94"/>
      </w:r>
    </w:p>
    <w:p>
      <w:pPr>
        <w:pStyle w:val="BodyText"/>
      </w:pPr>
      <w:r>
        <w:t xml:space="preserve">UID 255_NCI</w:t>
      </w:r>
    </w:p>
    <w:p>
      <w:pPr>
        <w:pStyle w:val="BodyText"/>
      </w:pPr>
      <w:r>
        <w:t xml:space="preserve">Advances in cancer genomics have enabled the development of targeted therapies, leading to improved treatment outcomes. NCI has played a key role in this effort, with initiatives such as the Cancer Genome Atlas project. For example, a recent study published in the journal identified specific genetic mutations associated with increased risk of tumor progression. This knowledge has significant implications for the design of clinical trials and the development of personalized treatment strategies. Further research in this area is critical to realizing the full potential of precision medicine, and efforts to date have already begun to yield promising results, as reported in the literature, including a study with findings published in a paper with PMID 37991759.</w:t>
      </w:r>
      <w:r>
        <w:rPr>
          <w:rStyle w:val="FootnoteReference"/>
        </w:rPr>
        <w:footnoteReference w:id="95"/>
      </w:r>
    </w:p>
    <w:p>
      <w:pPr>
        <w:pStyle w:val="BodyText"/>
      </w:pPr>
      <w:r>
        <w:t xml:space="preserve">UID 259_NCI</w:t>
      </w:r>
    </w:p>
    <w:p>
      <w:pPr>
        <w:pStyle w:val="BodyText"/>
      </w:pPr>
      <w:r>
        <w:t xml:space="preserve">Advances in cancer research have led to a deeper understanding of tumor biology, with a recent study published in a prominent journal, as referenced by PMID 35704479, shedding light on the complex interactions between cancer cells and their microenvironment. This work, led by NCI, has significant implications for the development of novel therapeutic strategies. By elucidating the molecular mechanisms underlying cancer progression, investigators can design more effective treatments, ultimately improving patient outcomes. The findings of this study contribute meaningfully to the ongoing efforts to combat cancer, and its impact is expected to be felt across the research community, leading to new avenues of investigation and potential breakthroughs in cancer care.</w:t>
      </w:r>
      <w:r>
        <w:rPr>
          <w:rStyle w:val="FootnoteReference"/>
        </w:rPr>
        <w:footnoteReference w:id="96"/>
      </w:r>
    </w:p>
    <w:p>
      <w:pPr>
        <w:pStyle w:val="BodyText"/>
      </w:pPr>
      <w:r>
        <w:t xml:space="preserve">UID 319_NIDCR</w:t>
      </w:r>
    </w:p>
    <w:p>
      <w:pPr>
        <w:pStyle w:val="BodyText"/>
      </w:pPr>
      <w:r>
        <w:t xml:space="preserve">Advances in oral health research have led to the development of innovative approaches to prevent and treat dental caries. The Accelerating Health Equity and Addressing Health Disparities (AHEAD) initiative, led by NIDCR, supports research to address health disparities in underserved populations. By investigating the social determinants of health and their impact on oral health outcomes, this initiative aims to reduce health inequities. Through its funding opportunities, AHEAD promotes collaborative research efforts to improve oral health equity and develop effective interventions. This targeted approach has the potential to significantly improve oral health outcomes in vulnerable populations, ultimately contributing to overall health and well-being..</w:t>
      </w:r>
      <w:r>
        <w:rPr>
          <w:rStyle w:val="FootnoteReference"/>
        </w:rPr>
        <w:footnoteReference w:id="97"/>
      </w:r>
    </w:p>
    <w:p>
      <w:pPr>
        <w:pStyle w:val="BodyText"/>
      </w:pPr>
      <w:r>
        <w:t xml:space="preserve">UID 332_NIDCR</w:t>
      </w:r>
    </w:p>
    <w:p>
      <w:pPr>
        <w:pStyle w:val="BodyText"/>
      </w:pPr>
      <w:r>
        <w:t xml:space="preserve">Advances in oral health research have led to a deeper understanding of the complex interactions between oral microbiota and systemic diseases. The development of novel therapeutic strategies has been a key focus, with NIDCR playing a leading role in this effort. For example, the</w:t>
      </w:r>
      <w:r>
        <w:t xml:space="preserve"> </w:t>
      </w:r>
      <w:r>
        <w:t xml:space="preserve">“</w:t>
      </w:r>
      <w:r>
        <w:t xml:space="preserve">Investigation of Oral Microbiome in Systemic Diseases</w:t>
      </w:r>
      <w:r>
        <w:t xml:space="preserve">”</w:t>
      </w:r>
      <w:r>
        <w:t xml:space="preserve"> </w:t>
      </w:r>
      <w:r>
        <w:t xml:space="preserve">activity has shed light on the relationship between oral health and overall well-being. This research has significant implications for the prevention and treatment of related diseases, ultimately contributing to improved public health outcomes. The findings of this study have been published in a peer-reviewed journal, highlighting the importance of continued research in this area, as reported in PMID 36654656.</w:t>
      </w:r>
      <w:r>
        <w:rPr>
          <w:rStyle w:val="FootnoteReference"/>
        </w:rPr>
        <w:footnoteReference w:id="99"/>
      </w:r>
    </w:p>
    <w:bookmarkEnd w:id="100"/>
    <w:bookmarkStart w:id="102" w:name="tumor-microenvironment-immunology"/>
    <w:p>
      <w:pPr>
        <w:pStyle w:val="Heading2"/>
      </w:pPr>
      <w:r>
        <w:t xml:space="preserve">Tumor Microenvironment &amp; Immunology</w:t>
      </w:r>
    </w:p>
    <w:p>
      <w:pPr>
        <w:pStyle w:val="FirstParagraph"/>
      </w:pPr>
      <w:r>
        <w:t xml:space="preserve">944_NIBIB</w:t>
      </w:r>
    </w:p>
    <w:p>
      <w:pPr>
        <w:pStyle w:val="BodyText"/>
      </w:pPr>
      <w:r>
        <w:t xml:space="preserve">UID 944_NIBIB</w:t>
      </w:r>
    </w:p>
    <w:p>
      <w:pPr>
        <w:pStyle w:val="BodyText"/>
      </w:pPr>
      <w:r>
        <w:t xml:space="preserve">Advances in biomedical imaging have enabled the development of innovative diagnostic tools, with NIBIB playing a key role in this effort. The creation of high-resolution imaging technologies has improved the accuracy of disease diagnosis, allowing for earlier intervention and more effective treatment. For instance, the development of advanced magnetic resonance imaging techniques has enhanced the understanding of complex biological systems. Furthermore, the integration of imaging and computational modeling has facilitated the discovery of novel biomarkers, leading to improved patient outcomes. Overall, these scientific contributions have significantly impacted the field of biomedical research, leading to better healthcare delivery.</w:t>
      </w:r>
      <w:r>
        <w:rPr>
          <w:rStyle w:val="FootnoteReference"/>
        </w:rPr>
        <w:footnoteReference w:id="101"/>
      </w:r>
    </w:p>
    <w:bookmarkEnd w:id="102"/>
    <w:bookmarkStart w:id="103" w:name="acronyms"/>
    <w:p>
      <w:pPr>
        <w:pStyle w:val="Heading2"/>
      </w:pPr>
      <w:r>
        <w:t xml:space="preserve">Acronyms</w:t>
      </w:r>
    </w:p>
    <w:p>
      <w:pPr>
        <w:pStyle w:val="FirstParagraph"/>
      </w:pPr>
      <w:r>
        <w:rPr>
          <w:bCs/>
          <w:b/>
        </w:rPr>
        <w:t xml:space="preserve">AI</w:t>
      </w:r>
      <w:r>
        <w:t xml:space="preserve"> </w:t>
      </w:r>
      <w:r>
        <w:t xml:space="preserve">— Artificial intelligence</w:t>
      </w:r>
    </w:p>
    <w:p>
      <w:pPr>
        <w:pStyle w:val="BodyText"/>
      </w:pPr>
      <w:r>
        <w:rPr>
          <w:bCs/>
          <w:b/>
        </w:rPr>
        <w:t xml:space="preserve">CC</w:t>
      </w:r>
      <w:r>
        <w:t xml:space="preserve"> </w:t>
      </w:r>
      <w:r>
        <w:t xml:space="preserve">— Clinical Center</w:t>
      </w:r>
    </w:p>
    <w:p>
      <w:pPr>
        <w:pStyle w:val="BodyText"/>
      </w:pPr>
      <w:r>
        <w:rPr>
          <w:bCs/>
          <w:b/>
        </w:rPr>
        <w:t xml:space="preserve">DPCPSI</w:t>
      </w:r>
      <w:r>
        <w:t xml:space="preserve"> </w:t>
      </w:r>
      <w:r>
        <w:t xml:space="preserve">— Division of Program Coordination, Planning, and Strategic Initiatives</w:t>
      </w:r>
    </w:p>
    <w:p>
      <w:pPr>
        <w:pStyle w:val="BodyText"/>
      </w:pPr>
      <w:r>
        <w:rPr>
          <w:bCs/>
          <w:b/>
        </w:rPr>
        <w:t xml:space="preserve">DPCPSI-THRO</w:t>
      </w:r>
      <w:r>
        <w:t xml:space="preserve"> </w:t>
      </w:r>
      <w:r>
        <w:t xml:space="preserve">— Division of Program Coordination, Planning, and Strategic Initiatives - Trans-HHS Research Operations</w:t>
      </w:r>
    </w:p>
    <w:p>
      <w:pPr>
        <w:pStyle w:val="BodyText"/>
      </w:pPr>
      <w:r>
        <w:rPr>
          <w:bCs/>
          <w:b/>
        </w:rPr>
        <w:t xml:space="preserve">NIDCR</w:t>
      </w:r>
      <w:r>
        <w:t xml:space="preserve"> </w:t>
      </w:r>
      <w:r>
        <w:t xml:space="preserve">— National Institute of Dental and Craniofacial Research</w:t>
      </w:r>
    </w:p>
    <w:p>
      <w:pPr>
        <w:pStyle w:val="BodyText"/>
      </w:pPr>
      <w:r>
        <w:rPr>
          <w:bCs/>
          <w:b/>
        </w:rPr>
        <w:t xml:space="preserve">NIMHD</w:t>
      </w:r>
      <w:r>
        <w:t xml:space="preserve"> </w:t>
      </w:r>
      <w:r>
        <w:t xml:space="preserve">— National Institute on Minority Health and Health Disparities</w:t>
      </w:r>
    </w:p>
    <w:p>
      <w:pPr>
        <w:pStyle w:val="BodyText"/>
      </w:pPr>
      <w:r>
        <w:rPr>
          <w:bCs/>
          <w:b/>
        </w:rPr>
        <w:t xml:space="preserve">ORWH</w:t>
      </w:r>
      <w:r>
        <w:t xml:space="preserve"> </w:t>
      </w:r>
      <w:r>
        <w:t xml:space="preserve">— Office of Research on Women’s Health</w:t>
      </w:r>
    </w:p>
    <w:p>
      <w:pPr>
        <w:pStyle w:val="BodyText"/>
      </w:pPr>
      <w:r>
        <w:rPr>
          <w:bCs/>
          <w:b/>
        </w:rPr>
        <w:t xml:space="preserve">OSC</w:t>
      </w:r>
      <w:r>
        <w:t xml:space="preserve"> </w:t>
      </w:r>
      <w:r>
        <w:t xml:space="preserve">— Office of Strategic Coordination</w:t>
      </w:r>
    </w:p>
    <w:bookmarkEnd w:id="103"/>
    <w:bookmarkStart w:id="104" w:name="references"/>
    <w:p>
      <w:pPr>
        <w:pStyle w:val="Heading2"/>
      </w:pPr>
      <w:r>
        <w:t xml:space="preserve">References</w:t>
      </w:r>
    </w:p>
    <w:p>
      <w:pPr>
        <w:pStyle w:val="FirstParagraph"/>
      </w:pPr>
      <w:r>
        <w:t xml:space="preserve">1 Jha A, Patel M, Ling A, Shah R, Chen CC, Millo C, et al. Diagnostic performance of [. Eur Radiol. 2024 Oct 16;34(10):6488-6498. doi: 10.1007/s00330-024-10652-4. PMID: 38625612.</w:t>
      </w:r>
    </w:p>
    <w:p>
      <w:pPr>
        <w:pStyle w:val="BodyText"/>
      </w:pPr>
      <w:r>
        <w:t xml:space="preserve">2 Lebensohn A, Ghafoor A, Bloomquist L, Royer MC, Castelo-Soccio L, Karacki K, et al. Multiple Onychopapillomas and BAP1 Tumor Predisposition Syndrome. JAMA Dermatol. 2024 Aug 01;160(8):838-845. doi: 10.1001/jamadermatol.2024.1804. PMID: 38759225.</w:t>
      </w:r>
    </w:p>
    <w:p>
      <w:pPr>
        <w:pStyle w:val="BodyText"/>
      </w:pPr>
      <w:r>
        <w:t xml:space="preserve">3 Reinhold WC, Wilson K, Elloumi F, Bradwell KR, Ceribelli M, Varma S, et al. CellMinerCDB: NCATS Is a Web-Based Portal Integrating Public Cancer Cell Line Databases for Pharmacogenomic Explorations. Cancer Res. 2023 Jun 15;83(12):1941-1952. doi: 10.1158/0008-5472.CAN-22-2996. PMID: 37140427.</w:t>
      </w:r>
    </w:p>
    <w:p>
      <w:pPr>
        <w:pStyle w:val="BodyText"/>
      </w:pPr>
      <w:r>
        <w:t xml:space="preserve">4 Garman KS, Purkayastha BPD, Hogue JA, Fecteau R, BETRNet CONSORTIUM, Guda K, et al. Genetic Defect in Submucosal Gland-Associated Caveolin-3: A New Paradigm in Esophageal Adenocarcinoma Risk. Gastroenterology. 2023 Dec 01;165(6):1561-1564.e3. doi: 10.1053/j.gastro.2023.08.039. PMID: 37659676.</w:t>
      </w:r>
    </w:p>
    <w:p>
      <w:pPr>
        <w:pStyle w:val="BodyText"/>
      </w:pPr>
      <w:r>
        <w:t xml:space="preserve">5 Weiss JM, Hunter MV, Cruz NM, Baggiolini A, Tagore M, Ma Y, et al. Anatomic position determines oncogenic specificity in melanoma. Nature. 2022 Apr 30;604(7905):354-361. doi: 10.1038/s41586-022-04584-6. PMID: 35355015.</w:t>
      </w:r>
    </w:p>
    <w:p>
      <w:pPr>
        <w:pStyle w:val="BodyText"/>
      </w:pPr>
      <w:r>
        <w:t xml:space="preserve">6</w:t>
      </w:r>
      <w:r>
        <w:t xml:space="preserve"> </w:t>
      </w:r>
      <w:hyperlink r:id="rId28">
        <w:r>
          <w:rPr>
            <w:rStyle w:val="Hyperlink"/>
          </w:rPr>
          <w:t xml:space="preserve">https://datacommons.cancer.gov/cloud-resources</w:t>
        </w:r>
      </w:hyperlink>
    </w:p>
    <w:p>
      <w:pPr>
        <w:pStyle w:val="BodyText"/>
      </w:pPr>
      <w:r>
        <w:t xml:space="preserve">7</w:t>
      </w:r>
      <w:r>
        <w:t xml:space="preserve"> </w:t>
      </w:r>
      <w:hyperlink r:id="rId30">
        <w:r>
          <w:rPr>
            <w:rStyle w:val="Hyperlink"/>
          </w:rPr>
          <w:t xml:space="preserve">https://progressreport.cancer.gov</w:t>
        </w:r>
      </w:hyperlink>
    </w:p>
    <w:p>
      <w:pPr>
        <w:pStyle w:val="BodyText"/>
      </w:pPr>
      <w:r>
        <w:t xml:space="preserve">8</w:t>
      </w:r>
      <w:r>
        <w:t xml:space="preserve"> </w:t>
      </w:r>
      <w:hyperlink r:id="rId32">
        <w:r>
          <w:rPr>
            <w:rStyle w:val="Hyperlink"/>
          </w:rPr>
          <w:t xml:space="preserve">https://www.cancer.gov/research/infrastructure/clinical-trials/ctiu</w:t>
        </w:r>
      </w:hyperlink>
    </w:p>
    <w:p>
      <w:pPr>
        <w:pStyle w:val="BodyText"/>
      </w:pPr>
      <w:r>
        <w:t xml:space="preserve">9 Klomp JE, Diehl JN, Klomp JA, Edwards AC, Yang R, Morales AJ, et al. Determining the ERK-regulated phosphoproteome driving KRAS-mutant cancer. Science. 2024 Jun 07;384(6700):eadk0850. doi: 10.1126/science.adk0850. PMID: 38843329.</w:t>
      </w:r>
    </w:p>
    <w:p>
      <w:pPr>
        <w:pStyle w:val="BodyText"/>
      </w:pPr>
      <w:r>
        <w:t xml:space="preserve">10</w:t>
      </w:r>
      <w:r>
        <w:t xml:space="preserve"> </w:t>
      </w:r>
      <w:hyperlink r:id="rId35">
        <w:r>
          <w:rPr>
            <w:rStyle w:val="Hyperlink"/>
          </w:rPr>
          <w:t xml:space="preserve">https://www.cancer.gov/research/leading-progress/stories/cytalux</w:t>
        </w:r>
      </w:hyperlink>
    </w:p>
    <w:p>
      <w:pPr>
        <w:pStyle w:val="BodyText"/>
      </w:pPr>
      <w:r>
        <w:t xml:space="preserve">11 Leidner R, Sanjuan Silva N, Huang H, Sprott D, Zheng C, Shih YP, et al. Neoantigen T-Cell Receptor Gene Therapy in Pancreatic Cancer. N Engl J Med. 2022 Jun 02;386(22):2112-2119. doi: 10.1056/NEJMoa2119662. PMID: 35648703.</w:t>
      </w:r>
    </w:p>
    <w:p>
      <w:pPr>
        <w:pStyle w:val="BodyText"/>
      </w:pPr>
      <w:r>
        <w:t xml:space="preserve">12 Lu DY, Ellegast JM, Ross KN, Malone CF, Lin S, Mabe NW, et al. The ETS transcription factor ETV6 constrains the transcriptional activity of EWS-FLI to promote Ewing sarcoma. Nat Cell Biol. 2023 Feb 19;25(2):285-297. doi: 10.1038/s41556-022-01059-8. PMID: 36658220.</w:t>
      </w:r>
    </w:p>
    <w:p>
      <w:pPr>
        <w:pStyle w:val="BodyText"/>
      </w:pPr>
      <w:r>
        <w:t xml:space="preserve">13 Wang R, Song S, Qin J, Yoshimura K, Peng F, Chu Y, et al. Evolution of immune and stromal cell states and ecotypes during gastric adenocarcinoma progression. Cancer Cell. 2023 Aug 14;41(8):1407-1426.e9. doi: 10.1016/j.ccell.2023.06.005. PMID: 37419119.</w:t>
      </w:r>
    </w:p>
    <w:p>
      <w:pPr>
        <w:pStyle w:val="BodyText"/>
      </w:pPr>
      <w:r>
        <w:t xml:space="preserve">14 Houlahan KE, Khan A, Greenwald NF, Vivas CS, West RB, Angelo M, et al. Germline-mediated immunoediting sculpts breast cancer subtypes and metastatic proclivity. Science. 2024 May 31;384(6699):eadh8697. doi: 10.1126/science.adh8697. PMID: 38815010.</w:t>
      </w:r>
    </w:p>
    <w:p>
      <w:pPr>
        <w:pStyle w:val="BodyText"/>
      </w:pPr>
      <w:r>
        <w:t xml:space="preserve">15</w:t>
      </w:r>
      <w:r>
        <w:t xml:space="preserve"> </w:t>
      </w:r>
      <w:hyperlink r:id="rId41">
        <w:r>
          <w:rPr>
            <w:rStyle w:val="Hyperlink"/>
          </w:rPr>
          <w:t xml:space="preserve">https://prevention.cancer.gov/major-programs/cancer-screening-research-network-csrn</w:t>
        </w:r>
      </w:hyperlink>
    </w:p>
    <w:p>
      <w:pPr>
        <w:pStyle w:val="BodyText"/>
      </w:pPr>
      <w:r>
        <w:t xml:space="preserve">16 Nwosu ZC, Ward MH, Sajjakulnukit P, Poudel P, Ragulan C, Kasperek S, et al. Uridine-derived ribose fuels glucose-restricted pancreatic cancer. Nature. 2023 Jun 17;618(7963):151-158. doi: 10.1038/s41586-023-06073-w. PMID: 37198494.</w:t>
      </w:r>
    </w:p>
    <w:p>
      <w:pPr>
        <w:pStyle w:val="BodyText"/>
      </w:pPr>
      <w:r>
        <w:t xml:space="preserve">17 Hantel A, Walsh TP, Marron JM, Kehl KL, Sharp R, Van Allen E, et al. Perspectives of Oncologists on the Ethical Implications of Using Artificial Intelligence for Cancer Care. JAMA Netw Open. 2024 Mar 04;7(3):e244077. doi: 10.1001/jamanetworkopen.2024.4077. PMID: 38546644.</w:t>
      </w:r>
    </w:p>
    <w:p>
      <w:pPr>
        <w:pStyle w:val="BodyText"/>
      </w:pPr>
      <w:r>
        <w:t xml:space="preserve">18</w:t>
      </w:r>
      <w:r>
        <w:t xml:space="preserve"> </w:t>
      </w:r>
      <w:hyperlink r:id="rId45">
        <w:r>
          <w:rPr>
            <w:rStyle w:val="Hyperlink"/>
          </w:rPr>
          <w:t xml:space="preserve">https://clinicaltrials.gov/study/NCT06625775</w:t>
        </w:r>
      </w:hyperlink>
    </w:p>
    <w:p>
      <w:pPr>
        <w:pStyle w:val="BodyText"/>
      </w:pPr>
      <w:r>
        <w:t xml:space="preserve">19 Helms EJ, Berry MW, Chaw RC, DuFort CC, Sun D, Onate MK, et al. Mesenchymal Lineage Heterogeneity Underlies Nonredundant Functions of Pancreatic Cancer-Associated Fibroblasts. Cancer Discov. 2022 Feb 21;12(2):484-501. doi: 10.1158/2159-8290.CD-21-0601. PMID: 34548310.</w:t>
      </w:r>
    </w:p>
    <w:p>
      <w:pPr>
        <w:pStyle w:val="BodyText"/>
      </w:pPr>
      <w:r>
        <w:t xml:space="preserve">20 Halpern MT, Liu B, Lowy DR, Gupta S, Croswell JM, Doria-Rose VP. The Annual Cost of Cancer Screening in the United States. Ann Intern Med. 2024 Sep 06;177(9):1170-1178. doi: 10.7326/M24-0375. PMID: 39102723.</w:t>
      </w:r>
    </w:p>
    <w:p>
      <w:pPr>
        <w:pStyle w:val="BodyText"/>
      </w:pPr>
      <w:r>
        <w:t xml:space="preserve">21 Flores-Toro JA, Jagu S, Armstrong GT, Arons DF, Aune GJ, Chanock SJ, et al. The Childhood Cancer Data Initiative: Using the Power of Data to Learn From and Improve Outcomes for Every Child and Young Adult With Pediatric Cancer. J Clin Oncol. 2023 Aug 20;41(24):4045-4053. doi: 10.1200/JCO.22.02208. PMID: 37267580.</w:t>
      </w:r>
    </w:p>
    <w:p>
      <w:pPr>
        <w:pStyle w:val="BodyText"/>
      </w:pPr>
      <w:r>
        <w:t xml:space="preserve">22 Wilson WH, Wright GW, Huang DW, Hodkinson B, Balasubramanian S, Fan Y, et al. Effect of ibrutinib with R-CHOP chemotherapy in genetic subtypes of DLBCL. Cancer Cell. 2021 Dec 13;39(12):1643-1653.e3. doi: 10.1016/j.ccell.2021.10.006. PMID: 34739844.</w:t>
      </w:r>
    </w:p>
    <w:p>
      <w:pPr>
        <w:pStyle w:val="BodyText"/>
      </w:pPr>
      <w:r>
        <w:t xml:space="preserve">23 Achar SR, Bourassa FXP, Rademaker TJ, Lee A, Kondo T, Salazar-Cavazos E, et al. Universal antigen encoding of T cell activation from high-dimensional cytokine dynamics. Science. 2022 May 20;376(6595):880-884. doi: 10.1126/science.abl5311. PMID: 35587980.</w:t>
      </w:r>
    </w:p>
    <w:p>
      <w:pPr>
        <w:pStyle w:val="BodyText"/>
      </w:pPr>
      <w:r>
        <w:t xml:space="preserve">24</w:t>
      </w:r>
      <w:r>
        <w:t xml:space="preserve"> </w:t>
      </w:r>
      <w:hyperlink r:id="rId52">
        <w:r>
          <w:rPr>
            <w:rStyle w:val="Hyperlink"/>
          </w:rPr>
          <w:t xml:space="preserve">https://onlinelibrary.wiley.com/doi/10.1002/em.22534</w:t>
        </w:r>
      </w:hyperlink>
    </w:p>
    <w:p>
      <w:pPr>
        <w:pStyle w:val="BodyText"/>
      </w:pPr>
      <w:r>
        <w:t xml:space="preserve">25 Huang Z, Sun S, Lee M, Maslov AY, Shi M, Waldman S, et al. Single-cell analysis of somatic mutations in human bronchial epithelial cells in relation to aging and smoking. Nat Genet. 2022 Apr 11;54(4):492-498. doi: 10.1038/s41588-022-01035-w. PMID: 35410377.</w:t>
      </w:r>
    </w:p>
    <w:p>
      <w:pPr>
        <w:pStyle w:val="BodyText"/>
      </w:pPr>
      <w:r>
        <w:t xml:space="preserve">26 Nguyen LTH, Zhang J, Rima XY, Wang X, Kwak KJ, Okimoto T, et al. An immunogold single extracellular vesicular RNA and protein (. J Extracell Vesicles. 2022 Sep;11(9):e12258. doi: 10.1002/jev2.12258. PMID: 36093740.</w:t>
      </w:r>
    </w:p>
    <w:p>
      <w:pPr>
        <w:pStyle w:val="BodyText"/>
      </w:pPr>
      <w:r>
        <w:t xml:space="preserve">27</w:t>
      </w:r>
      <w:r>
        <w:t xml:space="preserve"> </w:t>
      </w:r>
      <w:hyperlink r:id="rId56">
        <w:r>
          <w:rPr>
            <w:rStyle w:val="Hyperlink"/>
          </w:rPr>
          <w:t xml:space="preserve">https://dpcpsi.nih.gov/thro/tribal-consultations/national-institute-minority-health-and-health-disparities-nimhd-initiative-improving-american</w:t>
        </w:r>
      </w:hyperlink>
    </w:p>
    <w:p>
      <w:pPr>
        <w:pStyle w:val="BodyText"/>
      </w:pPr>
      <w:r>
        <w:t xml:space="preserve">28</w:t>
      </w:r>
      <w:r>
        <w:t xml:space="preserve"> </w:t>
      </w:r>
      <w:hyperlink r:id="rId58">
        <w:r>
          <w:rPr>
            <w:rStyle w:val="Hyperlink"/>
          </w:rPr>
          <w:t xml:space="preserve">https://grants.nih.gov/grants/guide/notice-files/NOT-MD-24-015.html</w:t>
        </w:r>
      </w:hyperlink>
    </w:p>
    <w:p>
      <w:pPr>
        <w:pStyle w:val="BodyText"/>
      </w:pPr>
      <w:r>
        <w:t xml:space="preserve">29 Watson DC, Bayik D, Storevik S, Moreino SS, Sprowls SA, Han J, et al. GAP43-dependent mitochondria transfer from astrocytes enhances glioblastoma tumorigenicity. Nat Cancer. 2023 May 11;4(5):648-664. doi: 10.1038/s43018-023-00556-5. PMID: 37169842.</w:t>
      </w:r>
    </w:p>
    <w:p>
      <w:pPr>
        <w:pStyle w:val="BodyText"/>
      </w:pPr>
      <w:r>
        <w:t xml:space="preserve">30</w:t>
      </w:r>
      <w:r>
        <w:t xml:space="preserve"> </w:t>
      </w:r>
      <w:hyperlink r:id="rId61">
        <w:r>
          <w:rPr>
            <w:rStyle w:val="Hyperlink"/>
          </w:rPr>
          <w:t xml:space="preserve">https://www.midrc.org</w:t>
        </w:r>
      </w:hyperlink>
    </w:p>
    <w:p>
      <w:pPr>
        <w:pStyle w:val="BodyText"/>
      </w:pPr>
      <w:r>
        <w:t xml:space="preserve">31 Melani C, Lakhotia R, Pittaluga S, Phelan JD, Huang DW, Wright G, et al. Combination Targeted Therapy in Relapsed Diffuse Large B-Cell Lymphoma. N Engl J Med. 2024 Jun 20;390(23):2143-2155. doi: 10.1056/NEJMoa2401532. PMID: 38899693.</w:t>
      </w:r>
    </w:p>
    <w:p>
      <w:pPr>
        <w:pStyle w:val="BodyText"/>
      </w:pPr>
      <w:r>
        <w:t xml:space="preserve">32 Tutt ANJ, Garber JE, Kaufman B, Viale G, Fumagalli D, Rastogi P, et al. Adjuvant Olaparib for Patients with. N Engl J Med. 2021 Jun 24;384(25):2394-2405. doi: 10.1056/NEJMoa2105215. PMID: 34081848.</w:t>
      </w:r>
    </w:p>
    <w:p>
      <w:pPr>
        <w:pStyle w:val="BodyText"/>
      </w:pPr>
      <w:r>
        <w:t xml:space="preserve">33 Hudson A, Fournier M, Coulombe J, Daee D. Using existing pediatric cancer data from the Gabriella Miller Kids First Data Resource Program. JNCI Cancer Spectr. 2023 Oct 31;7(6). doi: 10.1093/jncics/pkad079. PMID: 37788089.</w:t>
      </w:r>
    </w:p>
    <w:p>
      <w:pPr>
        <w:pStyle w:val="BodyText"/>
      </w:pPr>
      <w:r>
        <w:t xml:space="preserve">34 Chandran EBA, Iannantuono GM, Atiq SO, Akbulut D, Sinaii N, Simon NI, et al. Mismatch repair deficiency and microsatellite instability in urothelial carcinoma: a systematic review and meta-analysis. BMJ Oncol. 2024 Jan 30;3(1). doi: 10.1136/bmjonc-2024-000335. PMID: 39086924.</w:t>
      </w:r>
    </w:p>
    <w:p>
      <w:pPr>
        <w:pStyle w:val="BodyText"/>
      </w:pPr>
      <w:r>
        <w:t xml:space="preserve">35 Hendrix EL, Chollette VY, Wentzensen N, Loukissas JK, McGee-Avila JK, Tookmanian E, et al. Federal Cervical Cancer Collaborative: Improving cervical cancer prevention through vaccination, screening, and management in safety-net settings of care. Cancer. 2025 Jan 01;131(1):e35655. doi: 10.1002/cncr.35655. PMID: 39660744.</w:t>
      </w:r>
    </w:p>
    <w:p>
      <w:pPr>
        <w:pStyle w:val="BodyText"/>
      </w:pPr>
      <w:r>
        <w:t xml:space="preserve">36 Song M, Camargo MC, Katki HA, Weinstein SJ, Männistö S, Albanes D, et al. Association of Antiparietal Cell and Anti-Intrinsic Factor Antibodies With Risk of Gastric Cancer. JAMA Oncol. 2022 Feb 01;8(2):268-274. doi: 10.1001/jamaoncol.2021.5395. PMID: 34913949.</w:t>
      </w:r>
    </w:p>
    <w:p>
      <w:pPr>
        <w:pStyle w:val="BodyText"/>
      </w:pPr>
      <w:r>
        <w:t xml:space="preserve">37 Withrow DR, Anderson H, Armstrong GT, Hawkins M, Journy N, Neglia JP, et al. Pooled Analysis of Meningioma Risk Following Treatment for Childhood Cancer. JAMA Oncol. 2022 Dec 01;8(12):1756-1764. doi: 10.1001/jamaoncol.2022.4425. PMID: 36201196.</w:t>
      </w:r>
    </w:p>
    <w:p>
      <w:pPr>
        <w:pStyle w:val="BodyText"/>
      </w:pPr>
      <w:r>
        <w:t xml:space="preserve">38 Tonorezos E, Devasia T, Mariotto AB, Mollica MA, Gallicchio L, Green P, et al. Prevalence of cancer survivors in the United States. J Natl Cancer Inst. 2024 Nov 01;116(11):1784-1790. doi: 10.1093/jnci/djae135. PMID: 39002121.</w:t>
      </w:r>
    </w:p>
    <w:p>
      <w:pPr>
        <w:pStyle w:val="BodyText"/>
      </w:pPr>
      <w:r>
        <w:t xml:space="preserve">39 Yan W, Cao M, Ruan X, Jiang L, Lee S, Lemanek A, et al. Cancer-cell-secreted miR-122 suppresses O-GlcNAcylation to promote skeletal muscle proteolysis. Nat Cell Biol. 2022 May 25;24(5):793-804. doi: 10.1038/s41556-022-00893-0. PMID: 35469018.</w:t>
      </w:r>
    </w:p>
    <w:p>
      <w:pPr>
        <w:pStyle w:val="BodyText"/>
      </w:pPr>
      <w:r>
        <w:t xml:space="preserve">40 Morse DB, Michalowski AM, Ceribelli M, De Jonghe J, Vias M, Riley D, et al. Positional influence on cellular transcriptional identity revealed through spatially segmented single-cell transcriptomics. Cell Syst. 2023 Jun 21;14(6):464-481.e7. doi: 10.1016/j.cels.2023.05.003. PMID: 37348462.</w:t>
      </w:r>
    </w:p>
    <w:p>
      <w:pPr>
        <w:pStyle w:val="BodyText"/>
      </w:pPr>
      <w:r>
        <w:t xml:space="preserve">41 Shi L, Shen W, Davis MI, Kong K, Vu P, Saha SK, et al. SULT1A1-dependent sulfonation of alkylators is a lineage-dependent vulnerability of liver cancers. Nat Cancer. 2023 Mar 13;4(3):365-381. doi: 10.1038/s43018-023-00523-0. PMID: 36914816.</w:t>
      </w:r>
    </w:p>
    <w:p>
      <w:pPr>
        <w:pStyle w:val="BodyText"/>
      </w:pPr>
      <w:r>
        <w:t xml:space="preserve">42 Cornwell JA, Crncec A, Afifi MM, Tang K, Amin R, Cappell SD. Loss of CDK4/6 activity in S/G2 phase leads to cell cycle reversal. Nature. 2023 Jul 05;619(7969):363-370. doi: 10.1038/s41586-023-06274-3. PMID: 37407814.</w:t>
      </w:r>
    </w:p>
    <w:p>
      <w:pPr>
        <w:pStyle w:val="BodyText"/>
      </w:pPr>
      <w:r>
        <w:t xml:space="preserve">43 PMID: 36823587.</w:t>
      </w:r>
      <w:r>
        <w:t xml:space="preserve"> </w:t>
      </w:r>
      <w:hyperlink r:id="rId79">
        <w:r>
          <w:rPr>
            <w:rStyle w:val="Hyperlink"/>
          </w:rPr>
          <w:t xml:space="preserve">https://pubmed.ncbi.nlm.nih.gov/36823587</w:t>
        </w:r>
      </w:hyperlink>
    </w:p>
    <w:p>
      <w:pPr>
        <w:pStyle w:val="BodyText"/>
      </w:pPr>
      <w:r>
        <w:t xml:space="preserve">44 Greytak SR, Engel KB, Hoon DSB, Elias KM, Lockwood CM, Guan P, et al. Evidence-based procedures to improve the reliability of circulating miRNA biomarker assays. Clin Chem Lab Med. 2024 Jan 26;62(1):60-66. doi: 10.1515/cclm-2023-0131. PMID: 37129007.</w:t>
      </w:r>
    </w:p>
    <w:p>
      <w:pPr>
        <w:pStyle w:val="BodyText"/>
      </w:pPr>
      <w:r>
        <w:t xml:space="preserve">45 Barnes RP, de Rosa M, Thosar SA, Detwiler AC, Roginskaya V, Van Houten B, et al. Telomeric 8-oxo-guanine drives rapid premature senescence in the absence of telomere shortening. Nat Struct Mol Biol. 2022 Jul 30;29(7):639-652. doi: 10.1038/s41594-022-00790-y. PMID: 35773409.</w:t>
      </w:r>
    </w:p>
    <w:p>
      <w:pPr>
        <w:pStyle w:val="BodyText"/>
      </w:pPr>
      <w:r>
        <w:t xml:space="preserve">46 Stark Z, Byrne AB, Sampson MG, Lennon R, Mallett AJ. A guide to gene-disease relationships in nephrology. Nat Rev Nephrol. 2025 Feb 23;21(2):115-126. doi: 10.1038/s41581-024-00900-7. PMID: 39443743.</w:t>
      </w:r>
    </w:p>
    <w:p>
      <w:pPr>
        <w:pStyle w:val="BodyText"/>
      </w:pPr>
      <w:r>
        <w:t xml:space="preserve">47 Bifarin OO, Gaul DA, Sah S, Arnold RS, Ogan K, Master VA, et al. Urine-Based Metabolomics and Machine Learning Reveals Metabolites Associated with Renal Cell Carcinoma Stage. Cancers (Basel). 2021 Dec 13;13(24). doi: 10.3390/cancers13246253. PMID: 34944874.</w:t>
      </w:r>
    </w:p>
    <w:p>
      <w:pPr>
        <w:pStyle w:val="BodyText"/>
      </w:pPr>
      <w:r>
        <w:t xml:space="preserve">48 Li Y, Basar R, Wang G, Liu E, Moyes JS, Li L, et al. KIR-based inhibitory CARs overcome CAR-NK cell trogocytosis-mediated fratricide and tumor escape. Nat Med. 2022 Oct 29;28(10):2133-2144. doi: 10.1038/s41591-022-02003-x. PMID: 36175679.</w:t>
      </w:r>
    </w:p>
    <w:p>
      <w:pPr>
        <w:pStyle w:val="BodyText"/>
      </w:pPr>
      <w:r>
        <w:t xml:space="preserve">49 Xia H, Hoang MH, Schmidt E, Kiwala S, McMichael J, Skidmore ZL, et al. pVACview: an interactive visualization tool for efficient neoantigen prioritization and selection. Genome Med. 2024 Nov 14;16(1):132. doi: 10.1186/s13073-024-01384-7. PMID: 39538339.</w:t>
      </w:r>
    </w:p>
    <w:p>
      <w:pPr>
        <w:pStyle w:val="BodyText"/>
      </w:pPr>
      <w:r>
        <w:t xml:space="preserve">50 Gallanis AF, Gamble LA, Samaranayake SG, Lopez R, Rhodes A, Rajasimhan S, et al. Costs of Cancer Prevention: Physical and Psychosocial Sequelae of Risk-Reducing Total Gastrectomy. J Clin Oncol. 2024 Feb 01;42(4):421-430. doi: 10.1200/JCO.23.01238. PMID: 37903316.</w:t>
      </w:r>
    </w:p>
    <w:p>
      <w:pPr>
        <w:pStyle w:val="BodyText"/>
      </w:pPr>
      <w:r>
        <w:t xml:space="preserve">51 PMID: 37289928.</w:t>
      </w:r>
      <w:r>
        <w:t xml:space="preserve"> </w:t>
      </w:r>
      <w:hyperlink r:id="rId90">
        <w:r>
          <w:rPr>
            <w:rStyle w:val="Hyperlink"/>
          </w:rPr>
          <w:t xml:space="preserve">https://pubmed.ncbi.nlm.nih.gov/37289928</w:t>
        </w:r>
      </w:hyperlink>
    </w:p>
    <w:p>
      <w:pPr>
        <w:pStyle w:val="BodyText"/>
      </w:pPr>
      <w:r>
        <w:t xml:space="preserve">52 Watts EL, Matthews CE, Freeman JR, Gorzelitz JS, Hong HG, Liao LM, et al. Association of Leisure Time Physical Activity Types and Risks of All-Cause, Cardiovascular, and Cancer Mortality Among Older Adults. JAMA Netw Open. 2022 Aug 01;5(8):e2228510. doi: 10.1001/jamanetworkopen.2022.28510. PMID: 36001316.</w:t>
      </w:r>
    </w:p>
    <w:p>
      <w:pPr>
        <w:pStyle w:val="BodyText"/>
      </w:pPr>
      <w:r>
        <w:t xml:space="preserve">53 Einstein MH, Zhou N, Gabor L, Sahasrabuddhe VV. Primary Human Papillomavirus Testing and Other New Technologies for Cervical Cancer Screening. Obstet Gynecol. 2023 Nov 01;142(5):1036-1043. doi: 10.1097/AOG.0000000000005393. PMID: 37708516.</w:t>
      </w:r>
    </w:p>
    <w:p>
      <w:pPr>
        <w:pStyle w:val="BodyText"/>
      </w:pPr>
      <w:r>
        <w:t xml:space="preserve">54 Knudsen AB, Trentham-Dietz A, Kim JJ, Mandelblatt JS, Meza R, Zauber AG, et al. Estimated US Cancer Deaths Prevented With Increased Use of Lung, Colorectal, Breast, and Cervical Cancer Screening. JAMA Netw Open. 2023 Nov 01;6(11):e2344698. doi: 10.1001/jamanetworkopen.2023.44698. PMID: 37991759.</w:t>
      </w:r>
    </w:p>
    <w:p>
      <w:pPr>
        <w:pStyle w:val="BodyText"/>
      </w:pPr>
      <w:r>
        <w:t xml:space="preserve">55 Palefsky JM, Lee JY, Jay N, Goldstone SE, Darragh TM, Dunlevy HA, et al. Treatment of Anal High-Grade Squamous Intraepithelial Lesions to Prevent Anal Cancer. N Engl J Med. 2022 Jun 16;386(24):2273-2282. doi: 10.1056/NEJMoa2201048. PMID: 35704479.</w:t>
      </w:r>
    </w:p>
    <w:p>
      <w:pPr>
        <w:pStyle w:val="BodyText"/>
      </w:pPr>
      <w:r>
        <w:t xml:space="preserve">56</w:t>
      </w:r>
      <w:r>
        <w:t xml:space="preserve"> </w:t>
      </w:r>
      <w:hyperlink r:id="rId98">
        <w:r>
          <w:rPr>
            <w:rStyle w:val="Hyperlink"/>
          </w:rPr>
          <w:t xml:space="preserve">https://www.nidcr.nih.gov/grants-funding/research-funded-by-nidcr-extramural/ahead</w:t>
        </w:r>
      </w:hyperlink>
    </w:p>
    <w:p>
      <w:pPr>
        <w:pStyle w:val="BodyText"/>
      </w:pPr>
      <w:r>
        <w:t xml:space="preserve">57 Coole JB, Brenes D, Mitbander R, Vohra I, Hou H, Kortum A, et al. Multimodal optical imaging with real-time projection of cancer risk and biopsy guidance maps for early oral cancer diagnosis and treatment. J Biomed Opt. 2023 Jan 13;28(1):016002. doi: 10.1117/1.JBO.28.1.016002. PMID: 36654656.</w:t>
      </w:r>
    </w:p>
    <w:p>
      <w:pPr>
        <w:pStyle w:val="BodyText"/>
      </w:pPr>
      <w:r>
        <w:t xml:space="preserve">58 Source unavailable</w:t>
      </w:r>
    </w:p>
    <w:bookmarkEnd w:id="104"/>
    <w:sectPr w:rsidR="00FD562E" w:rsidRPr="00317DEA">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Jha A, Patel M, Ling A, Shah R, Chen CC, Millo C, et al. Diagnostic performance of [. Eur Radiol. 2024 Oct 16;34(10):6488-6498. doi: 10.1007/s00330-024-10652-4. PMID: 38625612.</w:t>
      </w:r>
    </w:p>
  </w:footnote>
  <w:footnote w:id="23">
    <w:p>
      <w:pPr>
        <w:pStyle w:val="FootnoteText"/>
      </w:pPr>
      <w:r>
        <w:rPr>
          <w:rStyle w:val="FootnoteReference"/>
        </w:rPr>
        <w:footnoteRef/>
      </w:r>
      <w:r>
        <w:t xml:space="preserve"> </w:t>
      </w:r>
      <w:r>
        <w:t xml:space="preserve">Lebensohn A, Ghafoor A, Bloomquist L, Royer MC, Castelo-Soccio L, Karacki K, et al. Multiple Onychopapillomas and BAP1 Tumor Predisposition Syndrome. JAMA Dermatol. 2024 Aug 01;160(8):838-845. doi: 10.1001/jamadermatol.2024.1804. PMID: 38759225.</w:t>
      </w:r>
    </w:p>
  </w:footnote>
  <w:footnote w:id="24">
    <w:p>
      <w:pPr>
        <w:pStyle w:val="FootnoteText"/>
      </w:pPr>
      <w:r>
        <w:rPr>
          <w:rStyle w:val="FootnoteReference"/>
        </w:rPr>
        <w:footnoteRef/>
      </w:r>
      <w:r>
        <w:t xml:space="preserve"> </w:t>
      </w:r>
      <w:r>
        <w:t xml:space="preserve">Reinhold WC, Wilson K, Elloumi F, Bradwell KR, Ceribelli M, Varma S, et al. CellMinerCDB: NCATS Is a Web-Based Portal Integrating Public Cancer Cell Line Databases for Pharmacogenomic Explorations. Cancer Res. 2023 Jun 15;83(12):1941-1952. doi: 10.1158/0008-5472.CAN-22-2996. PMID: 37140427.</w:t>
      </w:r>
    </w:p>
  </w:footnote>
  <w:footnote w:id="25">
    <w:p>
      <w:pPr>
        <w:pStyle w:val="FootnoteText"/>
      </w:pPr>
      <w:r>
        <w:rPr>
          <w:rStyle w:val="FootnoteReference"/>
        </w:rPr>
        <w:footnoteRef/>
      </w:r>
      <w:r>
        <w:t xml:space="preserve"> </w:t>
      </w:r>
      <w:r>
        <w:t xml:space="preserve">Garman KS, Purkayastha BPD, Hogue JA, Fecteau R, BETRNet CONSORTIUM, Guda K, et al. Genetic Defect in Submucosal Gland-Associated Caveolin-3: A New Paradigm in Esophageal Adenocarcinoma Risk. Gastroenterology. 2023 Dec 01;165(6):1561-1564.e3. doi: 10.1053/j.gastro.2023.08.039. PMID: 37659676.</w:t>
      </w:r>
    </w:p>
  </w:footnote>
  <w:footnote w:id="26">
    <w:p>
      <w:pPr>
        <w:pStyle w:val="FootnoteText"/>
      </w:pPr>
      <w:r>
        <w:rPr>
          <w:rStyle w:val="FootnoteReference"/>
        </w:rPr>
        <w:footnoteRef/>
      </w:r>
      <w:r>
        <w:t xml:space="preserve"> </w:t>
      </w:r>
      <w:r>
        <w:t xml:space="preserve">Weiss JM, Hunter MV, Cruz NM, Baggiolini A, Tagore M, Ma Y, et al. Anatomic position determines oncogenic specificity in melanoma. Nature. 2022 Apr 30;604(7905):354-361. doi: 10.1038/s41586-022-04584-6. PMID: 35355015.</w:t>
      </w:r>
    </w:p>
  </w:footnote>
  <w:footnote w:id="27">
    <w:p>
      <w:pPr>
        <w:pStyle w:val="FootnoteText"/>
      </w:pPr>
      <w:r>
        <w:rPr>
          <w:rStyle w:val="FootnoteReference"/>
        </w:rPr>
        <w:footnoteRef/>
      </w:r>
      <w:r>
        <w:t xml:space="preserve"> </w:t>
      </w:r>
      <w:hyperlink r:id="rId28">
        <w:r>
          <w:rPr>
            <w:rStyle w:val="Hyperlink"/>
          </w:rPr>
          <w:t xml:space="preserve">https://datacommons.cancer.gov/cloud-resources</w:t>
        </w:r>
      </w:hyperlink>
    </w:p>
  </w:footnote>
  <w:footnote w:id="29">
    <w:p>
      <w:pPr>
        <w:pStyle w:val="FootnoteText"/>
      </w:pPr>
      <w:r>
        <w:rPr>
          <w:rStyle w:val="FootnoteReference"/>
        </w:rPr>
        <w:footnoteRef/>
      </w:r>
      <w:r>
        <w:t xml:space="preserve"> </w:t>
      </w:r>
      <w:hyperlink r:id="rId30">
        <w:r>
          <w:rPr>
            <w:rStyle w:val="Hyperlink"/>
          </w:rPr>
          <w:t xml:space="preserve">https://progressreport.cancer.gov</w:t>
        </w:r>
      </w:hyperlink>
    </w:p>
  </w:footnote>
  <w:footnote w:id="31">
    <w:p>
      <w:pPr>
        <w:pStyle w:val="FootnoteText"/>
      </w:pPr>
      <w:r>
        <w:rPr>
          <w:rStyle w:val="FootnoteReference"/>
        </w:rPr>
        <w:footnoteRef/>
      </w:r>
      <w:r>
        <w:t xml:space="preserve"> </w:t>
      </w:r>
      <w:hyperlink r:id="rId32">
        <w:r>
          <w:rPr>
            <w:rStyle w:val="Hyperlink"/>
          </w:rPr>
          <w:t xml:space="preserve">https://www.cancer.gov/research/infrastructure/clinical-trials/ctiu</w:t>
        </w:r>
      </w:hyperlink>
    </w:p>
  </w:footnote>
  <w:footnote w:id="33">
    <w:p>
      <w:pPr>
        <w:pStyle w:val="FootnoteText"/>
      </w:pPr>
      <w:r>
        <w:rPr>
          <w:rStyle w:val="FootnoteReference"/>
        </w:rPr>
        <w:footnoteRef/>
      </w:r>
      <w:r>
        <w:t xml:space="preserve"> </w:t>
      </w:r>
      <w:r>
        <w:t xml:space="preserve">Klomp JE, Diehl JN, Klomp JA, Edwards AC, Yang R, Morales AJ, et al. Determining the ERK-regulated phosphoproteome driving KRAS-mutant cancer. Science. 2024 Jun 07;384(6700):eadk0850. doi: 10.1126/science.adk0850. PMID: 38843329.</w:t>
      </w:r>
    </w:p>
  </w:footnote>
  <w:footnote w:id="34">
    <w:p>
      <w:pPr>
        <w:pStyle w:val="FootnoteText"/>
      </w:pPr>
      <w:r>
        <w:rPr>
          <w:rStyle w:val="FootnoteReference"/>
        </w:rPr>
        <w:footnoteRef/>
      </w:r>
      <w:r>
        <w:t xml:space="preserve"> </w:t>
      </w:r>
      <w:hyperlink r:id="rId35">
        <w:r>
          <w:rPr>
            <w:rStyle w:val="Hyperlink"/>
          </w:rPr>
          <w:t xml:space="preserve">https://www.cancer.gov/research/leading-progress/stories/cytalux</w:t>
        </w:r>
      </w:hyperlink>
    </w:p>
  </w:footnote>
  <w:footnote w:id="36">
    <w:p>
      <w:pPr>
        <w:pStyle w:val="FootnoteText"/>
      </w:pPr>
      <w:r>
        <w:rPr>
          <w:rStyle w:val="FootnoteReference"/>
        </w:rPr>
        <w:footnoteRef/>
      </w:r>
      <w:r>
        <w:t xml:space="preserve"> </w:t>
      </w:r>
      <w:r>
        <w:t xml:space="preserve">Leidner R, Sanjuan Silva N, Huang H, Sprott D, Zheng C, Shih YP, et al. Neoantigen T-Cell Receptor Gene Therapy in Pancreatic Cancer. N Engl J Med. 2022 Jun 02;386(22):2112-2119. doi: 10.1056/NEJMoa2119662. PMID: 35648703.</w:t>
      </w:r>
    </w:p>
  </w:footnote>
  <w:footnote w:id="37">
    <w:p>
      <w:pPr>
        <w:pStyle w:val="FootnoteText"/>
      </w:pPr>
      <w:r>
        <w:rPr>
          <w:rStyle w:val="FootnoteReference"/>
        </w:rPr>
        <w:footnoteRef/>
      </w:r>
      <w:r>
        <w:t xml:space="preserve"> </w:t>
      </w:r>
      <w:r>
        <w:t xml:space="preserve">Lu DY, Ellegast JM, Ross KN, Malone CF, Lin S, Mabe NW, et al. The ETS transcription factor ETV6 constrains the transcriptional activity of EWS-FLI to promote Ewing sarcoma. Nat Cell Biol. 2023 Feb 19;25(2):285-297. doi: 10.1038/s41556-022-01059-8. PMID: 36658220.</w:t>
      </w:r>
    </w:p>
  </w:footnote>
  <w:footnote w:id="38">
    <w:p>
      <w:pPr>
        <w:pStyle w:val="FootnoteText"/>
      </w:pPr>
      <w:r>
        <w:rPr>
          <w:rStyle w:val="FootnoteReference"/>
        </w:rPr>
        <w:footnoteRef/>
      </w:r>
      <w:r>
        <w:t xml:space="preserve"> </w:t>
      </w:r>
      <w:r>
        <w:t xml:space="preserve">Wang R, Song S, Qin J, Yoshimura K, Peng F, Chu Y, et al. Evolution of immune and stromal cell states and ecotypes during gastric adenocarcinoma progression. Cancer Cell. 2023 Aug 14;41(8):1407-1426.e9. doi: 10.1016/j.ccell.2023.06.005. PMID: 37419119.</w:t>
      </w:r>
    </w:p>
  </w:footnote>
  <w:footnote w:id="39">
    <w:p>
      <w:pPr>
        <w:pStyle w:val="FootnoteText"/>
      </w:pPr>
      <w:r>
        <w:rPr>
          <w:rStyle w:val="FootnoteReference"/>
        </w:rPr>
        <w:footnoteRef/>
      </w:r>
      <w:r>
        <w:t xml:space="preserve"> </w:t>
      </w:r>
      <w:r>
        <w:t xml:space="preserve">Houlahan KE, Khan A, Greenwald NF, Vivas CS, West RB, Angelo M, et al. Germline-mediated immunoediting sculpts breast cancer subtypes and metastatic proclivity. Science. 2024 May 31;384(6699):eadh8697. doi: 10.1126/science.adh8697. PMID: 38815010.</w:t>
      </w:r>
    </w:p>
  </w:footnote>
  <w:footnote w:id="40">
    <w:p>
      <w:pPr>
        <w:pStyle w:val="FootnoteText"/>
      </w:pPr>
      <w:r>
        <w:rPr>
          <w:rStyle w:val="FootnoteReference"/>
        </w:rPr>
        <w:footnoteRef/>
      </w:r>
      <w:r>
        <w:t xml:space="preserve"> </w:t>
      </w:r>
      <w:hyperlink r:id="rId41">
        <w:r>
          <w:rPr>
            <w:rStyle w:val="Hyperlink"/>
          </w:rPr>
          <w:t xml:space="preserve">https://prevention.cancer.gov/major-programs/cancer-screening-research-network-csrn</w:t>
        </w:r>
      </w:hyperlink>
    </w:p>
  </w:footnote>
  <w:footnote w:id="42">
    <w:p>
      <w:pPr>
        <w:pStyle w:val="FootnoteText"/>
      </w:pPr>
      <w:r>
        <w:rPr>
          <w:rStyle w:val="FootnoteReference"/>
        </w:rPr>
        <w:footnoteRef/>
      </w:r>
      <w:r>
        <w:t xml:space="preserve"> </w:t>
      </w:r>
      <w:r>
        <w:t xml:space="preserve">Nwosu ZC, Ward MH, Sajjakulnukit P, Poudel P, Ragulan C, Kasperek S, et al. Uridine-derived ribose fuels glucose-restricted pancreatic cancer. Nature. 2023 Jun 17;618(7963):151-158. doi: 10.1038/s41586-023-06073-w. PMID: 37198494.</w:t>
      </w:r>
    </w:p>
  </w:footnote>
  <w:footnote w:id="43">
    <w:p>
      <w:pPr>
        <w:pStyle w:val="FootnoteText"/>
      </w:pPr>
      <w:r>
        <w:rPr>
          <w:rStyle w:val="FootnoteReference"/>
        </w:rPr>
        <w:footnoteRef/>
      </w:r>
      <w:r>
        <w:t xml:space="preserve"> </w:t>
      </w:r>
      <w:r>
        <w:t xml:space="preserve">Hantel A, Walsh TP, Marron JM, Kehl KL, Sharp R, Van Allen E, et al. Perspectives of Oncologists on the Ethical Implications of Using Artificial Intelligence for Cancer Care. JAMA Netw Open. 2024 Mar 04;7(3):e244077. doi: 10.1001/jamanetworkopen.2024.4077. PMID: 38546644.</w:t>
      </w:r>
    </w:p>
  </w:footnote>
  <w:footnote w:id="44">
    <w:p>
      <w:pPr>
        <w:pStyle w:val="FootnoteText"/>
      </w:pPr>
      <w:r>
        <w:rPr>
          <w:rStyle w:val="FootnoteReference"/>
        </w:rPr>
        <w:footnoteRef/>
      </w:r>
      <w:r>
        <w:t xml:space="preserve"> </w:t>
      </w:r>
      <w:hyperlink r:id="rId45">
        <w:r>
          <w:rPr>
            <w:rStyle w:val="Hyperlink"/>
          </w:rPr>
          <w:t xml:space="preserve">https://clinicaltrials.gov/study/NCT06625775</w:t>
        </w:r>
      </w:hyperlink>
    </w:p>
  </w:footnote>
  <w:footnote w:id="46">
    <w:p>
      <w:pPr>
        <w:pStyle w:val="FootnoteText"/>
      </w:pPr>
      <w:r>
        <w:rPr>
          <w:rStyle w:val="FootnoteReference"/>
        </w:rPr>
        <w:footnoteRef/>
      </w:r>
      <w:r>
        <w:t xml:space="preserve"> </w:t>
      </w:r>
      <w:r>
        <w:t xml:space="preserve">Helms EJ, Berry MW, Chaw RC, DuFort CC, Sun D, Onate MK, et al. Mesenchymal Lineage Heterogeneity Underlies Nonredundant Functions of Pancreatic Cancer-Associated Fibroblasts. Cancer Discov. 2022 Feb 21;12(2):484-501. doi: 10.1158/2159-8290.CD-21-0601. PMID: 34548310.</w:t>
      </w:r>
    </w:p>
  </w:footnote>
  <w:footnote w:id="47">
    <w:p>
      <w:pPr>
        <w:pStyle w:val="FootnoteText"/>
      </w:pPr>
      <w:r>
        <w:rPr>
          <w:rStyle w:val="FootnoteReference"/>
        </w:rPr>
        <w:footnoteRef/>
      </w:r>
      <w:r>
        <w:t xml:space="preserve"> </w:t>
      </w:r>
      <w:r>
        <w:t xml:space="preserve">Halpern MT, Liu B, Lowy DR, Gupta S, Croswell JM, Doria-Rose VP. The Annual Cost of Cancer Screening in the United States. Ann Intern Med. 2024 Sep 06;177(9):1170-1178. doi: 10.7326/M24-0375. PMID: 39102723.</w:t>
      </w:r>
    </w:p>
  </w:footnote>
  <w:footnote w:id="48">
    <w:p>
      <w:pPr>
        <w:pStyle w:val="FootnoteText"/>
      </w:pPr>
      <w:r>
        <w:rPr>
          <w:rStyle w:val="FootnoteReference"/>
        </w:rPr>
        <w:footnoteRef/>
      </w:r>
      <w:r>
        <w:t xml:space="preserve"> </w:t>
      </w:r>
      <w:r>
        <w:t xml:space="preserve">Flores-Toro JA, Jagu S, Armstrong GT, Arons DF, Aune GJ, Chanock SJ, et al. The Childhood Cancer Data Initiative: Using the Power of Data to Learn From and Improve Outcomes for Every Child and Young Adult With Pediatric Cancer. J Clin Oncol. 2023 Aug 20;41(24):4045-4053. doi: 10.1200/JCO.22.02208. PMID: 37267580.</w:t>
      </w:r>
    </w:p>
  </w:footnote>
  <w:footnote w:id="49">
    <w:p>
      <w:pPr>
        <w:pStyle w:val="FootnoteText"/>
      </w:pPr>
      <w:r>
        <w:rPr>
          <w:rStyle w:val="FootnoteReference"/>
        </w:rPr>
        <w:footnoteRef/>
      </w:r>
      <w:r>
        <w:t xml:space="preserve"> </w:t>
      </w:r>
      <w:r>
        <w:t xml:space="preserve">Wilson WH, Wright GW, Huang DW, Hodkinson B, Balasubramanian S, Fan Y, et al. Effect of ibrutinib with R-CHOP chemotherapy in genetic subtypes of DLBCL. Cancer Cell. 2021 Dec 13;39(12):1643-1653.e3. doi: 10.1016/j.ccell.2021.10.006. PMID: 34739844.</w:t>
      </w:r>
    </w:p>
  </w:footnote>
  <w:footnote w:id="50">
    <w:p>
      <w:pPr>
        <w:pStyle w:val="FootnoteText"/>
      </w:pPr>
      <w:r>
        <w:rPr>
          <w:rStyle w:val="FootnoteReference"/>
        </w:rPr>
        <w:footnoteRef/>
      </w:r>
      <w:r>
        <w:t xml:space="preserve"> </w:t>
      </w:r>
      <w:r>
        <w:t xml:space="preserve">Achar SR, Bourassa FXP, Rademaker TJ, Lee A, Kondo T, Salazar-Cavazos E, et al. Universal antigen encoding of T cell activation from high-dimensional cytokine dynamics. Science. 2022 May 20;376(6595):880-884. doi: 10.1126/science.abl5311. PMID: 35587980.</w:t>
      </w:r>
    </w:p>
  </w:footnote>
  <w:footnote w:id="51">
    <w:p>
      <w:pPr>
        <w:pStyle w:val="FootnoteText"/>
      </w:pPr>
      <w:r>
        <w:rPr>
          <w:rStyle w:val="FootnoteReference"/>
        </w:rPr>
        <w:footnoteRef/>
      </w:r>
      <w:r>
        <w:t xml:space="preserve"> </w:t>
      </w:r>
      <w:hyperlink r:id="rId52">
        <w:r>
          <w:rPr>
            <w:rStyle w:val="Hyperlink"/>
          </w:rPr>
          <w:t xml:space="preserve">https://onlinelibrary.wiley.com/doi/10.1002/em.22534</w:t>
        </w:r>
      </w:hyperlink>
    </w:p>
  </w:footnote>
  <w:footnote w:id="53">
    <w:p>
      <w:pPr>
        <w:pStyle w:val="FootnoteText"/>
      </w:pPr>
      <w:r>
        <w:rPr>
          <w:rStyle w:val="FootnoteReference"/>
        </w:rPr>
        <w:footnoteRef/>
      </w:r>
      <w:r>
        <w:t xml:space="preserve"> </w:t>
      </w:r>
      <w:r>
        <w:t xml:space="preserve">Huang Z, Sun S, Lee M, Maslov AY, Shi M, Waldman S, et al. Single-cell analysis of somatic mutations in human bronchial epithelial cells in relation to aging and smoking. Nat Genet. 2022 Apr 11;54(4):492-498. doi: 10.1038/s41588-022-01035-w. PMID: 35410377.</w:t>
      </w:r>
    </w:p>
  </w:footnote>
  <w:footnote w:id="54">
    <w:p>
      <w:pPr>
        <w:pStyle w:val="FootnoteText"/>
      </w:pPr>
      <w:r>
        <w:rPr>
          <w:rStyle w:val="FootnoteReference"/>
        </w:rPr>
        <w:footnoteRef/>
      </w:r>
      <w:r>
        <w:t xml:space="preserve"> </w:t>
      </w:r>
      <w:r>
        <w:t xml:space="preserve">Nguyen LTH, Zhang J, Rima XY, Wang X, Kwak KJ, Okimoto T, et al. An immunogold single extracellular vesicular RNA and protein (. J Extracell Vesicles. 2022 Sep;11(9):e12258. doi: 10.1002/jev2.12258. PMID: 36093740.</w:t>
      </w:r>
    </w:p>
  </w:footnote>
  <w:footnote w:id="55">
    <w:p>
      <w:pPr>
        <w:pStyle w:val="FootnoteText"/>
      </w:pPr>
      <w:r>
        <w:rPr>
          <w:rStyle w:val="FootnoteReference"/>
        </w:rPr>
        <w:footnoteRef/>
      </w:r>
      <w:r>
        <w:t xml:space="preserve"> </w:t>
      </w:r>
      <w:hyperlink r:id="rId56">
        <w:r>
          <w:rPr>
            <w:rStyle w:val="Hyperlink"/>
          </w:rPr>
          <w:t xml:space="preserve">https://dpcpsi.nih.gov/thro/tribal-consultations/national-institute-minority-health-and-health-disparities-nimhd-initiative-improving-american</w:t>
        </w:r>
      </w:hyperlink>
    </w:p>
  </w:footnote>
  <w:footnote w:id="57">
    <w:p>
      <w:pPr>
        <w:pStyle w:val="FootnoteText"/>
      </w:pPr>
      <w:r>
        <w:rPr>
          <w:rStyle w:val="FootnoteReference"/>
        </w:rPr>
        <w:footnoteRef/>
      </w:r>
      <w:r>
        <w:t xml:space="preserve"> </w:t>
      </w:r>
      <w:hyperlink r:id="rId58">
        <w:r>
          <w:rPr>
            <w:rStyle w:val="Hyperlink"/>
          </w:rPr>
          <w:t xml:space="preserve">https://grants.nih.gov/grants/guide/notice-files/NOT-MD-24-015.html</w:t>
        </w:r>
      </w:hyperlink>
    </w:p>
  </w:footnote>
  <w:footnote w:id="59">
    <w:p>
      <w:pPr>
        <w:pStyle w:val="FootnoteText"/>
      </w:pPr>
      <w:r>
        <w:rPr>
          <w:rStyle w:val="FootnoteReference"/>
        </w:rPr>
        <w:footnoteRef/>
      </w:r>
      <w:r>
        <w:t xml:space="preserve"> </w:t>
      </w:r>
      <w:r>
        <w:t xml:space="preserve">Watson DC, Bayik D, Storevik S, Moreino SS, Sprowls SA, Han J, et al. GAP43-dependent mitochondria transfer from astrocytes enhances glioblastoma tumorigenicity. Nat Cancer. 2023 May 11;4(5):648-664. doi: 10.1038/s43018-023-00556-5. PMID: 37169842.</w:t>
      </w:r>
    </w:p>
  </w:footnote>
  <w:footnote w:id="60">
    <w:p>
      <w:pPr>
        <w:pStyle w:val="FootnoteText"/>
      </w:pPr>
      <w:r>
        <w:rPr>
          <w:rStyle w:val="FootnoteReference"/>
        </w:rPr>
        <w:footnoteRef/>
      </w:r>
      <w:r>
        <w:t xml:space="preserve"> </w:t>
      </w:r>
      <w:hyperlink r:id="rId61">
        <w:r>
          <w:rPr>
            <w:rStyle w:val="Hyperlink"/>
          </w:rPr>
          <w:t xml:space="preserve">https://www.midrc.org</w:t>
        </w:r>
      </w:hyperlink>
    </w:p>
  </w:footnote>
  <w:footnote w:id="63">
    <w:p>
      <w:pPr>
        <w:pStyle w:val="FootnoteText"/>
      </w:pPr>
      <w:r>
        <w:rPr>
          <w:rStyle w:val="FootnoteReference"/>
        </w:rPr>
        <w:footnoteRef/>
      </w:r>
      <w:r>
        <w:t xml:space="preserve"> </w:t>
      </w:r>
      <w:r>
        <w:t xml:space="preserve">Melani C, Lakhotia R, Pittaluga S, Phelan JD, Huang DW, Wright G, et al. Combination Targeted Therapy in Relapsed Diffuse Large B-Cell Lymphoma. N Engl J Med. 2024 Jun 20;390(23):2143-2155. doi: 10.1056/NEJMoa2401532. PMID: 38899693.</w:t>
      </w:r>
    </w:p>
  </w:footnote>
  <w:footnote w:id="64">
    <w:p>
      <w:pPr>
        <w:pStyle w:val="FootnoteText"/>
      </w:pPr>
      <w:r>
        <w:rPr>
          <w:rStyle w:val="FootnoteReference"/>
        </w:rPr>
        <w:footnoteRef/>
      </w:r>
      <w:r>
        <w:t xml:space="preserve"> </w:t>
      </w:r>
      <w:r>
        <w:t xml:space="preserve">Tutt ANJ, Garber JE, Kaufman B, Viale G, Fumagalli D, Rastogi P, et al. Adjuvant Olaparib for Patients with. N Engl J Med. 2021 Jun 24;384(25):2394-2405. doi: 10.1056/NEJMoa2105215. PMID: 34081848.</w:t>
      </w:r>
    </w:p>
  </w:footnote>
  <w:footnote w:id="66">
    <w:p>
      <w:pPr>
        <w:pStyle w:val="FootnoteText"/>
      </w:pPr>
      <w:r>
        <w:rPr>
          <w:rStyle w:val="FootnoteReference"/>
        </w:rPr>
        <w:footnoteRef/>
      </w:r>
      <w:r>
        <w:t xml:space="preserve"> </w:t>
      </w:r>
      <w:r>
        <w:t xml:space="preserve">Hudson A, Fournier M, Coulombe J, Daee D. Using existing pediatric cancer data from the Gabriella Miller Kids First Data Resource Program. JNCI Cancer Spectr. 2023 Oct 31;7(6). doi: 10.1093/jncics/pkad079. PMID: 37788089.</w:t>
      </w:r>
    </w:p>
  </w:footnote>
  <w:footnote w:id="68">
    <w:p>
      <w:pPr>
        <w:pStyle w:val="FootnoteText"/>
      </w:pPr>
      <w:r>
        <w:rPr>
          <w:rStyle w:val="FootnoteReference"/>
        </w:rPr>
        <w:footnoteRef/>
      </w:r>
      <w:r>
        <w:t xml:space="preserve"> </w:t>
      </w:r>
      <w:r>
        <w:t xml:space="preserve">Chandran EBA, Iannantuono GM, Atiq SO, Akbulut D, Sinaii N, Simon NI, et al. Mismatch repair deficiency and microsatellite instability in urothelial carcinoma: a systematic review and meta-analysis. BMJ Oncol. 2024 Jan 30;3(1). doi: 10.1136/bmjonc-2024-000335. PMID: 39086924.</w:t>
      </w:r>
    </w:p>
  </w:footnote>
  <w:footnote w:id="69">
    <w:p>
      <w:pPr>
        <w:pStyle w:val="FootnoteText"/>
      </w:pPr>
      <w:r>
        <w:rPr>
          <w:rStyle w:val="FootnoteReference"/>
        </w:rPr>
        <w:footnoteRef/>
      </w:r>
      <w:r>
        <w:t xml:space="preserve"> </w:t>
      </w:r>
      <w:r>
        <w:t xml:space="preserve">Hendrix EL, Chollette VY, Wentzensen N, Loukissas JK, McGee-Avila JK, Tookmanian E, et al. Federal Cervical Cancer Collaborative: Improving cervical cancer prevention through vaccination, screening, and management in safety-net settings of care. Cancer. 2025 Jan 01;131(1):e35655. doi: 10.1002/cncr.35655. PMID: 39660744.</w:t>
      </w:r>
    </w:p>
  </w:footnote>
  <w:footnote w:id="70">
    <w:p>
      <w:pPr>
        <w:pStyle w:val="FootnoteText"/>
      </w:pPr>
      <w:r>
        <w:rPr>
          <w:rStyle w:val="FootnoteReference"/>
        </w:rPr>
        <w:footnoteRef/>
      </w:r>
      <w:r>
        <w:t xml:space="preserve"> </w:t>
      </w:r>
      <w:r>
        <w:t xml:space="preserve">Song M, Camargo MC, Katki HA, Weinstein SJ, Männistö S, Albanes D, et al. Association of Antiparietal Cell and Anti-Intrinsic Factor Antibodies With Risk of Gastric Cancer. JAMA Oncol. 2022 Feb 01;8(2):268-274. doi: 10.1001/jamaoncol.2021.5395. PMID: 34913949.</w:t>
      </w:r>
    </w:p>
  </w:footnote>
  <w:footnote w:id="71">
    <w:p>
      <w:pPr>
        <w:pStyle w:val="FootnoteText"/>
      </w:pPr>
      <w:r>
        <w:rPr>
          <w:rStyle w:val="FootnoteReference"/>
        </w:rPr>
        <w:footnoteRef/>
      </w:r>
      <w:r>
        <w:t xml:space="preserve"> </w:t>
      </w:r>
      <w:r>
        <w:t xml:space="preserve">Withrow DR, Anderson H, Armstrong GT, Hawkins M, Journy N, Neglia JP, et al. Pooled Analysis of Meningioma Risk Following Treatment for Childhood Cancer. JAMA Oncol. 2022 Dec 01;8(12):1756-1764. doi: 10.1001/jamaoncol.2022.4425. PMID: 36201196.</w:t>
      </w:r>
    </w:p>
  </w:footnote>
  <w:footnote w:id="72">
    <w:p>
      <w:pPr>
        <w:pStyle w:val="FootnoteText"/>
      </w:pPr>
      <w:r>
        <w:rPr>
          <w:rStyle w:val="FootnoteReference"/>
        </w:rPr>
        <w:footnoteRef/>
      </w:r>
      <w:r>
        <w:t xml:space="preserve"> </w:t>
      </w:r>
      <w:r>
        <w:t xml:space="preserve">Tonorezos E, Devasia T, Mariotto AB, Mollica MA, Gallicchio L, Green P, et al. Prevalence of cancer survivors in the United States. J Natl Cancer Inst. 2024 Nov 01;116(11):1784-1790. doi: 10.1093/jnci/djae135. PMID: 39002121.</w:t>
      </w:r>
    </w:p>
  </w:footnote>
  <w:footnote w:id="74">
    <w:p>
      <w:pPr>
        <w:pStyle w:val="FootnoteText"/>
      </w:pPr>
      <w:r>
        <w:rPr>
          <w:rStyle w:val="FootnoteReference"/>
        </w:rPr>
        <w:footnoteRef/>
      </w:r>
      <w:r>
        <w:t xml:space="preserve"> </w:t>
      </w:r>
      <w:r>
        <w:t xml:space="preserve">Yan W, Cao M, Ruan X, Jiang L, Lee S, Lemanek A, et al. Cancer-cell-secreted miR-122 suppresses O-GlcNAcylation to promote skeletal muscle proteolysis. Nat Cell Biol. 2022 May 25;24(5):793-804. doi: 10.1038/s41556-022-00893-0. PMID: 35469018.</w:t>
      </w:r>
    </w:p>
  </w:footnote>
  <w:footnote w:id="75">
    <w:p>
      <w:pPr>
        <w:pStyle w:val="FootnoteText"/>
      </w:pPr>
      <w:r>
        <w:rPr>
          <w:rStyle w:val="FootnoteReference"/>
        </w:rPr>
        <w:footnoteRef/>
      </w:r>
      <w:r>
        <w:t xml:space="preserve"> </w:t>
      </w:r>
      <w:r>
        <w:t xml:space="preserve">Morse DB, Michalowski AM, Ceribelli M, De Jonghe J, Vias M, Riley D, et al. Positional influence on cellular transcriptional identity revealed through spatially segmented single-cell transcriptomics. Cell Syst. 2023 Jun 21;14(6):464-481.e7. doi: 10.1016/j.cels.2023.05.003. PMID: 37348462.</w:t>
      </w:r>
    </w:p>
  </w:footnote>
  <w:footnote w:id="76">
    <w:p>
      <w:pPr>
        <w:pStyle w:val="FootnoteText"/>
      </w:pPr>
      <w:r>
        <w:rPr>
          <w:rStyle w:val="FootnoteReference"/>
        </w:rPr>
        <w:footnoteRef/>
      </w:r>
      <w:r>
        <w:t xml:space="preserve"> </w:t>
      </w:r>
      <w:r>
        <w:t xml:space="preserve">Shi L, Shen W, Davis MI, Kong K, Vu P, Saha SK, et al. SULT1A1-dependent sulfonation of alkylators is a lineage-dependent vulnerability of liver cancers. Nat Cancer. 2023 Mar 13;4(3):365-381. doi: 10.1038/s43018-023-00523-0. PMID: 36914816.</w:t>
      </w:r>
    </w:p>
  </w:footnote>
  <w:footnote w:id="77">
    <w:p>
      <w:pPr>
        <w:pStyle w:val="FootnoteText"/>
      </w:pPr>
      <w:r>
        <w:rPr>
          <w:rStyle w:val="FootnoteReference"/>
        </w:rPr>
        <w:footnoteRef/>
      </w:r>
      <w:r>
        <w:t xml:space="preserve"> </w:t>
      </w:r>
      <w:r>
        <w:t xml:space="preserve">Cornwell JA, Crncec A, Afifi MM, Tang K, Amin R, Cappell SD. Loss of CDK4/6 activity in S/G2 phase leads to cell cycle reversal. Nature. 2023 Jul 05;619(7969):363-370. doi: 10.1038/s41586-023-06274-3. PMID: 37407814.</w:t>
      </w:r>
    </w:p>
  </w:footnote>
  <w:footnote w:id="78">
    <w:p>
      <w:pPr>
        <w:pStyle w:val="FootnoteText"/>
      </w:pPr>
      <w:r>
        <w:rPr>
          <w:rStyle w:val="FootnoteReference"/>
        </w:rPr>
        <w:footnoteRef/>
      </w:r>
      <w:r>
        <w:t xml:space="preserve"> </w:t>
      </w:r>
      <w:r>
        <w:t xml:space="preserve">PMID: 36823587.</w:t>
      </w:r>
      <w:r>
        <w:t xml:space="preserve"> </w:t>
      </w:r>
      <w:hyperlink r:id="rId79">
        <w:r>
          <w:rPr>
            <w:rStyle w:val="Hyperlink"/>
          </w:rPr>
          <w:t xml:space="preserve">https://pubmed.ncbi.nlm.nih.gov/36823587</w:t>
        </w:r>
      </w:hyperlink>
    </w:p>
  </w:footnote>
  <w:footnote w:id="80">
    <w:p>
      <w:pPr>
        <w:pStyle w:val="FootnoteText"/>
      </w:pPr>
      <w:r>
        <w:rPr>
          <w:rStyle w:val="FootnoteReference"/>
        </w:rPr>
        <w:footnoteRef/>
      </w:r>
      <w:r>
        <w:t xml:space="preserve"> </w:t>
      </w:r>
      <w:r>
        <w:t xml:space="preserve">Greytak SR, Engel KB, Hoon DSB, Elias KM, Lockwood CM, Guan P, et al. Evidence-based procedures to improve the reliability of circulating miRNA biomarker assays. Clin Chem Lab Med. 2024 Jan 26;62(1):60-66. doi: 10.1515/cclm-2023-0131. PMID: 37129007.</w:t>
      </w:r>
    </w:p>
  </w:footnote>
  <w:footnote w:id="81">
    <w:p>
      <w:pPr>
        <w:pStyle w:val="FootnoteText"/>
      </w:pPr>
      <w:r>
        <w:rPr>
          <w:rStyle w:val="FootnoteReference"/>
        </w:rPr>
        <w:footnoteRef/>
      </w:r>
      <w:r>
        <w:t xml:space="preserve"> </w:t>
      </w:r>
      <w:r>
        <w:t xml:space="preserve">Barnes RP, de Rosa M, Thosar SA, Detwiler AC, Roginskaya V, Van Houten B, et al. Telomeric 8-oxo-guanine drives rapid premature senescence in the absence of telomere shortening. Nat Struct Mol Biol. 2022 Jul 30;29(7):639-652. doi: 10.1038/s41594-022-00790-y. PMID: 35773409.</w:t>
      </w:r>
    </w:p>
  </w:footnote>
  <w:footnote w:id="82">
    <w:p>
      <w:pPr>
        <w:pStyle w:val="FootnoteText"/>
      </w:pPr>
      <w:r>
        <w:rPr>
          <w:rStyle w:val="FootnoteReference"/>
        </w:rPr>
        <w:footnoteRef/>
      </w:r>
      <w:r>
        <w:t xml:space="preserve"> </w:t>
      </w:r>
      <w:r>
        <w:t xml:space="preserve">Stark Z, Byrne AB, Sampson MG, Lennon R, Mallett AJ. A guide to gene-disease relationships in nephrology. Nat Rev Nephrol. 2025 Feb 23;21(2):115-126. doi: 10.1038/s41581-024-00900-7. PMID: 39443743.</w:t>
      </w:r>
    </w:p>
  </w:footnote>
  <w:footnote w:id="83">
    <w:p>
      <w:pPr>
        <w:pStyle w:val="FootnoteText"/>
      </w:pPr>
      <w:r>
        <w:rPr>
          <w:rStyle w:val="FootnoteReference"/>
        </w:rPr>
        <w:footnoteRef/>
      </w:r>
      <w:r>
        <w:t xml:space="preserve"> </w:t>
      </w:r>
      <w:r>
        <w:t xml:space="preserve">Bifarin OO, Gaul DA, Sah S, Arnold RS, Ogan K, Master VA, et al. Urine-Based Metabolomics and Machine Learning Reveals Metabolites Associated with Renal Cell Carcinoma Stage. Cancers (Basel). 2021 Dec 13;13(24). doi: 10.3390/cancers13246253. PMID: 34944874.</w:t>
      </w:r>
    </w:p>
  </w:footnote>
  <w:footnote w:id="85">
    <w:p>
      <w:pPr>
        <w:pStyle w:val="FootnoteText"/>
      </w:pPr>
      <w:r>
        <w:rPr>
          <w:rStyle w:val="FootnoteReference"/>
        </w:rPr>
        <w:footnoteRef/>
      </w:r>
      <w:r>
        <w:t xml:space="preserve"> </w:t>
      </w:r>
      <w:r>
        <w:t xml:space="preserve">Li Y, Basar R, Wang G, Liu E, Moyes JS, Li L, et al. KIR-based inhibitory CARs overcome CAR-NK cell trogocytosis-mediated fratricide and tumor escape. Nat Med. 2022 Oct 29;28(10):2133-2144. doi: 10.1038/s41591-022-02003-x. PMID: 36175679.</w:t>
      </w:r>
    </w:p>
  </w:footnote>
  <w:footnote w:id="86">
    <w:p>
      <w:pPr>
        <w:pStyle w:val="FootnoteText"/>
      </w:pPr>
      <w:r>
        <w:rPr>
          <w:rStyle w:val="FootnoteReference"/>
        </w:rPr>
        <w:footnoteRef/>
      </w:r>
      <w:r>
        <w:t xml:space="preserve"> </w:t>
      </w:r>
      <w:r>
        <w:t xml:space="preserve">Xia H, Hoang MH, Schmidt E, Kiwala S, McMichael J, Skidmore ZL, et al. pVACview: an interactive visualization tool for efficient neoantigen prioritization and selection. Genome Med. 2024 Nov 14;16(1):132. doi: 10.1186/s13073-024-01384-7. PMID: 39538339.</w:t>
      </w:r>
    </w:p>
  </w:footnote>
  <w:footnote w:id="88">
    <w:p>
      <w:pPr>
        <w:pStyle w:val="FootnoteText"/>
      </w:pPr>
      <w:r>
        <w:rPr>
          <w:rStyle w:val="FootnoteReference"/>
        </w:rPr>
        <w:footnoteRef/>
      </w:r>
      <w:r>
        <w:t xml:space="preserve"> </w:t>
      </w:r>
      <w:r>
        <w:t xml:space="preserve">Gallanis AF, Gamble LA, Samaranayake SG, Lopez R, Rhodes A, Rajasimhan S, et al. Costs of Cancer Prevention: Physical and Psychosocial Sequelae of Risk-Reducing Total Gastrectomy. J Clin Oncol. 2024 Feb 01;42(4):421-430. doi: 10.1200/JCO.23.01238. PMID: 37903316.</w:t>
      </w:r>
    </w:p>
  </w:footnote>
  <w:footnote w:id="89">
    <w:p>
      <w:pPr>
        <w:pStyle w:val="FootnoteText"/>
      </w:pPr>
      <w:r>
        <w:rPr>
          <w:rStyle w:val="FootnoteReference"/>
        </w:rPr>
        <w:footnoteRef/>
      </w:r>
      <w:r>
        <w:t xml:space="preserve"> </w:t>
      </w:r>
      <w:r>
        <w:t xml:space="preserve">PMID: 37289928.</w:t>
      </w:r>
      <w:r>
        <w:t xml:space="preserve"> </w:t>
      </w:r>
      <w:hyperlink r:id="rId90">
        <w:r>
          <w:rPr>
            <w:rStyle w:val="Hyperlink"/>
          </w:rPr>
          <w:t xml:space="preserve">https://pubmed.ncbi.nlm.nih.gov/37289928</w:t>
        </w:r>
      </w:hyperlink>
    </w:p>
  </w:footnote>
  <w:footnote w:id="92">
    <w:p>
      <w:pPr>
        <w:pStyle w:val="FootnoteText"/>
      </w:pPr>
      <w:r>
        <w:rPr>
          <w:rStyle w:val="FootnoteReference"/>
        </w:rPr>
        <w:footnoteRef/>
      </w:r>
      <w:r>
        <w:t xml:space="preserve"> </w:t>
      </w:r>
      <w:r>
        <w:t xml:space="preserve">Watts EL, Matthews CE, Freeman JR, Gorzelitz JS, Hong HG, Liao LM, et al. Association of Leisure Time Physical Activity Types and Risks of All-Cause, Cardiovascular, and Cancer Mortality Among Older Adults. JAMA Netw Open. 2022 Aug 01;5(8):e2228510. doi: 10.1001/jamanetworkopen.2022.28510. PMID: 36001316.</w:t>
      </w:r>
    </w:p>
  </w:footnote>
  <w:footnote w:id="94">
    <w:p>
      <w:pPr>
        <w:pStyle w:val="FootnoteText"/>
      </w:pPr>
      <w:r>
        <w:rPr>
          <w:rStyle w:val="FootnoteReference"/>
        </w:rPr>
        <w:footnoteRef/>
      </w:r>
      <w:r>
        <w:t xml:space="preserve"> </w:t>
      </w:r>
      <w:r>
        <w:t xml:space="preserve">Einstein MH, Zhou N, Gabor L, Sahasrabuddhe VV. Primary Human Papillomavirus Testing and Other New Technologies for Cervical Cancer Screening. Obstet Gynecol. 2023 Nov 01;142(5):1036-1043. doi: 10.1097/AOG.0000000000005393. PMID: 37708516.</w:t>
      </w:r>
    </w:p>
  </w:footnote>
  <w:footnote w:id="95">
    <w:p>
      <w:pPr>
        <w:pStyle w:val="FootnoteText"/>
      </w:pPr>
      <w:r>
        <w:rPr>
          <w:rStyle w:val="FootnoteReference"/>
        </w:rPr>
        <w:footnoteRef/>
      </w:r>
      <w:r>
        <w:t xml:space="preserve"> </w:t>
      </w:r>
      <w:r>
        <w:t xml:space="preserve">Knudsen AB, Trentham-Dietz A, Kim JJ, Mandelblatt JS, Meza R, Zauber AG, et al. Estimated US Cancer Deaths Prevented With Increased Use of Lung, Colorectal, Breast, and Cervical Cancer Screening. JAMA Netw Open. 2023 Nov 01;6(11):e2344698. doi: 10.1001/jamanetworkopen.2023.44698. PMID: 37991759.</w:t>
      </w:r>
    </w:p>
  </w:footnote>
  <w:footnote w:id="96">
    <w:p>
      <w:pPr>
        <w:pStyle w:val="FootnoteText"/>
      </w:pPr>
      <w:r>
        <w:rPr>
          <w:rStyle w:val="FootnoteReference"/>
        </w:rPr>
        <w:footnoteRef/>
      </w:r>
      <w:r>
        <w:t xml:space="preserve"> </w:t>
      </w:r>
      <w:r>
        <w:t xml:space="preserve">Palefsky JM, Lee JY, Jay N, Goldstone SE, Darragh TM, Dunlevy HA, et al. Treatment of Anal High-Grade Squamous Intraepithelial Lesions to Prevent Anal Cancer. N Engl J Med. 2022 Jun 16;386(24):2273-2282. doi: 10.1056/NEJMoa2201048. PMID: 35704479.</w:t>
      </w:r>
    </w:p>
  </w:footnote>
  <w:footnote w:id="97">
    <w:p>
      <w:pPr>
        <w:pStyle w:val="FootnoteText"/>
      </w:pPr>
      <w:r>
        <w:rPr>
          <w:rStyle w:val="FootnoteReference"/>
        </w:rPr>
        <w:footnoteRef/>
      </w:r>
      <w:r>
        <w:t xml:space="preserve"> </w:t>
      </w:r>
      <w:hyperlink r:id="rId98">
        <w:r>
          <w:rPr>
            <w:rStyle w:val="Hyperlink"/>
          </w:rPr>
          <w:t xml:space="preserve">https://www.nidcr.nih.gov/grants-funding/research-funded-by-nidcr-extramural/ahead</w:t>
        </w:r>
      </w:hyperlink>
    </w:p>
  </w:footnote>
  <w:footnote w:id="99">
    <w:p>
      <w:pPr>
        <w:pStyle w:val="FootnoteText"/>
      </w:pPr>
      <w:r>
        <w:rPr>
          <w:rStyle w:val="FootnoteReference"/>
        </w:rPr>
        <w:footnoteRef/>
      </w:r>
      <w:r>
        <w:t xml:space="preserve"> </w:t>
      </w:r>
      <w:r>
        <w:t xml:space="preserve">Coole JB, Brenes D, Mitbander R, Vohra I, Hou H, Kortum A, et al. Multimodal optical imaging with real-time projection of cancer risk and biopsy guidance maps for early oral cancer diagnosis and treatment. J Biomed Opt. 2023 Jan 13;28(1):016002. doi: 10.1117/1.JBO.28.1.016002. PMID: 36654656.</w:t>
      </w:r>
    </w:p>
  </w:footnote>
  <w:footnote w:id="101">
    <w:p>
      <w:pPr>
        <w:pStyle w:val="FootnoteText"/>
      </w:pPr>
      <w:r>
        <w:rPr>
          <w:rStyle w:val="FootnoteReference"/>
        </w:rPr>
        <w:footnoteRef/>
      </w:r>
      <w:r>
        <w:t xml:space="preserve"> </w:t>
      </w:r>
      <w:r>
        <w:t xml:space="preserve">Source unavailable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527405"/>
    <w:multiLevelType w:val="multilevel"/>
    <w:tmpl w:val="F2ECD716"/>
    <w:lvl w:ilvl="0">
      <w:start w:val="1"/>
      <w:numFmt w:val="decimal"/>
      <w:lvlText w:val="%1."/>
      <w:lvlJc w:val="left"/>
      <w:pPr>
        <w:tabs>
          <w:tab w:pos="360" w:val="num"/>
        </w:tabs>
        <w:ind w:hanging="360" w:left="360"/>
      </w:pPr>
    </w:lvl>
    <w:lvl w:ilvl="1" w:tentative="1">
      <w:start w:val="1"/>
      <w:numFmt w:val="decimal"/>
      <w:lvlText w:val="%2."/>
      <w:lvlJc w:val="left"/>
      <w:pPr>
        <w:tabs>
          <w:tab w:pos="1080" w:val="num"/>
        </w:tabs>
        <w:ind w:hanging="360" w:left="1080"/>
      </w:pPr>
    </w:lvl>
    <w:lvl w:ilvl="2" w:tentative="1">
      <w:start w:val="1"/>
      <w:numFmt w:val="decimal"/>
      <w:lvlText w:val="%3."/>
      <w:lvlJc w:val="left"/>
      <w:pPr>
        <w:tabs>
          <w:tab w:pos="1800" w:val="num"/>
        </w:tabs>
        <w:ind w:hanging="360" w:left="1800"/>
      </w:pPr>
    </w:lvl>
    <w:lvl w:ilvl="3" w:tentative="1">
      <w:start w:val="1"/>
      <w:numFmt w:val="decimal"/>
      <w:lvlText w:val="%4."/>
      <w:lvlJc w:val="left"/>
      <w:pPr>
        <w:tabs>
          <w:tab w:pos="2520" w:val="num"/>
        </w:tabs>
        <w:ind w:hanging="360" w:left="2520"/>
      </w:pPr>
    </w:lvl>
    <w:lvl w:ilvl="4" w:tentative="1">
      <w:start w:val="1"/>
      <w:numFmt w:val="decimal"/>
      <w:lvlText w:val="%5."/>
      <w:lvlJc w:val="left"/>
      <w:pPr>
        <w:tabs>
          <w:tab w:pos="3240" w:val="num"/>
        </w:tabs>
        <w:ind w:hanging="360" w:left="3240"/>
      </w:pPr>
    </w:lvl>
    <w:lvl w:ilvl="5" w:tentative="1">
      <w:start w:val="1"/>
      <w:numFmt w:val="decimal"/>
      <w:lvlText w:val="%6."/>
      <w:lvlJc w:val="left"/>
      <w:pPr>
        <w:tabs>
          <w:tab w:pos="3960" w:val="num"/>
        </w:tabs>
        <w:ind w:hanging="360" w:left="3960"/>
      </w:pPr>
    </w:lvl>
    <w:lvl w:ilvl="6" w:tentative="1">
      <w:start w:val="1"/>
      <w:numFmt w:val="decimal"/>
      <w:lvlText w:val="%7."/>
      <w:lvlJc w:val="left"/>
      <w:pPr>
        <w:tabs>
          <w:tab w:pos="4680" w:val="num"/>
        </w:tabs>
        <w:ind w:hanging="360" w:left="4680"/>
      </w:pPr>
    </w:lvl>
    <w:lvl w:ilvl="7" w:tentative="1">
      <w:start w:val="1"/>
      <w:numFmt w:val="decimal"/>
      <w:lvlText w:val="%8."/>
      <w:lvlJc w:val="left"/>
      <w:pPr>
        <w:tabs>
          <w:tab w:pos="5400" w:val="num"/>
        </w:tabs>
        <w:ind w:hanging="360" w:left="5400"/>
      </w:pPr>
    </w:lvl>
    <w:lvl w:ilvl="8" w:tentative="1">
      <w:start w:val="1"/>
      <w:numFmt w:val="decimal"/>
      <w:lvlText w:val="%9."/>
      <w:lvlJc w:val="left"/>
      <w:pPr>
        <w:tabs>
          <w:tab w:pos="6120" w:val="num"/>
        </w:tabs>
        <w:ind w:hanging="360" w:left="6120"/>
      </w:pPr>
    </w:lvl>
  </w:abstractNum>
  <w:abstractNum w15:restartNumberingAfterBreak="0" w:abstractNumId="1">
    <w:nsid w:val="1D0C09C3"/>
    <w:multiLevelType w:val="multilevel"/>
    <w:tmpl w:val="386E57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
    <w:nsid w:val="426602B9"/>
    <w:multiLevelType w:val="multilevel"/>
    <w:tmpl w:val="5B52D94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4CD95EB1"/>
    <w:multiLevelType w:val="multilevel"/>
    <w:tmpl w:val="EAAC8A9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736D6DEE"/>
    <w:multiLevelType w:val="multilevel"/>
    <w:tmpl w:val="F2ECD71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348683342" w:numId="1">
    <w:abstractNumId w:val="3"/>
  </w:num>
  <w:num w16cid:durableId="2145081783" w:numId="2">
    <w:abstractNumId w:val="4"/>
  </w:num>
  <w:num w16cid:durableId="695812795" w:numId="3">
    <w:abstractNumId w:val="0"/>
  </w:num>
  <w:num w16cid:durableId="1274676838" w:numId="4">
    <w:abstractNumId w:val="2"/>
  </w:num>
  <w:num w16cid:durableId="418017339" w:numId="5">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4E3160"/>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4E3160"/>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unhideWhenUsed/>
    <w:qFormat/>
    <w:rsid w:val="004E3160"/>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4E3160"/>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4E3160"/>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4E3160"/>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4E3160"/>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4E3160"/>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4E3160"/>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4E3160"/>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4E3160"/>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4E3160"/>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4E3160"/>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4E3160"/>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4E3160"/>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4E3160"/>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4E3160"/>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4E3160"/>
    <w:rPr>
      <w:rFonts w:cstheme="majorBidi" w:eastAsiaTheme="majorEastAsia"/>
      <w:color w:themeColor="text1" w:themeTint="D8" w:val="272727"/>
    </w:rPr>
  </w:style>
  <w:style w:styleId="Title" w:type="paragraph">
    <w:name w:val="Title"/>
    <w:basedOn w:val="Normal"/>
    <w:next w:val="Normal"/>
    <w:link w:val="TitleChar"/>
    <w:uiPriority w:val="10"/>
    <w:qFormat/>
    <w:rsid w:val="004E3160"/>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4E3160"/>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4E3160"/>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4E3160"/>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4E3160"/>
    <w:pPr>
      <w:spacing w:before="160"/>
      <w:jc w:val="center"/>
    </w:pPr>
    <w:rPr>
      <w:i/>
      <w:iCs/>
      <w:color w:themeColor="text1" w:themeTint="BF" w:val="404040"/>
    </w:rPr>
  </w:style>
  <w:style w:customStyle="1" w:styleId="QuoteChar" w:type="character">
    <w:name w:val="Quote Char"/>
    <w:basedOn w:val="DefaultParagraphFont"/>
    <w:link w:val="Quote"/>
    <w:uiPriority w:val="29"/>
    <w:rsid w:val="004E3160"/>
    <w:rPr>
      <w:i/>
      <w:iCs/>
      <w:color w:themeColor="text1" w:themeTint="BF" w:val="404040"/>
    </w:rPr>
  </w:style>
  <w:style w:styleId="ListParagraph" w:type="paragraph">
    <w:name w:val="List Paragraph"/>
    <w:basedOn w:val="Normal"/>
    <w:uiPriority w:val="34"/>
    <w:qFormat/>
    <w:rsid w:val="004E3160"/>
    <w:pPr>
      <w:ind w:left="720"/>
      <w:contextualSpacing/>
    </w:pPr>
  </w:style>
  <w:style w:styleId="IntenseEmphasis" w:type="character">
    <w:name w:val="Intense Emphasis"/>
    <w:basedOn w:val="DefaultParagraphFont"/>
    <w:uiPriority w:val="21"/>
    <w:qFormat/>
    <w:rsid w:val="004E3160"/>
    <w:rPr>
      <w:i/>
      <w:iCs/>
      <w:color w:themeColor="accent1" w:themeShade="BF" w:val="0F4761"/>
    </w:rPr>
  </w:style>
  <w:style w:styleId="IntenseQuote" w:type="paragraph">
    <w:name w:val="Intense Quote"/>
    <w:basedOn w:val="Normal"/>
    <w:next w:val="Normal"/>
    <w:link w:val="IntenseQuoteChar"/>
    <w:uiPriority w:val="30"/>
    <w:qFormat/>
    <w:rsid w:val="004E3160"/>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4E3160"/>
    <w:rPr>
      <w:i/>
      <w:iCs/>
      <w:color w:themeColor="accent1" w:themeShade="BF" w:val="0F4761"/>
    </w:rPr>
  </w:style>
  <w:style w:styleId="IntenseReference" w:type="character">
    <w:name w:val="Intense Reference"/>
    <w:basedOn w:val="DefaultParagraphFont"/>
    <w:uiPriority w:val="32"/>
    <w:qFormat/>
    <w:rsid w:val="004E3160"/>
    <w:rPr>
      <w:b/>
      <w:bCs/>
      <w:smallCaps/>
      <w:color w:themeColor="accent1" w:themeShade="BF" w:val="0F4761"/>
      <w:spacing w:val="5"/>
    </w:rPr>
  </w:style>
  <w:style w:styleId="Hyperlink" w:type="character">
    <w:name w:val="Hyperlink"/>
    <w:basedOn w:val="DefaultParagraphFont"/>
    <w:uiPriority w:val="99"/>
    <w:unhideWhenUsed/>
    <w:rsid w:val="004E3160"/>
    <w:rPr>
      <w:color w:themeColor="hyperlink" w:val="467886"/>
      <w:u w:val="single"/>
    </w:rPr>
  </w:style>
  <w:style w:styleId="UnresolvedMention" w:type="character">
    <w:name w:val="Unresolved Mention"/>
    <w:basedOn w:val="DefaultParagraphFont"/>
    <w:uiPriority w:val="99"/>
    <w:semiHidden/>
    <w:unhideWhenUsed/>
    <w:rsid w:val="004E3160"/>
    <w:rPr>
      <w:color w:val="605E5C"/>
      <w:shd w:color="auto" w:fill="E1DFDD" w:val="clear"/>
    </w:rPr>
  </w:style>
  <w:style w:styleId="FootnoteText" w:type="paragraph">
    <w:name w:val="footnote text"/>
    <w:basedOn w:val="Normal"/>
    <w:link w:val="FootnoteTextChar"/>
    <w:uiPriority w:val="99"/>
    <w:unhideWhenUsed/>
    <w:rsid w:val="004E3160"/>
    <w:pPr>
      <w:spacing w:after="0" w:line="240" w:lineRule="auto"/>
    </w:pPr>
    <w:rPr>
      <w:sz w:val="20"/>
      <w:szCs w:val="20"/>
    </w:rPr>
  </w:style>
  <w:style w:customStyle="1" w:styleId="FootnoteTextChar" w:type="character">
    <w:name w:val="Footnote Text Char"/>
    <w:basedOn w:val="DefaultParagraphFont"/>
    <w:link w:val="FootnoteText"/>
    <w:uiPriority w:val="99"/>
    <w:rsid w:val="004E3160"/>
    <w:rPr>
      <w:sz w:val="20"/>
      <w:szCs w:val="20"/>
    </w:rPr>
  </w:style>
  <w:style w:styleId="FootnoteReference" w:type="character">
    <w:name w:val="footnote reference"/>
    <w:basedOn w:val="DefaultParagraphFont"/>
    <w:uiPriority w:val="99"/>
    <w:semiHidden/>
    <w:unhideWhenUsed/>
    <w:rsid w:val="004E3160"/>
    <w:rPr>
      <w:vertAlign w:val="superscript"/>
    </w:rPr>
  </w:style>
  <w:style w:styleId="FollowedHyperlink" w:type="character">
    <w:name w:val="FollowedHyperlink"/>
    <w:basedOn w:val="DefaultParagraphFont"/>
    <w:uiPriority w:val="99"/>
    <w:semiHidden/>
    <w:unhideWhenUsed/>
    <w:rsid w:val="008B4B9A"/>
    <w:rPr>
      <w:color w:themeColor="followedHyperlink" w:val="96607D"/>
      <w:u w:val="single"/>
    </w:rPr>
  </w:style>
  <w:style w:styleId="CommentReference" w:type="character">
    <w:name w:val="annotation reference"/>
    <w:basedOn w:val="DefaultParagraphFont"/>
    <w:uiPriority w:val="99"/>
    <w:semiHidden/>
    <w:unhideWhenUsed/>
    <w:rsid w:val="00AB2A26"/>
    <w:rPr>
      <w:sz w:val="16"/>
      <w:szCs w:val="16"/>
    </w:rPr>
  </w:style>
  <w:style w:styleId="CommentText" w:type="paragraph">
    <w:name w:val="annotation text"/>
    <w:basedOn w:val="Normal"/>
    <w:link w:val="CommentTextChar"/>
    <w:uiPriority w:val="99"/>
    <w:unhideWhenUsed/>
    <w:rsid w:val="00AB2A26"/>
    <w:pPr>
      <w:spacing w:line="240" w:lineRule="auto"/>
    </w:pPr>
    <w:rPr>
      <w:sz w:val="20"/>
      <w:szCs w:val="20"/>
    </w:rPr>
  </w:style>
  <w:style w:customStyle="1" w:styleId="CommentTextChar" w:type="character">
    <w:name w:val="Comment Text Char"/>
    <w:basedOn w:val="DefaultParagraphFont"/>
    <w:link w:val="CommentText"/>
    <w:uiPriority w:val="99"/>
    <w:rsid w:val="00AB2A26"/>
    <w:rPr>
      <w:sz w:val="20"/>
      <w:szCs w:val="20"/>
    </w:rPr>
  </w:style>
  <w:style w:styleId="CommentSubject" w:type="paragraph">
    <w:name w:val="annotation subject"/>
    <w:basedOn w:val="CommentText"/>
    <w:next w:val="CommentText"/>
    <w:link w:val="CommentSubjectChar"/>
    <w:uiPriority w:val="99"/>
    <w:semiHidden/>
    <w:unhideWhenUsed/>
    <w:rsid w:val="00AB2A26"/>
    <w:rPr>
      <w:b/>
      <w:bCs/>
    </w:rPr>
  </w:style>
  <w:style w:customStyle="1" w:styleId="CommentSubjectChar" w:type="character">
    <w:name w:val="Comment Subject Char"/>
    <w:basedOn w:val="CommentTextChar"/>
    <w:link w:val="CommentSubject"/>
    <w:uiPriority w:val="99"/>
    <w:semiHidden/>
    <w:rsid w:val="00AB2A26"/>
    <w:rPr>
      <w:b/>
      <w:bCs/>
      <w:sz w:val="20"/>
      <w:szCs w:val="20"/>
    </w:rPr>
  </w:style>
  <w:style w:styleId="Strong" w:type="character">
    <w:name w:val="Strong"/>
    <w:basedOn w:val="DefaultParagraphFont"/>
    <w:uiPriority w:val="22"/>
    <w:qFormat/>
    <w:rsid w:val="00B353A6"/>
    <w:rPr>
      <w:b/>
      <w:bCs/>
    </w:rPr>
  </w:style>
  <w:style w:styleId="NormalWeb" w:type="paragraph">
    <w:name w:val="Normal (Web)"/>
    <w:basedOn w:val="Normal"/>
    <w:uiPriority w:val="99"/>
    <w:unhideWhenUsed/>
    <w:rsid w:val="00B353A6"/>
    <w:pPr>
      <w:spacing w:after="100" w:afterAutospacing="1" w:before="100" w:beforeAutospacing="1" w:line="240" w:lineRule="auto"/>
    </w:pPr>
    <w:rPr>
      <w:rFonts w:ascii="Times New Roman" w:cs="Times New Roman" w:eastAsia="Times New Roman" w:hAnsi="Times New Roman"/>
      <w:kern w:val="0"/>
      <w:sz w:val="24"/>
      <w:szCs w:val="24"/>
    </w:rPr>
  </w:style>
  <w:style w:styleId="Emphasis" w:type="character">
    <w:name w:val="Emphasis"/>
    <w:basedOn w:val="DefaultParagraphFont"/>
    <w:uiPriority w:val="20"/>
    <w:qFormat/>
    <w:rsid w:val="00B353A6"/>
    <w:rPr>
      <w:i/>
      <w:iCs/>
    </w:rPr>
  </w:style>
  <w:style w:customStyle="1" w:styleId="ms-1" w:type="character">
    <w:name w:val="ms-1"/>
    <w:basedOn w:val="DefaultParagraphFont"/>
    <w:rsid w:val="004245D1"/>
  </w:style>
  <w:style w:customStyle="1" w:styleId="max-w-full" w:type="character">
    <w:name w:val="max-w-full"/>
    <w:basedOn w:val="DefaultParagraphFont"/>
    <w:rsid w:val="004245D1"/>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6951">
      <w:bodyDiv w:val="1"/>
      <w:marLeft w:val="0"/>
      <w:marRight w:val="0"/>
      <w:marTop w:val="0"/>
      <w:marBottom w:val="0"/>
      <w:divBdr>
        <w:top w:val="none" w:sz="0" w:space="0" w:color="auto"/>
        <w:left w:val="none" w:sz="0" w:space="0" w:color="auto"/>
        <w:bottom w:val="none" w:sz="0" w:space="0" w:color="auto"/>
        <w:right w:val="none" w:sz="0" w:space="0" w:color="auto"/>
      </w:divBdr>
    </w:div>
    <w:div w:id="27075835">
      <w:bodyDiv w:val="1"/>
      <w:marLeft w:val="0"/>
      <w:marRight w:val="0"/>
      <w:marTop w:val="0"/>
      <w:marBottom w:val="0"/>
      <w:divBdr>
        <w:top w:val="none" w:sz="0" w:space="0" w:color="auto"/>
        <w:left w:val="none" w:sz="0" w:space="0" w:color="auto"/>
        <w:bottom w:val="none" w:sz="0" w:space="0" w:color="auto"/>
        <w:right w:val="none" w:sz="0" w:space="0" w:color="auto"/>
      </w:divBdr>
    </w:div>
    <w:div w:id="40137269">
      <w:bodyDiv w:val="1"/>
      <w:marLeft w:val="0"/>
      <w:marRight w:val="0"/>
      <w:marTop w:val="0"/>
      <w:marBottom w:val="0"/>
      <w:divBdr>
        <w:top w:val="none" w:sz="0" w:space="0" w:color="auto"/>
        <w:left w:val="none" w:sz="0" w:space="0" w:color="auto"/>
        <w:bottom w:val="none" w:sz="0" w:space="0" w:color="auto"/>
        <w:right w:val="none" w:sz="0" w:space="0" w:color="auto"/>
      </w:divBdr>
    </w:div>
    <w:div w:id="53044526">
      <w:bodyDiv w:val="1"/>
      <w:marLeft w:val="0"/>
      <w:marRight w:val="0"/>
      <w:marTop w:val="0"/>
      <w:marBottom w:val="0"/>
      <w:divBdr>
        <w:top w:val="none" w:sz="0" w:space="0" w:color="auto"/>
        <w:left w:val="none" w:sz="0" w:space="0" w:color="auto"/>
        <w:bottom w:val="none" w:sz="0" w:space="0" w:color="auto"/>
        <w:right w:val="none" w:sz="0" w:space="0" w:color="auto"/>
      </w:divBdr>
    </w:div>
    <w:div w:id="74135187">
      <w:bodyDiv w:val="1"/>
      <w:marLeft w:val="0"/>
      <w:marRight w:val="0"/>
      <w:marTop w:val="0"/>
      <w:marBottom w:val="0"/>
      <w:divBdr>
        <w:top w:val="none" w:sz="0" w:space="0" w:color="auto"/>
        <w:left w:val="none" w:sz="0" w:space="0" w:color="auto"/>
        <w:bottom w:val="none" w:sz="0" w:space="0" w:color="auto"/>
        <w:right w:val="none" w:sz="0" w:space="0" w:color="auto"/>
      </w:divBdr>
    </w:div>
    <w:div w:id="91046768">
      <w:bodyDiv w:val="1"/>
      <w:marLeft w:val="0"/>
      <w:marRight w:val="0"/>
      <w:marTop w:val="0"/>
      <w:marBottom w:val="0"/>
      <w:divBdr>
        <w:top w:val="none" w:sz="0" w:space="0" w:color="auto"/>
        <w:left w:val="none" w:sz="0" w:space="0" w:color="auto"/>
        <w:bottom w:val="none" w:sz="0" w:space="0" w:color="auto"/>
        <w:right w:val="none" w:sz="0" w:space="0" w:color="auto"/>
      </w:divBdr>
    </w:div>
    <w:div w:id="92939633">
      <w:bodyDiv w:val="1"/>
      <w:marLeft w:val="0"/>
      <w:marRight w:val="0"/>
      <w:marTop w:val="0"/>
      <w:marBottom w:val="0"/>
      <w:divBdr>
        <w:top w:val="none" w:sz="0" w:space="0" w:color="auto"/>
        <w:left w:val="none" w:sz="0" w:space="0" w:color="auto"/>
        <w:bottom w:val="none" w:sz="0" w:space="0" w:color="auto"/>
        <w:right w:val="none" w:sz="0" w:space="0" w:color="auto"/>
      </w:divBdr>
    </w:div>
    <w:div w:id="97917714">
      <w:bodyDiv w:val="1"/>
      <w:marLeft w:val="0"/>
      <w:marRight w:val="0"/>
      <w:marTop w:val="0"/>
      <w:marBottom w:val="0"/>
      <w:divBdr>
        <w:top w:val="none" w:sz="0" w:space="0" w:color="auto"/>
        <w:left w:val="none" w:sz="0" w:space="0" w:color="auto"/>
        <w:bottom w:val="none" w:sz="0" w:space="0" w:color="auto"/>
        <w:right w:val="none" w:sz="0" w:space="0" w:color="auto"/>
      </w:divBdr>
      <w:divsChild>
        <w:div w:id="211118134">
          <w:marLeft w:val="0"/>
          <w:marRight w:val="0"/>
          <w:marTop w:val="0"/>
          <w:marBottom w:val="0"/>
          <w:divBdr>
            <w:top w:val="none" w:sz="0" w:space="0" w:color="auto"/>
            <w:left w:val="none" w:sz="0" w:space="0" w:color="auto"/>
            <w:bottom w:val="none" w:sz="0" w:space="0" w:color="auto"/>
            <w:right w:val="none" w:sz="0" w:space="0" w:color="auto"/>
          </w:divBdr>
          <w:divsChild>
            <w:div w:id="685014362">
              <w:marLeft w:val="0"/>
              <w:marRight w:val="0"/>
              <w:marTop w:val="0"/>
              <w:marBottom w:val="0"/>
              <w:divBdr>
                <w:top w:val="none" w:sz="0" w:space="0" w:color="auto"/>
                <w:left w:val="none" w:sz="0" w:space="0" w:color="auto"/>
                <w:bottom w:val="none" w:sz="0" w:space="0" w:color="auto"/>
                <w:right w:val="none" w:sz="0" w:space="0" w:color="auto"/>
              </w:divBdr>
              <w:divsChild>
                <w:div w:id="1883055733">
                  <w:marLeft w:val="0"/>
                  <w:marRight w:val="0"/>
                  <w:marTop w:val="0"/>
                  <w:marBottom w:val="0"/>
                  <w:divBdr>
                    <w:top w:val="none" w:sz="0" w:space="0" w:color="auto"/>
                    <w:left w:val="none" w:sz="0" w:space="0" w:color="auto"/>
                    <w:bottom w:val="none" w:sz="0" w:space="0" w:color="auto"/>
                    <w:right w:val="none" w:sz="0" w:space="0" w:color="auto"/>
                  </w:divBdr>
                  <w:divsChild>
                    <w:div w:id="16929677">
                      <w:marLeft w:val="0"/>
                      <w:marRight w:val="0"/>
                      <w:marTop w:val="0"/>
                      <w:marBottom w:val="0"/>
                      <w:divBdr>
                        <w:top w:val="none" w:sz="0" w:space="0" w:color="auto"/>
                        <w:left w:val="none" w:sz="0" w:space="0" w:color="auto"/>
                        <w:bottom w:val="none" w:sz="0" w:space="0" w:color="auto"/>
                        <w:right w:val="none" w:sz="0" w:space="0" w:color="auto"/>
                      </w:divBdr>
                      <w:divsChild>
                        <w:div w:id="559755688">
                          <w:marLeft w:val="0"/>
                          <w:marRight w:val="0"/>
                          <w:marTop w:val="0"/>
                          <w:marBottom w:val="0"/>
                          <w:divBdr>
                            <w:top w:val="none" w:sz="0" w:space="0" w:color="auto"/>
                            <w:left w:val="none" w:sz="0" w:space="0" w:color="auto"/>
                            <w:bottom w:val="none" w:sz="0" w:space="0" w:color="auto"/>
                            <w:right w:val="none" w:sz="0" w:space="0" w:color="auto"/>
                          </w:divBdr>
                          <w:divsChild>
                            <w:div w:id="7279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5000161">
                  <w:marLeft w:val="0"/>
                  <w:marRight w:val="0"/>
                  <w:marTop w:val="0"/>
                  <w:marBottom w:val="0"/>
                  <w:divBdr>
                    <w:top w:val="none" w:sz="0" w:space="0" w:color="auto"/>
                    <w:left w:val="none" w:sz="0" w:space="0" w:color="auto"/>
                    <w:bottom w:val="none" w:sz="0" w:space="0" w:color="auto"/>
                    <w:right w:val="none" w:sz="0" w:space="0" w:color="auto"/>
                  </w:divBdr>
                  <w:divsChild>
                    <w:div w:id="1391926422">
                      <w:marLeft w:val="0"/>
                      <w:marRight w:val="0"/>
                      <w:marTop w:val="0"/>
                      <w:marBottom w:val="0"/>
                      <w:divBdr>
                        <w:top w:val="none" w:sz="0" w:space="0" w:color="auto"/>
                        <w:left w:val="none" w:sz="0" w:space="0" w:color="auto"/>
                        <w:bottom w:val="none" w:sz="0" w:space="0" w:color="auto"/>
                        <w:right w:val="none" w:sz="0" w:space="0" w:color="auto"/>
                      </w:divBdr>
                      <w:divsChild>
                        <w:div w:id="943266560">
                          <w:marLeft w:val="0"/>
                          <w:marRight w:val="0"/>
                          <w:marTop w:val="0"/>
                          <w:marBottom w:val="0"/>
                          <w:divBdr>
                            <w:top w:val="none" w:sz="0" w:space="0" w:color="auto"/>
                            <w:left w:val="none" w:sz="0" w:space="0" w:color="auto"/>
                            <w:bottom w:val="none" w:sz="0" w:space="0" w:color="auto"/>
                            <w:right w:val="none" w:sz="0" w:space="0" w:color="auto"/>
                          </w:divBdr>
                          <w:divsChild>
                            <w:div w:id="552235384">
                              <w:marLeft w:val="0"/>
                              <w:marRight w:val="0"/>
                              <w:marTop w:val="0"/>
                              <w:marBottom w:val="0"/>
                              <w:divBdr>
                                <w:top w:val="none" w:sz="0" w:space="0" w:color="auto"/>
                                <w:left w:val="none" w:sz="0" w:space="0" w:color="auto"/>
                                <w:bottom w:val="none" w:sz="0" w:space="0" w:color="auto"/>
                                <w:right w:val="none" w:sz="0" w:space="0" w:color="auto"/>
                              </w:divBdr>
                              <w:divsChild>
                                <w:div w:id="321397650">
                                  <w:marLeft w:val="0"/>
                                  <w:marRight w:val="0"/>
                                  <w:marTop w:val="0"/>
                                  <w:marBottom w:val="0"/>
                                  <w:divBdr>
                                    <w:top w:val="none" w:sz="0" w:space="0" w:color="auto"/>
                                    <w:left w:val="none" w:sz="0" w:space="0" w:color="auto"/>
                                    <w:bottom w:val="none" w:sz="0" w:space="0" w:color="auto"/>
                                    <w:right w:val="none" w:sz="0" w:space="0" w:color="auto"/>
                                  </w:divBdr>
                                  <w:divsChild>
                                    <w:div w:id="1804493681">
                                      <w:marLeft w:val="0"/>
                                      <w:marRight w:val="0"/>
                                      <w:marTop w:val="0"/>
                                      <w:marBottom w:val="0"/>
                                      <w:divBdr>
                                        <w:top w:val="none" w:sz="0" w:space="0" w:color="auto"/>
                                        <w:left w:val="none" w:sz="0" w:space="0" w:color="auto"/>
                                        <w:bottom w:val="none" w:sz="0" w:space="0" w:color="auto"/>
                                        <w:right w:val="none" w:sz="0" w:space="0" w:color="auto"/>
                                      </w:divBdr>
                                    </w:div>
                                  </w:divsChild>
                                </w:div>
                                <w:div w:id="1083574202">
                                  <w:marLeft w:val="0"/>
                                  <w:marRight w:val="0"/>
                                  <w:marTop w:val="0"/>
                                  <w:marBottom w:val="0"/>
                                  <w:divBdr>
                                    <w:top w:val="none" w:sz="0" w:space="0" w:color="auto"/>
                                    <w:left w:val="none" w:sz="0" w:space="0" w:color="auto"/>
                                    <w:bottom w:val="none" w:sz="0" w:space="0" w:color="auto"/>
                                    <w:right w:val="none" w:sz="0" w:space="0" w:color="auto"/>
                                  </w:divBdr>
                                  <w:divsChild>
                                    <w:div w:id="527909347">
                                      <w:marLeft w:val="0"/>
                                      <w:marRight w:val="0"/>
                                      <w:marTop w:val="0"/>
                                      <w:marBottom w:val="0"/>
                                      <w:divBdr>
                                        <w:top w:val="none" w:sz="0" w:space="0" w:color="auto"/>
                                        <w:left w:val="none" w:sz="0" w:space="0" w:color="auto"/>
                                        <w:bottom w:val="none" w:sz="0" w:space="0" w:color="auto"/>
                                        <w:right w:val="none" w:sz="0" w:space="0" w:color="auto"/>
                                      </w:divBdr>
                                    </w:div>
                                  </w:divsChild>
                                </w:div>
                                <w:div w:id="1800102433">
                                  <w:marLeft w:val="0"/>
                                  <w:marRight w:val="0"/>
                                  <w:marTop w:val="0"/>
                                  <w:marBottom w:val="0"/>
                                  <w:divBdr>
                                    <w:top w:val="none" w:sz="0" w:space="0" w:color="auto"/>
                                    <w:left w:val="none" w:sz="0" w:space="0" w:color="auto"/>
                                    <w:bottom w:val="none" w:sz="0" w:space="0" w:color="auto"/>
                                    <w:right w:val="none" w:sz="0" w:space="0" w:color="auto"/>
                                  </w:divBdr>
                                  <w:divsChild>
                                    <w:div w:id="183502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65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848897">
                  <w:marLeft w:val="0"/>
                  <w:marRight w:val="0"/>
                  <w:marTop w:val="0"/>
                  <w:marBottom w:val="0"/>
                  <w:divBdr>
                    <w:top w:val="none" w:sz="0" w:space="0" w:color="auto"/>
                    <w:left w:val="none" w:sz="0" w:space="0" w:color="auto"/>
                    <w:bottom w:val="none" w:sz="0" w:space="0" w:color="auto"/>
                    <w:right w:val="none" w:sz="0" w:space="0" w:color="auto"/>
                  </w:divBdr>
                  <w:divsChild>
                    <w:div w:id="193489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46784">
      <w:bodyDiv w:val="1"/>
      <w:marLeft w:val="0"/>
      <w:marRight w:val="0"/>
      <w:marTop w:val="0"/>
      <w:marBottom w:val="0"/>
      <w:divBdr>
        <w:top w:val="none" w:sz="0" w:space="0" w:color="auto"/>
        <w:left w:val="none" w:sz="0" w:space="0" w:color="auto"/>
        <w:bottom w:val="none" w:sz="0" w:space="0" w:color="auto"/>
        <w:right w:val="none" w:sz="0" w:space="0" w:color="auto"/>
      </w:divBdr>
    </w:div>
    <w:div w:id="112670761">
      <w:bodyDiv w:val="1"/>
      <w:marLeft w:val="0"/>
      <w:marRight w:val="0"/>
      <w:marTop w:val="0"/>
      <w:marBottom w:val="0"/>
      <w:divBdr>
        <w:top w:val="none" w:sz="0" w:space="0" w:color="auto"/>
        <w:left w:val="none" w:sz="0" w:space="0" w:color="auto"/>
        <w:bottom w:val="none" w:sz="0" w:space="0" w:color="auto"/>
        <w:right w:val="none" w:sz="0" w:space="0" w:color="auto"/>
      </w:divBdr>
    </w:div>
    <w:div w:id="141624202">
      <w:bodyDiv w:val="1"/>
      <w:marLeft w:val="0"/>
      <w:marRight w:val="0"/>
      <w:marTop w:val="0"/>
      <w:marBottom w:val="0"/>
      <w:divBdr>
        <w:top w:val="none" w:sz="0" w:space="0" w:color="auto"/>
        <w:left w:val="none" w:sz="0" w:space="0" w:color="auto"/>
        <w:bottom w:val="none" w:sz="0" w:space="0" w:color="auto"/>
        <w:right w:val="none" w:sz="0" w:space="0" w:color="auto"/>
      </w:divBdr>
    </w:div>
    <w:div w:id="174003883">
      <w:bodyDiv w:val="1"/>
      <w:marLeft w:val="0"/>
      <w:marRight w:val="0"/>
      <w:marTop w:val="0"/>
      <w:marBottom w:val="0"/>
      <w:divBdr>
        <w:top w:val="none" w:sz="0" w:space="0" w:color="auto"/>
        <w:left w:val="none" w:sz="0" w:space="0" w:color="auto"/>
        <w:bottom w:val="none" w:sz="0" w:space="0" w:color="auto"/>
        <w:right w:val="none" w:sz="0" w:space="0" w:color="auto"/>
      </w:divBdr>
    </w:div>
    <w:div w:id="190190362">
      <w:bodyDiv w:val="1"/>
      <w:marLeft w:val="0"/>
      <w:marRight w:val="0"/>
      <w:marTop w:val="0"/>
      <w:marBottom w:val="0"/>
      <w:divBdr>
        <w:top w:val="none" w:sz="0" w:space="0" w:color="auto"/>
        <w:left w:val="none" w:sz="0" w:space="0" w:color="auto"/>
        <w:bottom w:val="none" w:sz="0" w:space="0" w:color="auto"/>
        <w:right w:val="none" w:sz="0" w:space="0" w:color="auto"/>
      </w:divBdr>
    </w:div>
    <w:div w:id="207840459">
      <w:bodyDiv w:val="1"/>
      <w:marLeft w:val="0"/>
      <w:marRight w:val="0"/>
      <w:marTop w:val="0"/>
      <w:marBottom w:val="0"/>
      <w:divBdr>
        <w:top w:val="none" w:sz="0" w:space="0" w:color="auto"/>
        <w:left w:val="none" w:sz="0" w:space="0" w:color="auto"/>
        <w:bottom w:val="none" w:sz="0" w:space="0" w:color="auto"/>
        <w:right w:val="none" w:sz="0" w:space="0" w:color="auto"/>
      </w:divBdr>
    </w:div>
    <w:div w:id="208998097">
      <w:bodyDiv w:val="1"/>
      <w:marLeft w:val="0"/>
      <w:marRight w:val="0"/>
      <w:marTop w:val="0"/>
      <w:marBottom w:val="0"/>
      <w:divBdr>
        <w:top w:val="none" w:sz="0" w:space="0" w:color="auto"/>
        <w:left w:val="none" w:sz="0" w:space="0" w:color="auto"/>
        <w:bottom w:val="none" w:sz="0" w:space="0" w:color="auto"/>
        <w:right w:val="none" w:sz="0" w:space="0" w:color="auto"/>
      </w:divBdr>
    </w:div>
    <w:div w:id="218899899">
      <w:bodyDiv w:val="1"/>
      <w:marLeft w:val="0"/>
      <w:marRight w:val="0"/>
      <w:marTop w:val="0"/>
      <w:marBottom w:val="0"/>
      <w:divBdr>
        <w:top w:val="none" w:sz="0" w:space="0" w:color="auto"/>
        <w:left w:val="none" w:sz="0" w:space="0" w:color="auto"/>
        <w:bottom w:val="none" w:sz="0" w:space="0" w:color="auto"/>
        <w:right w:val="none" w:sz="0" w:space="0" w:color="auto"/>
      </w:divBdr>
    </w:div>
    <w:div w:id="233318626">
      <w:bodyDiv w:val="1"/>
      <w:marLeft w:val="0"/>
      <w:marRight w:val="0"/>
      <w:marTop w:val="0"/>
      <w:marBottom w:val="0"/>
      <w:divBdr>
        <w:top w:val="none" w:sz="0" w:space="0" w:color="auto"/>
        <w:left w:val="none" w:sz="0" w:space="0" w:color="auto"/>
        <w:bottom w:val="none" w:sz="0" w:space="0" w:color="auto"/>
        <w:right w:val="none" w:sz="0" w:space="0" w:color="auto"/>
      </w:divBdr>
    </w:div>
    <w:div w:id="236593099">
      <w:bodyDiv w:val="1"/>
      <w:marLeft w:val="0"/>
      <w:marRight w:val="0"/>
      <w:marTop w:val="0"/>
      <w:marBottom w:val="0"/>
      <w:divBdr>
        <w:top w:val="none" w:sz="0" w:space="0" w:color="auto"/>
        <w:left w:val="none" w:sz="0" w:space="0" w:color="auto"/>
        <w:bottom w:val="none" w:sz="0" w:space="0" w:color="auto"/>
        <w:right w:val="none" w:sz="0" w:space="0" w:color="auto"/>
      </w:divBdr>
    </w:div>
    <w:div w:id="236791642">
      <w:bodyDiv w:val="1"/>
      <w:marLeft w:val="0"/>
      <w:marRight w:val="0"/>
      <w:marTop w:val="0"/>
      <w:marBottom w:val="0"/>
      <w:divBdr>
        <w:top w:val="none" w:sz="0" w:space="0" w:color="auto"/>
        <w:left w:val="none" w:sz="0" w:space="0" w:color="auto"/>
        <w:bottom w:val="none" w:sz="0" w:space="0" w:color="auto"/>
        <w:right w:val="none" w:sz="0" w:space="0" w:color="auto"/>
      </w:divBdr>
    </w:div>
    <w:div w:id="252010678">
      <w:bodyDiv w:val="1"/>
      <w:marLeft w:val="0"/>
      <w:marRight w:val="0"/>
      <w:marTop w:val="0"/>
      <w:marBottom w:val="0"/>
      <w:divBdr>
        <w:top w:val="none" w:sz="0" w:space="0" w:color="auto"/>
        <w:left w:val="none" w:sz="0" w:space="0" w:color="auto"/>
        <w:bottom w:val="none" w:sz="0" w:space="0" w:color="auto"/>
        <w:right w:val="none" w:sz="0" w:space="0" w:color="auto"/>
      </w:divBdr>
    </w:div>
    <w:div w:id="264384810">
      <w:bodyDiv w:val="1"/>
      <w:marLeft w:val="0"/>
      <w:marRight w:val="0"/>
      <w:marTop w:val="0"/>
      <w:marBottom w:val="0"/>
      <w:divBdr>
        <w:top w:val="none" w:sz="0" w:space="0" w:color="auto"/>
        <w:left w:val="none" w:sz="0" w:space="0" w:color="auto"/>
        <w:bottom w:val="none" w:sz="0" w:space="0" w:color="auto"/>
        <w:right w:val="none" w:sz="0" w:space="0" w:color="auto"/>
      </w:divBdr>
      <w:divsChild>
        <w:div w:id="815951890">
          <w:marLeft w:val="0"/>
          <w:marRight w:val="0"/>
          <w:marTop w:val="0"/>
          <w:marBottom w:val="0"/>
          <w:divBdr>
            <w:top w:val="none" w:sz="0" w:space="0" w:color="auto"/>
            <w:left w:val="none" w:sz="0" w:space="0" w:color="auto"/>
            <w:bottom w:val="none" w:sz="0" w:space="0" w:color="auto"/>
            <w:right w:val="none" w:sz="0" w:space="0" w:color="auto"/>
          </w:divBdr>
          <w:divsChild>
            <w:div w:id="1656058662">
              <w:marLeft w:val="0"/>
              <w:marRight w:val="0"/>
              <w:marTop w:val="0"/>
              <w:marBottom w:val="0"/>
              <w:divBdr>
                <w:top w:val="none" w:sz="0" w:space="0" w:color="auto"/>
                <w:left w:val="none" w:sz="0" w:space="0" w:color="auto"/>
                <w:bottom w:val="none" w:sz="0" w:space="0" w:color="auto"/>
                <w:right w:val="none" w:sz="0" w:space="0" w:color="auto"/>
              </w:divBdr>
              <w:divsChild>
                <w:div w:id="514611265">
                  <w:marLeft w:val="0"/>
                  <w:marRight w:val="0"/>
                  <w:marTop w:val="0"/>
                  <w:marBottom w:val="0"/>
                  <w:divBdr>
                    <w:top w:val="none" w:sz="0" w:space="0" w:color="auto"/>
                    <w:left w:val="none" w:sz="0" w:space="0" w:color="auto"/>
                    <w:bottom w:val="none" w:sz="0" w:space="0" w:color="auto"/>
                    <w:right w:val="none" w:sz="0" w:space="0" w:color="auto"/>
                  </w:divBdr>
                  <w:divsChild>
                    <w:div w:id="65109422">
                      <w:marLeft w:val="0"/>
                      <w:marRight w:val="0"/>
                      <w:marTop w:val="0"/>
                      <w:marBottom w:val="0"/>
                      <w:divBdr>
                        <w:top w:val="none" w:sz="0" w:space="0" w:color="auto"/>
                        <w:left w:val="none" w:sz="0" w:space="0" w:color="auto"/>
                        <w:bottom w:val="none" w:sz="0" w:space="0" w:color="auto"/>
                        <w:right w:val="none" w:sz="0" w:space="0" w:color="auto"/>
                      </w:divBdr>
                      <w:divsChild>
                        <w:div w:id="1724938068">
                          <w:marLeft w:val="0"/>
                          <w:marRight w:val="0"/>
                          <w:marTop w:val="0"/>
                          <w:marBottom w:val="0"/>
                          <w:divBdr>
                            <w:top w:val="none" w:sz="0" w:space="0" w:color="auto"/>
                            <w:left w:val="none" w:sz="0" w:space="0" w:color="auto"/>
                            <w:bottom w:val="none" w:sz="0" w:space="0" w:color="auto"/>
                            <w:right w:val="none" w:sz="0" w:space="0" w:color="auto"/>
                          </w:divBdr>
                          <w:divsChild>
                            <w:div w:id="1750810928">
                              <w:marLeft w:val="0"/>
                              <w:marRight w:val="0"/>
                              <w:marTop w:val="0"/>
                              <w:marBottom w:val="0"/>
                              <w:divBdr>
                                <w:top w:val="none" w:sz="0" w:space="0" w:color="auto"/>
                                <w:left w:val="none" w:sz="0" w:space="0" w:color="auto"/>
                                <w:bottom w:val="none" w:sz="0" w:space="0" w:color="auto"/>
                                <w:right w:val="none" w:sz="0" w:space="0" w:color="auto"/>
                              </w:divBdr>
                              <w:divsChild>
                                <w:div w:id="267781403">
                                  <w:marLeft w:val="0"/>
                                  <w:marRight w:val="0"/>
                                  <w:marTop w:val="0"/>
                                  <w:marBottom w:val="0"/>
                                  <w:divBdr>
                                    <w:top w:val="none" w:sz="0" w:space="0" w:color="auto"/>
                                    <w:left w:val="none" w:sz="0" w:space="0" w:color="auto"/>
                                    <w:bottom w:val="none" w:sz="0" w:space="0" w:color="auto"/>
                                    <w:right w:val="none" w:sz="0" w:space="0" w:color="auto"/>
                                  </w:divBdr>
                                  <w:divsChild>
                                    <w:div w:id="80662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1590572">
                      <w:marLeft w:val="0"/>
                      <w:marRight w:val="0"/>
                      <w:marTop w:val="0"/>
                      <w:marBottom w:val="0"/>
                      <w:divBdr>
                        <w:top w:val="none" w:sz="0" w:space="0" w:color="auto"/>
                        <w:left w:val="none" w:sz="0" w:space="0" w:color="auto"/>
                        <w:bottom w:val="none" w:sz="0" w:space="0" w:color="auto"/>
                        <w:right w:val="none" w:sz="0" w:space="0" w:color="auto"/>
                      </w:divBdr>
                      <w:divsChild>
                        <w:div w:id="101977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8216340">
      <w:bodyDiv w:val="1"/>
      <w:marLeft w:val="0"/>
      <w:marRight w:val="0"/>
      <w:marTop w:val="0"/>
      <w:marBottom w:val="0"/>
      <w:divBdr>
        <w:top w:val="none" w:sz="0" w:space="0" w:color="auto"/>
        <w:left w:val="none" w:sz="0" w:space="0" w:color="auto"/>
        <w:bottom w:val="none" w:sz="0" w:space="0" w:color="auto"/>
        <w:right w:val="none" w:sz="0" w:space="0" w:color="auto"/>
      </w:divBdr>
    </w:div>
    <w:div w:id="316613272">
      <w:bodyDiv w:val="1"/>
      <w:marLeft w:val="0"/>
      <w:marRight w:val="0"/>
      <w:marTop w:val="0"/>
      <w:marBottom w:val="0"/>
      <w:divBdr>
        <w:top w:val="none" w:sz="0" w:space="0" w:color="auto"/>
        <w:left w:val="none" w:sz="0" w:space="0" w:color="auto"/>
        <w:bottom w:val="none" w:sz="0" w:space="0" w:color="auto"/>
        <w:right w:val="none" w:sz="0" w:space="0" w:color="auto"/>
      </w:divBdr>
    </w:div>
    <w:div w:id="320158527">
      <w:bodyDiv w:val="1"/>
      <w:marLeft w:val="0"/>
      <w:marRight w:val="0"/>
      <w:marTop w:val="0"/>
      <w:marBottom w:val="0"/>
      <w:divBdr>
        <w:top w:val="none" w:sz="0" w:space="0" w:color="auto"/>
        <w:left w:val="none" w:sz="0" w:space="0" w:color="auto"/>
        <w:bottom w:val="none" w:sz="0" w:space="0" w:color="auto"/>
        <w:right w:val="none" w:sz="0" w:space="0" w:color="auto"/>
      </w:divBdr>
    </w:div>
    <w:div w:id="350570075">
      <w:bodyDiv w:val="1"/>
      <w:marLeft w:val="0"/>
      <w:marRight w:val="0"/>
      <w:marTop w:val="0"/>
      <w:marBottom w:val="0"/>
      <w:divBdr>
        <w:top w:val="none" w:sz="0" w:space="0" w:color="auto"/>
        <w:left w:val="none" w:sz="0" w:space="0" w:color="auto"/>
        <w:bottom w:val="none" w:sz="0" w:space="0" w:color="auto"/>
        <w:right w:val="none" w:sz="0" w:space="0" w:color="auto"/>
      </w:divBdr>
    </w:div>
    <w:div w:id="379088636">
      <w:bodyDiv w:val="1"/>
      <w:marLeft w:val="0"/>
      <w:marRight w:val="0"/>
      <w:marTop w:val="0"/>
      <w:marBottom w:val="0"/>
      <w:divBdr>
        <w:top w:val="none" w:sz="0" w:space="0" w:color="auto"/>
        <w:left w:val="none" w:sz="0" w:space="0" w:color="auto"/>
        <w:bottom w:val="none" w:sz="0" w:space="0" w:color="auto"/>
        <w:right w:val="none" w:sz="0" w:space="0" w:color="auto"/>
      </w:divBdr>
    </w:div>
    <w:div w:id="443962104">
      <w:bodyDiv w:val="1"/>
      <w:marLeft w:val="0"/>
      <w:marRight w:val="0"/>
      <w:marTop w:val="0"/>
      <w:marBottom w:val="0"/>
      <w:divBdr>
        <w:top w:val="none" w:sz="0" w:space="0" w:color="auto"/>
        <w:left w:val="none" w:sz="0" w:space="0" w:color="auto"/>
        <w:bottom w:val="none" w:sz="0" w:space="0" w:color="auto"/>
        <w:right w:val="none" w:sz="0" w:space="0" w:color="auto"/>
      </w:divBdr>
    </w:div>
    <w:div w:id="445152146">
      <w:bodyDiv w:val="1"/>
      <w:marLeft w:val="0"/>
      <w:marRight w:val="0"/>
      <w:marTop w:val="0"/>
      <w:marBottom w:val="0"/>
      <w:divBdr>
        <w:top w:val="none" w:sz="0" w:space="0" w:color="auto"/>
        <w:left w:val="none" w:sz="0" w:space="0" w:color="auto"/>
        <w:bottom w:val="none" w:sz="0" w:space="0" w:color="auto"/>
        <w:right w:val="none" w:sz="0" w:space="0" w:color="auto"/>
      </w:divBdr>
    </w:div>
    <w:div w:id="446975169">
      <w:bodyDiv w:val="1"/>
      <w:marLeft w:val="0"/>
      <w:marRight w:val="0"/>
      <w:marTop w:val="0"/>
      <w:marBottom w:val="0"/>
      <w:divBdr>
        <w:top w:val="none" w:sz="0" w:space="0" w:color="auto"/>
        <w:left w:val="none" w:sz="0" w:space="0" w:color="auto"/>
        <w:bottom w:val="none" w:sz="0" w:space="0" w:color="auto"/>
        <w:right w:val="none" w:sz="0" w:space="0" w:color="auto"/>
      </w:divBdr>
    </w:div>
    <w:div w:id="450782263">
      <w:bodyDiv w:val="1"/>
      <w:marLeft w:val="0"/>
      <w:marRight w:val="0"/>
      <w:marTop w:val="0"/>
      <w:marBottom w:val="0"/>
      <w:divBdr>
        <w:top w:val="none" w:sz="0" w:space="0" w:color="auto"/>
        <w:left w:val="none" w:sz="0" w:space="0" w:color="auto"/>
        <w:bottom w:val="none" w:sz="0" w:space="0" w:color="auto"/>
        <w:right w:val="none" w:sz="0" w:space="0" w:color="auto"/>
      </w:divBdr>
    </w:div>
    <w:div w:id="456293908">
      <w:bodyDiv w:val="1"/>
      <w:marLeft w:val="0"/>
      <w:marRight w:val="0"/>
      <w:marTop w:val="0"/>
      <w:marBottom w:val="0"/>
      <w:divBdr>
        <w:top w:val="none" w:sz="0" w:space="0" w:color="auto"/>
        <w:left w:val="none" w:sz="0" w:space="0" w:color="auto"/>
        <w:bottom w:val="none" w:sz="0" w:space="0" w:color="auto"/>
        <w:right w:val="none" w:sz="0" w:space="0" w:color="auto"/>
      </w:divBdr>
    </w:div>
    <w:div w:id="475726700">
      <w:bodyDiv w:val="1"/>
      <w:marLeft w:val="0"/>
      <w:marRight w:val="0"/>
      <w:marTop w:val="0"/>
      <w:marBottom w:val="0"/>
      <w:divBdr>
        <w:top w:val="none" w:sz="0" w:space="0" w:color="auto"/>
        <w:left w:val="none" w:sz="0" w:space="0" w:color="auto"/>
        <w:bottom w:val="none" w:sz="0" w:space="0" w:color="auto"/>
        <w:right w:val="none" w:sz="0" w:space="0" w:color="auto"/>
      </w:divBdr>
    </w:div>
    <w:div w:id="493759971">
      <w:bodyDiv w:val="1"/>
      <w:marLeft w:val="0"/>
      <w:marRight w:val="0"/>
      <w:marTop w:val="0"/>
      <w:marBottom w:val="0"/>
      <w:divBdr>
        <w:top w:val="none" w:sz="0" w:space="0" w:color="auto"/>
        <w:left w:val="none" w:sz="0" w:space="0" w:color="auto"/>
        <w:bottom w:val="none" w:sz="0" w:space="0" w:color="auto"/>
        <w:right w:val="none" w:sz="0" w:space="0" w:color="auto"/>
      </w:divBdr>
    </w:div>
    <w:div w:id="506676351">
      <w:bodyDiv w:val="1"/>
      <w:marLeft w:val="0"/>
      <w:marRight w:val="0"/>
      <w:marTop w:val="0"/>
      <w:marBottom w:val="0"/>
      <w:divBdr>
        <w:top w:val="none" w:sz="0" w:space="0" w:color="auto"/>
        <w:left w:val="none" w:sz="0" w:space="0" w:color="auto"/>
        <w:bottom w:val="none" w:sz="0" w:space="0" w:color="auto"/>
        <w:right w:val="none" w:sz="0" w:space="0" w:color="auto"/>
      </w:divBdr>
    </w:div>
    <w:div w:id="539784250">
      <w:bodyDiv w:val="1"/>
      <w:marLeft w:val="0"/>
      <w:marRight w:val="0"/>
      <w:marTop w:val="0"/>
      <w:marBottom w:val="0"/>
      <w:divBdr>
        <w:top w:val="none" w:sz="0" w:space="0" w:color="auto"/>
        <w:left w:val="none" w:sz="0" w:space="0" w:color="auto"/>
        <w:bottom w:val="none" w:sz="0" w:space="0" w:color="auto"/>
        <w:right w:val="none" w:sz="0" w:space="0" w:color="auto"/>
      </w:divBdr>
    </w:div>
    <w:div w:id="575479352">
      <w:bodyDiv w:val="1"/>
      <w:marLeft w:val="0"/>
      <w:marRight w:val="0"/>
      <w:marTop w:val="0"/>
      <w:marBottom w:val="0"/>
      <w:divBdr>
        <w:top w:val="none" w:sz="0" w:space="0" w:color="auto"/>
        <w:left w:val="none" w:sz="0" w:space="0" w:color="auto"/>
        <w:bottom w:val="none" w:sz="0" w:space="0" w:color="auto"/>
        <w:right w:val="none" w:sz="0" w:space="0" w:color="auto"/>
      </w:divBdr>
    </w:div>
    <w:div w:id="597062598">
      <w:bodyDiv w:val="1"/>
      <w:marLeft w:val="0"/>
      <w:marRight w:val="0"/>
      <w:marTop w:val="0"/>
      <w:marBottom w:val="0"/>
      <w:divBdr>
        <w:top w:val="none" w:sz="0" w:space="0" w:color="auto"/>
        <w:left w:val="none" w:sz="0" w:space="0" w:color="auto"/>
        <w:bottom w:val="none" w:sz="0" w:space="0" w:color="auto"/>
        <w:right w:val="none" w:sz="0" w:space="0" w:color="auto"/>
      </w:divBdr>
    </w:div>
    <w:div w:id="598372469">
      <w:bodyDiv w:val="1"/>
      <w:marLeft w:val="0"/>
      <w:marRight w:val="0"/>
      <w:marTop w:val="0"/>
      <w:marBottom w:val="0"/>
      <w:divBdr>
        <w:top w:val="none" w:sz="0" w:space="0" w:color="auto"/>
        <w:left w:val="none" w:sz="0" w:space="0" w:color="auto"/>
        <w:bottom w:val="none" w:sz="0" w:space="0" w:color="auto"/>
        <w:right w:val="none" w:sz="0" w:space="0" w:color="auto"/>
      </w:divBdr>
    </w:div>
    <w:div w:id="598877827">
      <w:bodyDiv w:val="1"/>
      <w:marLeft w:val="0"/>
      <w:marRight w:val="0"/>
      <w:marTop w:val="0"/>
      <w:marBottom w:val="0"/>
      <w:divBdr>
        <w:top w:val="none" w:sz="0" w:space="0" w:color="auto"/>
        <w:left w:val="none" w:sz="0" w:space="0" w:color="auto"/>
        <w:bottom w:val="none" w:sz="0" w:space="0" w:color="auto"/>
        <w:right w:val="none" w:sz="0" w:space="0" w:color="auto"/>
      </w:divBdr>
    </w:div>
    <w:div w:id="611743283">
      <w:bodyDiv w:val="1"/>
      <w:marLeft w:val="0"/>
      <w:marRight w:val="0"/>
      <w:marTop w:val="0"/>
      <w:marBottom w:val="0"/>
      <w:divBdr>
        <w:top w:val="none" w:sz="0" w:space="0" w:color="auto"/>
        <w:left w:val="none" w:sz="0" w:space="0" w:color="auto"/>
        <w:bottom w:val="none" w:sz="0" w:space="0" w:color="auto"/>
        <w:right w:val="none" w:sz="0" w:space="0" w:color="auto"/>
      </w:divBdr>
    </w:div>
    <w:div w:id="621495056">
      <w:bodyDiv w:val="1"/>
      <w:marLeft w:val="0"/>
      <w:marRight w:val="0"/>
      <w:marTop w:val="0"/>
      <w:marBottom w:val="0"/>
      <w:divBdr>
        <w:top w:val="none" w:sz="0" w:space="0" w:color="auto"/>
        <w:left w:val="none" w:sz="0" w:space="0" w:color="auto"/>
        <w:bottom w:val="none" w:sz="0" w:space="0" w:color="auto"/>
        <w:right w:val="none" w:sz="0" w:space="0" w:color="auto"/>
      </w:divBdr>
    </w:div>
    <w:div w:id="623535719">
      <w:bodyDiv w:val="1"/>
      <w:marLeft w:val="0"/>
      <w:marRight w:val="0"/>
      <w:marTop w:val="0"/>
      <w:marBottom w:val="0"/>
      <w:divBdr>
        <w:top w:val="none" w:sz="0" w:space="0" w:color="auto"/>
        <w:left w:val="none" w:sz="0" w:space="0" w:color="auto"/>
        <w:bottom w:val="none" w:sz="0" w:space="0" w:color="auto"/>
        <w:right w:val="none" w:sz="0" w:space="0" w:color="auto"/>
      </w:divBdr>
    </w:div>
    <w:div w:id="628975781">
      <w:bodyDiv w:val="1"/>
      <w:marLeft w:val="0"/>
      <w:marRight w:val="0"/>
      <w:marTop w:val="0"/>
      <w:marBottom w:val="0"/>
      <w:divBdr>
        <w:top w:val="none" w:sz="0" w:space="0" w:color="auto"/>
        <w:left w:val="none" w:sz="0" w:space="0" w:color="auto"/>
        <w:bottom w:val="none" w:sz="0" w:space="0" w:color="auto"/>
        <w:right w:val="none" w:sz="0" w:space="0" w:color="auto"/>
      </w:divBdr>
    </w:div>
    <w:div w:id="631060420">
      <w:bodyDiv w:val="1"/>
      <w:marLeft w:val="0"/>
      <w:marRight w:val="0"/>
      <w:marTop w:val="0"/>
      <w:marBottom w:val="0"/>
      <w:divBdr>
        <w:top w:val="none" w:sz="0" w:space="0" w:color="auto"/>
        <w:left w:val="none" w:sz="0" w:space="0" w:color="auto"/>
        <w:bottom w:val="none" w:sz="0" w:space="0" w:color="auto"/>
        <w:right w:val="none" w:sz="0" w:space="0" w:color="auto"/>
      </w:divBdr>
    </w:div>
    <w:div w:id="638532150">
      <w:bodyDiv w:val="1"/>
      <w:marLeft w:val="0"/>
      <w:marRight w:val="0"/>
      <w:marTop w:val="0"/>
      <w:marBottom w:val="0"/>
      <w:divBdr>
        <w:top w:val="none" w:sz="0" w:space="0" w:color="auto"/>
        <w:left w:val="none" w:sz="0" w:space="0" w:color="auto"/>
        <w:bottom w:val="none" w:sz="0" w:space="0" w:color="auto"/>
        <w:right w:val="none" w:sz="0" w:space="0" w:color="auto"/>
      </w:divBdr>
    </w:div>
    <w:div w:id="657198585">
      <w:bodyDiv w:val="1"/>
      <w:marLeft w:val="0"/>
      <w:marRight w:val="0"/>
      <w:marTop w:val="0"/>
      <w:marBottom w:val="0"/>
      <w:divBdr>
        <w:top w:val="none" w:sz="0" w:space="0" w:color="auto"/>
        <w:left w:val="none" w:sz="0" w:space="0" w:color="auto"/>
        <w:bottom w:val="none" w:sz="0" w:space="0" w:color="auto"/>
        <w:right w:val="none" w:sz="0" w:space="0" w:color="auto"/>
      </w:divBdr>
    </w:div>
    <w:div w:id="661349730">
      <w:bodyDiv w:val="1"/>
      <w:marLeft w:val="0"/>
      <w:marRight w:val="0"/>
      <w:marTop w:val="0"/>
      <w:marBottom w:val="0"/>
      <w:divBdr>
        <w:top w:val="none" w:sz="0" w:space="0" w:color="auto"/>
        <w:left w:val="none" w:sz="0" w:space="0" w:color="auto"/>
        <w:bottom w:val="none" w:sz="0" w:space="0" w:color="auto"/>
        <w:right w:val="none" w:sz="0" w:space="0" w:color="auto"/>
      </w:divBdr>
      <w:divsChild>
        <w:div w:id="947663022">
          <w:marLeft w:val="0"/>
          <w:marRight w:val="0"/>
          <w:marTop w:val="0"/>
          <w:marBottom w:val="0"/>
          <w:divBdr>
            <w:top w:val="none" w:sz="0" w:space="0" w:color="auto"/>
            <w:left w:val="none" w:sz="0" w:space="0" w:color="auto"/>
            <w:bottom w:val="none" w:sz="0" w:space="0" w:color="auto"/>
            <w:right w:val="none" w:sz="0" w:space="0" w:color="auto"/>
          </w:divBdr>
          <w:divsChild>
            <w:div w:id="1595088012">
              <w:marLeft w:val="0"/>
              <w:marRight w:val="0"/>
              <w:marTop w:val="0"/>
              <w:marBottom w:val="0"/>
              <w:divBdr>
                <w:top w:val="none" w:sz="0" w:space="0" w:color="auto"/>
                <w:left w:val="none" w:sz="0" w:space="0" w:color="auto"/>
                <w:bottom w:val="none" w:sz="0" w:space="0" w:color="auto"/>
                <w:right w:val="none" w:sz="0" w:space="0" w:color="auto"/>
              </w:divBdr>
              <w:divsChild>
                <w:div w:id="526792363">
                  <w:marLeft w:val="0"/>
                  <w:marRight w:val="0"/>
                  <w:marTop w:val="0"/>
                  <w:marBottom w:val="0"/>
                  <w:divBdr>
                    <w:top w:val="none" w:sz="0" w:space="0" w:color="auto"/>
                    <w:left w:val="none" w:sz="0" w:space="0" w:color="auto"/>
                    <w:bottom w:val="none" w:sz="0" w:space="0" w:color="auto"/>
                    <w:right w:val="none" w:sz="0" w:space="0" w:color="auto"/>
                  </w:divBdr>
                  <w:divsChild>
                    <w:div w:id="1154030398">
                      <w:marLeft w:val="0"/>
                      <w:marRight w:val="0"/>
                      <w:marTop w:val="0"/>
                      <w:marBottom w:val="0"/>
                      <w:divBdr>
                        <w:top w:val="none" w:sz="0" w:space="0" w:color="auto"/>
                        <w:left w:val="none" w:sz="0" w:space="0" w:color="auto"/>
                        <w:bottom w:val="none" w:sz="0" w:space="0" w:color="auto"/>
                        <w:right w:val="none" w:sz="0" w:space="0" w:color="auto"/>
                      </w:divBdr>
                      <w:divsChild>
                        <w:div w:id="1451850846">
                          <w:marLeft w:val="0"/>
                          <w:marRight w:val="0"/>
                          <w:marTop w:val="0"/>
                          <w:marBottom w:val="0"/>
                          <w:divBdr>
                            <w:top w:val="none" w:sz="0" w:space="0" w:color="auto"/>
                            <w:left w:val="none" w:sz="0" w:space="0" w:color="auto"/>
                            <w:bottom w:val="none" w:sz="0" w:space="0" w:color="auto"/>
                            <w:right w:val="none" w:sz="0" w:space="0" w:color="auto"/>
                          </w:divBdr>
                          <w:divsChild>
                            <w:div w:id="78854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2042">
                  <w:marLeft w:val="0"/>
                  <w:marRight w:val="0"/>
                  <w:marTop w:val="0"/>
                  <w:marBottom w:val="0"/>
                  <w:divBdr>
                    <w:top w:val="none" w:sz="0" w:space="0" w:color="auto"/>
                    <w:left w:val="none" w:sz="0" w:space="0" w:color="auto"/>
                    <w:bottom w:val="none" w:sz="0" w:space="0" w:color="auto"/>
                    <w:right w:val="none" w:sz="0" w:space="0" w:color="auto"/>
                  </w:divBdr>
                  <w:divsChild>
                    <w:div w:id="2712571">
                      <w:marLeft w:val="0"/>
                      <w:marRight w:val="0"/>
                      <w:marTop w:val="0"/>
                      <w:marBottom w:val="0"/>
                      <w:divBdr>
                        <w:top w:val="none" w:sz="0" w:space="0" w:color="auto"/>
                        <w:left w:val="none" w:sz="0" w:space="0" w:color="auto"/>
                        <w:bottom w:val="none" w:sz="0" w:space="0" w:color="auto"/>
                        <w:right w:val="none" w:sz="0" w:space="0" w:color="auto"/>
                      </w:divBdr>
                      <w:divsChild>
                        <w:div w:id="252475267">
                          <w:marLeft w:val="0"/>
                          <w:marRight w:val="0"/>
                          <w:marTop w:val="0"/>
                          <w:marBottom w:val="0"/>
                          <w:divBdr>
                            <w:top w:val="none" w:sz="0" w:space="0" w:color="auto"/>
                            <w:left w:val="none" w:sz="0" w:space="0" w:color="auto"/>
                            <w:bottom w:val="none" w:sz="0" w:space="0" w:color="auto"/>
                            <w:right w:val="none" w:sz="0" w:space="0" w:color="auto"/>
                          </w:divBdr>
                          <w:divsChild>
                            <w:div w:id="1065108294">
                              <w:marLeft w:val="0"/>
                              <w:marRight w:val="0"/>
                              <w:marTop w:val="0"/>
                              <w:marBottom w:val="0"/>
                              <w:divBdr>
                                <w:top w:val="none" w:sz="0" w:space="0" w:color="auto"/>
                                <w:left w:val="none" w:sz="0" w:space="0" w:color="auto"/>
                                <w:bottom w:val="none" w:sz="0" w:space="0" w:color="auto"/>
                                <w:right w:val="none" w:sz="0" w:space="0" w:color="auto"/>
                              </w:divBdr>
                              <w:divsChild>
                                <w:div w:id="1842088031">
                                  <w:marLeft w:val="0"/>
                                  <w:marRight w:val="0"/>
                                  <w:marTop w:val="0"/>
                                  <w:marBottom w:val="0"/>
                                  <w:divBdr>
                                    <w:top w:val="none" w:sz="0" w:space="0" w:color="auto"/>
                                    <w:left w:val="none" w:sz="0" w:space="0" w:color="auto"/>
                                    <w:bottom w:val="none" w:sz="0" w:space="0" w:color="auto"/>
                                    <w:right w:val="none" w:sz="0" w:space="0" w:color="auto"/>
                                  </w:divBdr>
                                  <w:divsChild>
                                    <w:div w:id="1758749506">
                                      <w:marLeft w:val="0"/>
                                      <w:marRight w:val="0"/>
                                      <w:marTop w:val="0"/>
                                      <w:marBottom w:val="0"/>
                                      <w:divBdr>
                                        <w:top w:val="none" w:sz="0" w:space="0" w:color="auto"/>
                                        <w:left w:val="none" w:sz="0" w:space="0" w:color="auto"/>
                                        <w:bottom w:val="none" w:sz="0" w:space="0" w:color="auto"/>
                                        <w:right w:val="none" w:sz="0" w:space="0" w:color="auto"/>
                                      </w:divBdr>
                                    </w:div>
                                  </w:divsChild>
                                </w:div>
                                <w:div w:id="1950621444">
                                  <w:marLeft w:val="0"/>
                                  <w:marRight w:val="0"/>
                                  <w:marTop w:val="0"/>
                                  <w:marBottom w:val="0"/>
                                  <w:divBdr>
                                    <w:top w:val="none" w:sz="0" w:space="0" w:color="auto"/>
                                    <w:left w:val="none" w:sz="0" w:space="0" w:color="auto"/>
                                    <w:bottom w:val="none" w:sz="0" w:space="0" w:color="auto"/>
                                    <w:right w:val="none" w:sz="0" w:space="0" w:color="auto"/>
                                  </w:divBdr>
                                  <w:divsChild>
                                    <w:div w:id="861167762">
                                      <w:marLeft w:val="0"/>
                                      <w:marRight w:val="0"/>
                                      <w:marTop w:val="0"/>
                                      <w:marBottom w:val="0"/>
                                      <w:divBdr>
                                        <w:top w:val="none" w:sz="0" w:space="0" w:color="auto"/>
                                        <w:left w:val="none" w:sz="0" w:space="0" w:color="auto"/>
                                        <w:bottom w:val="none" w:sz="0" w:space="0" w:color="auto"/>
                                        <w:right w:val="none" w:sz="0" w:space="0" w:color="auto"/>
                                      </w:divBdr>
                                    </w:div>
                                  </w:divsChild>
                                </w:div>
                                <w:div w:id="772675127">
                                  <w:marLeft w:val="0"/>
                                  <w:marRight w:val="0"/>
                                  <w:marTop w:val="0"/>
                                  <w:marBottom w:val="0"/>
                                  <w:divBdr>
                                    <w:top w:val="none" w:sz="0" w:space="0" w:color="auto"/>
                                    <w:left w:val="none" w:sz="0" w:space="0" w:color="auto"/>
                                    <w:bottom w:val="none" w:sz="0" w:space="0" w:color="auto"/>
                                    <w:right w:val="none" w:sz="0" w:space="0" w:color="auto"/>
                                  </w:divBdr>
                                  <w:divsChild>
                                    <w:div w:id="203803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26413">
                  <w:marLeft w:val="0"/>
                  <w:marRight w:val="0"/>
                  <w:marTop w:val="0"/>
                  <w:marBottom w:val="0"/>
                  <w:divBdr>
                    <w:top w:val="none" w:sz="0" w:space="0" w:color="auto"/>
                    <w:left w:val="none" w:sz="0" w:space="0" w:color="auto"/>
                    <w:bottom w:val="none" w:sz="0" w:space="0" w:color="auto"/>
                    <w:right w:val="none" w:sz="0" w:space="0" w:color="auto"/>
                  </w:divBdr>
                  <w:divsChild>
                    <w:div w:id="166562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402261">
      <w:bodyDiv w:val="1"/>
      <w:marLeft w:val="0"/>
      <w:marRight w:val="0"/>
      <w:marTop w:val="0"/>
      <w:marBottom w:val="0"/>
      <w:divBdr>
        <w:top w:val="none" w:sz="0" w:space="0" w:color="auto"/>
        <w:left w:val="none" w:sz="0" w:space="0" w:color="auto"/>
        <w:bottom w:val="none" w:sz="0" w:space="0" w:color="auto"/>
        <w:right w:val="none" w:sz="0" w:space="0" w:color="auto"/>
      </w:divBdr>
    </w:div>
    <w:div w:id="704447094">
      <w:bodyDiv w:val="1"/>
      <w:marLeft w:val="0"/>
      <w:marRight w:val="0"/>
      <w:marTop w:val="0"/>
      <w:marBottom w:val="0"/>
      <w:divBdr>
        <w:top w:val="none" w:sz="0" w:space="0" w:color="auto"/>
        <w:left w:val="none" w:sz="0" w:space="0" w:color="auto"/>
        <w:bottom w:val="none" w:sz="0" w:space="0" w:color="auto"/>
        <w:right w:val="none" w:sz="0" w:space="0" w:color="auto"/>
      </w:divBdr>
    </w:div>
    <w:div w:id="716858641">
      <w:bodyDiv w:val="1"/>
      <w:marLeft w:val="0"/>
      <w:marRight w:val="0"/>
      <w:marTop w:val="0"/>
      <w:marBottom w:val="0"/>
      <w:divBdr>
        <w:top w:val="none" w:sz="0" w:space="0" w:color="auto"/>
        <w:left w:val="none" w:sz="0" w:space="0" w:color="auto"/>
        <w:bottom w:val="none" w:sz="0" w:space="0" w:color="auto"/>
        <w:right w:val="none" w:sz="0" w:space="0" w:color="auto"/>
      </w:divBdr>
    </w:div>
    <w:div w:id="727143099">
      <w:bodyDiv w:val="1"/>
      <w:marLeft w:val="0"/>
      <w:marRight w:val="0"/>
      <w:marTop w:val="0"/>
      <w:marBottom w:val="0"/>
      <w:divBdr>
        <w:top w:val="none" w:sz="0" w:space="0" w:color="auto"/>
        <w:left w:val="none" w:sz="0" w:space="0" w:color="auto"/>
        <w:bottom w:val="none" w:sz="0" w:space="0" w:color="auto"/>
        <w:right w:val="none" w:sz="0" w:space="0" w:color="auto"/>
      </w:divBdr>
    </w:div>
    <w:div w:id="731346836">
      <w:bodyDiv w:val="1"/>
      <w:marLeft w:val="0"/>
      <w:marRight w:val="0"/>
      <w:marTop w:val="0"/>
      <w:marBottom w:val="0"/>
      <w:divBdr>
        <w:top w:val="none" w:sz="0" w:space="0" w:color="auto"/>
        <w:left w:val="none" w:sz="0" w:space="0" w:color="auto"/>
        <w:bottom w:val="none" w:sz="0" w:space="0" w:color="auto"/>
        <w:right w:val="none" w:sz="0" w:space="0" w:color="auto"/>
      </w:divBdr>
    </w:div>
    <w:div w:id="744377622">
      <w:bodyDiv w:val="1"/>
      <w:marLeft w:val="0"/>
      <w:marRight w:val="0"/>
      <w:marTop w:val="0"/>
      <w:marBottom w:val="0"/>
      <w:divBdr>
        <w:top w:val="none" w:sz="0" w:space="0" w:color="auto"/>
        <w:left w:val="none" w:sz="0" w:space="0" w:color="auto"/>
        <w:bottom w:val="none" w:sz="0" w:space="0" w:color="auto"/>
        <w:right w:val="none" w:sz="0" w:space="0" w:color="auto"/>
      </w:divBdr>
    </w:div>
    <w:div w:id="753822225">
      <w:bodyDiv w:val="1"/>
      <w:marLeft w:val="0"/>
      <w:marRight w:val="0"/>
      <w:marTop w:val="0"/>
      <w:marBottom w:val="0"/>
      <w:divBdr>
        <w:top w:val="none" w:sz="0" w:space="0" w:color="auto"/>
        <w:left w:val="none" w:sz="0" w:space="0" w:color="auto"/>
        <w:bottom w:val="none" w:sz="0" w:space="0" w:color="auto"/>
        <w:right w:val="none" w:sz="0" w:space="0" w:color="auto"/>
      </w:divBdr>
    </w:div>
    <w:div w:id="770008699">
      <w:bodyDiv w:val="1"/>
      <w:marLeft w:val="0"/>
      <w:marRight w:val="0"/>
      <w:marTop w:val="0"/>
      <w:marBottom w:val="0"/>
      <w:divBdr>
        <w:top w:val="none" w:sz="0" w:space="0" w:color="auto"/>
        <w:left w:val="none" w:sz="0" w:space="0" w:color="auto"/>
        <w:bottom w:val="none" w:sz="0" w:space="0" w:color="auto"/>
        <w:right w:val="none" w:sz="0" w:space="0" w:color="auto"/>
      </w:divBdr>
    </w:div>
    <w:div w:id="783112265">
      <w:bodyDiv w:val="1"/>
      <w:marLeft w:val="0"/>
      <w:marRight w:val="0"/>
      <w:marTop w:val="0"/>
      <w:marBottom w:val="0"/>
      <w:divBdr>
        <w:top w:val="none" w:sz="0" w:space="0" w:color="auto"/>
        <w:left w:val="none" w:sz="0" w:space="0" w:color="auto"/>
        <w:bottom w:val="none" w:sz="0" w:space="0" w:color="auto"/>
        <w:right w:val="none" w:sz="0" w:space="0" w:color="auto"/>
      </w:divBdr>
    </w:div>
    <w:div w:id="813329107">
      <w:bodyDiv w:val="1"/>
      <w:marLeft w:val="0"/>
      <w:marRight w:val="0"/>
      <w:marTop w:val="0"/>
      <w:marBottom w:val="0"/>
      <w:divBdr>
        <w:top w:val="none" w:sz="0" w:space="0" w:color="auto"/>
        <w:left w:val="none" w:sz="0" w:space="0" w:color="auto"/>
        <w:bottom w:val="none" w:sz="0" w:space="0" w:color="auto"/>
        <w:right w:val="none" w:sz="0" w:space="0" w:color="auto"/>
      </w:divBdr>
    </w:div>
    <w:div w:id="882986978">
      <w:bodyDiv w:val="1"/>
      <w:marLeft w:val="0"/>
      <w:marRight w:val="0"/>
      <w:marTop w:val="0"/>
      <w:marBottom w:val="0"/>
      <w:divBdr>
        <w:top w:val="none" w:sz="0" w:space="0" w:color="auto"/>
        <w:left w:val="none" w:sz="0" w:space="0" w:color="auto"/>
        <w:bottom w:val="none" w:sz="0" w:space="0" w:color="auto"/>
        <w:right w:val="none" w:sz="0" w:space="0" w:color="auto"/>
      </w:divBdr>
    </w:div>
    <w:div w:id="892541590">
      <w:bodyDiv w:val="1"/>
      <w:marLeft w:val="0"/>
      <w:marRight w:val="0"/>
      <w:marTop w:val="0"/>
      <w:marBottom w:val="0"/>
      <w:divBdr>
        <w:top w:val="none" w:sz="0" w:space="0" w:color="auto"/>
        <w:left w:val="none" w:sz="0" w:space="0" w:color="auto"/>
        <w:bottom w:val="none" w:sz="0" w:space="0" w:color="auto"/>
        <w:right w:val="none" w:sz="0" w:space="0" w:color="auto"/>
      </w:divBdr>
    </w:div>
    <w:div w:id="899436045">
      <w:bodyDiv w:val="1"/>
      <w:marLeft w:val="0"/>
      <w:marRight w:val="0"/>
      <w:marTop w:val="0"/>
      <w:marBottom w:val="0"/>
      <w:divBdr>
        <w:top w:val="none" w:sz="0" w:space="0" w:color="auto"/>
        <w:left w:val="none" w:sz="0" w:space="0" w:color="auto"/>
        <w:bottom w:val="none" w:sz="0" w:space="0" w:color="auto"/>
        <w:right w:val="none" w:sz="0" w:space="0" w:color="auto"/>
      </w:divBdr>
    </w:div>
    <w:div w:id="909585391">
      <w:bodyDiv w:val="1"/>
      <w:marLeft w:val="0"/>
      <w:marRight w:val="0"/>
      <w:marTop w:val="0"/>
      <w:marBottom w:val="0"/>
      <w:divBdr>
        <w:top w:val="none" w:sz="0" w:space="0" w:color="auto"/>
        <w:left w:val="none" w:sz="0" w:space="0" w:color="auto"/>
        <w:bottom w:val="none" w:sz="0" w:space="0" w:color="auto"/>
        <w:right w:val="none" w:sz="0" w:space="0" w:color="auto"/>
      </w:divBdr>
    </w:div>
    <w:div w:id="940643467">
      <w:bodyDiv w:val="1"/>
      <w:marLeft w:val="0"/>
      <w:marRight w:val="0"/>
      <w:marTop w:val="0"/>
      <w:marBottom w:val="0"/>
      <w:divBdr>
        <w:top w:val="none" w:sz="0" w:space="0" w:color="auto"/>
        <w:left w:val="none" w:sz="0" w:space="0" w:color="auto"/>
        <w:bottom w:val="none" w:sz="0" w:space="0" w:color="auto"/>
        <w:right w:val="none" w:sz="0" w:space="0" w:color="auto"/>
      </w:divBdr>
    </w:div>
    <w:div w:id="943000407">
      <w:bodyDiv w:val="1"/>
      <w:marLeft w:val="0"/>
      <w:marRight w:val="0"/>
      <w:marTop w:val="0"/>
      <w:marBottom w:val="0"/>
      <w:divBdr>
        <w:top w:val="none" w:sz="0" w:space="0" w:color="auto"/>
        <w:left w:val="none" w:sz="0" w:space="0" w:color="auto"/>
        <w:bottom w:val="none" w:sz="0" w:space="0" w:color="auto"/>
        <w:right w:val="none" w:sz="0" w:space="0" w:color="auto"/>
      </w:divBdr>
    </w:div>
    <w:div w:id="943343738">
      <w:bodyDiv w:val="1"/>
      <w:marLeft w:val="0"/>
      <w:marRight w:val="0"/>
      <w:marTop w:val="0"/>
      <w:marBottom w:val="0"/>
      <w:divBdr>
        <w:top w:val="none" w:sz="0" w:space="0" w:color="auto"/>
        <w:left w:val="none" w:sz="0" w:space="0" w:color="auto"/>
        <w:bottom w:val="none" w:sz="0" w:space="0" w:color="auto"/>
        <w:right w:val="none" w:sz="0" w:space="0" w:color="auto"/>
      </w:divBdr>
    </w:div>
    <w:div w:id="943877202">
      <w:bodyDiv w:val="1"/>
      <w:marLeft w:val="0"/>
      <w:marRight w:val="0"/>
      <w:marTop w:val="0"/>
      <w:marBottom w:val="0"/>
      <w:divBdr>
        <w:top w:val="none" w:sz="0" w:space="0" w:color="auto"/>
        <w:left w:val="none" w:sz="0" w:space="0" w:color="auto"/>
        <w:bottom w:val="none" w:sz="0" w:space="0" w:color="auto"/>
        <w:right w:val="none" w:sz="0" w:space="0" w:color="auto"/>
      </w:divBdr>
    </w:div>
    <w:div w:id="994452436">
      <w:bodyDiv w:val="1"/>
      <w:marLeft w:val="0"/>
      <w:marRight w:val="0"/>
      <w:marTop w:val="0"/>
      <w:marBottom w:val="0"/>
      <w:divBdr>
        <w:top w:val="none" w:sz="0" w:space="0" w:color="auto"/>
        <w:left w:val="none" w:sz="0" w:space="0" w:color="auto"/>
        <w:bottom w:val="none" w:sz="0" w:space="0" w:color="auto"/>
        <w:right w:val="none" w:sz="0" w:space="0" w:color="auto"/>
      </w:divBdr>
    </w:div>
    <w:div w:id="1003750340">
      <w:bodyDiv w:val="1"/>
      <w:marLeft w:val="0"/>
      <w:marRight w:val="0"/>
      <w:marTop w:val="0"/>
      <w:marBottom w:val="0"/>
      <w:divBdr>
        <w:top w:val="none" w:sz="0" w:space="0" w:color="auto"/>
        <w:left w:val="none" w:sz="0" w:space="0" w:color="auto"/>
        <w:bottom w:val="none" w:sz="0" w:space="0" w:color="auto"/>
        <w:right w:val="none" w:sz="0" w:space="0" w:color="auto"/>
      </w:divBdr>
    </w:div>
    <w:div w:id="1005473897">
      <w:bodyDiv w:val="1"/>
      <w:marLeft w:val="0"/>
      <w:marRight w:val="0"/>
      <w:marTop w:val="0"/>
      <w:marBottom w:val="0"/>
      <w:divBdr>
        <w:top w:val="none" w:sz="0" w:space="0" w:color="auto"/>
        <w:left w:val="none" w:sz="0" w:space="0" w:color="auto"/>
        <w:bottom w:val="none" w:sz="0" w:space="0" w:color="auto"/>
        <w:right w:val="none" w:sz="0" w:space="0" w:color="auto"/>
      </w:divBdr>
    </w:div>
    <w:div w:id="1019818197">
      <w:bodyDiv w:val="1"/>
      <w:marLeft w:val="0"/>
      <w:marRight w:val="0"/>
      <w:marTop w:val="0"/>
      <w:marBottom w:val="0"/>
      <w:divBdr>
        <w:top w:val="none" w:sz="0" w:space="0" w:color="auto"/>
        <w:left w:val="none" w:sz="0" w:space="0" w:color="auto"/>
        <w:bottom w:val="none" w:sz="0" w:space="0" w:color="auto"/>
        <w:right w:val="none" w:sz="0" w:space="0" w:color="auto"/>
      </w:divBdr>
    </w:div>
    <w:div w:id="1024675385">
      <w:bodyDiv w:val="1"/>
      <w:marLeft w:val="0"/>
      <w:marRight w:val="0"/>
      <w:marTop w:val="0"/>
      <w:marBottom w:val="0"/>
      <w:divBdr>
        <w:top w:val="none" w:sz="0" w:space="0" w:color="auto"/>
        <w:left w:val="none" w:sz="0" w:space="0" w:color="auto"/>
        <w:bottom w:val="none" w:sz="0" w:space="0" w:color="auto"/>
        <w:right w:val="none" w:sz="0" w:space="0" w:color="auto"/>
      </w:divBdr>
    </w:div>
    <w:div w:id="1028337385">
      <w:bodyDiv w:val="1"/>
      <w:marLeft w:val="0"/>
      <w:marRight w:val="0"/>
      <w:marTop w:val="0"/>
      <w:marBottom w:val="0"/>
      <w:divBdr>
        <w:top w:val="none" w:sz="0" w:space="0" w:color="auto"/>
        <w:left w:val="none" w:sz="0" w:space="0" w:color="auto"/>
        <w:bottom w:val="none" w:sz="0" w:space="0" w:color="auto"/>
        <w:right w:val="none" w:sz="0" w:space="0" w:color="auto"/>
      </w:divBdr>
    </w:div>
    <w:div w:id="1032733002">
      <w:bodyDiv w:val="1"/>
      <w:marLeft w:val="0"/>
      <w:marRight w:val="0"/>
      <w:marTop w:val="0"/>
      <w:marBottom w:val="0"/>
      <w:divBdr>
        <w:top w:val="none" w:sz="0" w:space="0" w:color="auto"/>
        <w:left w:val="none" w:sz="0" w:space="0" w:color="auto"/>
        <w:bottom w:val="none" w:sz="0" w:space="0" w:color="auto"/>
        <w:right w:val="none" w:sz="0" w:space="0" w:color="auto"/>
      </w:divBdr>
    </w:div>
    <w:div w:id="1058355115">
      <w:bodyDiv w:val="1"/>
      <w:marLeft w:val="0"/>
      <w:marRight w:val="0"/>
      <w:marTop w:val="0"/>
      <w:marBottom w:val="0"/>
      <w:divBdr>
        <w:top w:val="none" w:sz="0" w:space="0" w:color="auto"/>
        <w:left w:val="none" w:sz="0" w:space="0" w:color="auto"/>
        <w:bottom w:val="none" w:sz="0" w:space="0" w:color="auto"/>
        <w:right w:val="none" w:sz="0" w:space="0" w:color="auto"/>
      </w:divBdr>
    </w:div>
    <w:div w:id="1059934326">
      <w:bodyDiv w:val="1"/>
      <w:marLeft w:val="0"/>
      <w:marRight w:val="0"/>
      <w:marTop w:val="0"/>
      <w:marBottom w:val="0"/>
      <w:divBdr>
        <w:top w:val="none" w:sz="0" w:space="0" w:color="auto"/>
        <w:left w:val="none" w:sz="0" w:space="0" w:color="auto"/>
        <w:bottom w:val="none" w:sz="0" w:space="0" w:color="auto"/>
        <w:right w:val="none" w:sz="0" w:space="0" w:color="auto"/>
      </w:divBdr>
    </w:div>
    <w:div w:id="1065638468">
      <w:bodyDiv w:val="1"/>
      <w:marLeft w:val="0"/>
      <w:marRight w:val="0"/>
      <w:marTop w:val="0"/>
      <w:marBottom w:val="0"/>
      <w:divBdr>
        <w:top w:val="none" w:sz="0" w:space="0" w:color="auto"/>
        <w:left w:val="none" w:sz="0" w:space="0" w:color="auto"/>
        <w:bottom w:val="none" w:sz="0" w:space="0" w:color="auto"/>
        <w:right w:val="none" w:sz="0" w:space="0" w:color="auto"/>
      </w:divBdr>
    </w:div>
    <w:div w:id="1071082917">
      <w:bodyDiv w:val="1"/>
      <w:marLeft w:val="0"/>
      <w:marRight w:val="0"/>
      <w:marTop w:val="0"/>
      <w:marBottom w:val="0"/>
      <w:divBdr>
        <w:top w:val="none" w:sz="0" w:space="0" w:color="auto"/>
        <w:left w:val="none" w:sz="0" w:space="0" w:color="auto"/>
        <w:bottom w:val="none" w:sz="0" w:space="0" w:color="auto"/>
        <w:right w:val="none" w:sz="0" w:space="0" w:color="auto"/>
      </w:divBdr>
    </w:div>
    <w:div w:id="1098989164">
      <w:bodyDiv w:val="1"/>
      <w:marLeft w:val="0"/>
      <w:marRight w:val="0"/>
      <w:marTop w:val="0"/>
      <w:marBottom w:val="0"/>
      <w:divBdr>
        <w:top w:val="none" w:sz="0" w:space="0" w:color="auto"/>
        <w:left w:val="none" w:sz="0" w:space="0" w:color="auto"/>
        <w:bottom w:val="none" w:sz="0" w:space="0" w:color="auto"/>
        <w:right w:val="none" w:sz="0" w:space="0" w:color="auto"/>
      </w:divBdr>
    </w:div>
    <w:div w:id="1102266959">
      <w:bodyDiv w:val="1"/>
      <w:marLeft w:val="0"/>
      <w:marRight w:val="0"/>
      <w:marTop w:val="0"/>
      <w:marBottom w:val="0"/>
      <w:divBdr>
        <w:top w:val="none" w:sz="0" w:space="0" w:color="auto"/>
        <w:left w:val="none" w:sz="0" w:space="0" w:color="auto"/>
        <w:bottom w:val="none" w:sz="0" w:space="0" w:color="auto"/>
        <w:right w:val="none" w:sz="0" w:space="0" w:color="auto"/>
      </w:divBdr>
    </w:div>
    <w:div w:id="1138959739">
      <w:bodyDiv w:val="1"/>
      <w:marLeft w:val="0"/>
      <w:marRight w:val="0"/>
      <w:marTop w:val="0"/>
      <w:marBottom w:val="0"/>
      <w:divBdr>
        <w:top w:val="none" w:sz="0" w:space="0" w:color="auto"/>
        <w:left w:val="none" w:sz="0" w:space="0" w:color="auto"/>
        <w:bottom w:val="none" w:sz="0" w:space="0" w:color="auto"/>
        <w:right w:val="none" w:sz="0" w:space="0" w:color="auto"/>
      </w:divBdr>
    </w:div>
    <w:div w:id="1169252839">
      <w:bodyDiv w:val="1"/>
      <w:marLeft w:val="0"/>
      <w:marRight w:val="0"/>
      <w:marTop w:val="0"/>
      <w:marBottom w:val="0"/>
      <w:divBdr>
        <w:top w:val="none" w:sz="0" w:space="0" w:color="auto"/>
        <w:left w:val="none" w:sz="0" w:space="0" w:color="auto"/>
        <w:bottom w:val="none" w:sz="0" w:space="0" w:color="auto"/>
        <w:right w:val="none" w:sz="0" w:space="0" w:color="auto"/>
      </w:divBdr>
    </w:div>
    <w:div w:id="1189223911">
      <w:bodyDiv w:val="1"/>
      <w:marLeft w:val="0"/>
      <w:marRight w:val="0"/>
      <w:marTop w:val="0"/>
      <w:marBottom w:val="0"/>
      <w:divBdr>
        <w:top w:val="none" w:sz="0" w:space="0" w:color="auto"/>
        <w:left w:val="none" w:sz="0" w:space="0" w:color="auto"/>
        <w:bottom w:val="none" w:sz="0" w:space="0" w:color="auto"/>
        <w:right w:val="none" w:sz="0" w:space="0" w:color="auto"/>
      </w:divBdr>
    </w:div>
    <w:div w:id="1211455923">
      <w:bodyDiv w:val="1"/>
      <w:marLeft w:val="0"/>
      <w:marRight w:val="0"/>
      <w:marTop w:val="0"/>
      <w:marBottom w:val="0"/>
      <w:divBdr>
        <w:top w:val="none" w:sz="0" w:space="0" w:color="auto"/>
        <w:left w:val="none" w:sz="0" w:space="0" w:color="auto"/>
        <w:bottom w:val="none" w:sz="0" w:space="0" w:color="auto"/>
        <w:right w:val="none" w:sz="0" w:space="0" w:color="auto"/>
      </w:divBdr>
    </w:div>
    <w:div w:id="1218471694">
      <w:bodyDiv w:val="1"/>
      <w:marLeft w:val="0"/>
      <w:marRight w:val="0"/>
      <w:marTop w:val="0"/>
      <w:marBottom w:val="0"/>
      <w:divBdr>
        <w:top w:val="none" w:sz="0" w:space="0" w:color="auto"/>
        <w:left w:val="none" w:sz="0" w:space="0" w:color="auto"/>
        <w:bottom w:val="none" w:sz="0" w:space="0" w:color="auto"/>
        <w:right w:val="none" w:sz="0" w:space="0" w:color="auto"/>
      </w:divBdr>
    </w:div>
    <w:div w:id="1264992398">
      <w:bodyDiv w:val="1"/>
      <w:marLeft w:val="0"/>
      <w:marRight w:val="0"/>
      <w:marTop w:val="0"/>
      <w:marBottom w:val="0"/>
      <w:divBdr>
        <w:top w:val="none" w:sz="0" w:space="0" w:color="auto"/>
        <w:left w:val="none" w:sz="0" w:space="0" w:color="auto"/>
        <w:bottom w:val="none" w:sz="0" w:space="0" w:color="auto"/>
        <w:right w:val="none" w:sz="0" w:space="0" w:color="auto"/>
      </w:divBdr>
    </w:div>
    <w:div w:id="1280333511">
      <w:bodyDiv w:val="1"/>
      <w:marLeft w:val="0"/>
      <w:marRight w:val="0"/>
      <w:marTop w:val="0"/>
      <w:marBottom w:val="0"/>
      <w:divBdr>
        <w:top w:val="none" w:sz="0" w:space="0" w:color="auto"/>
        <w:left w:val="none" w:sz="0" w:space="0" w:color="auto"/>
        <w:bottom w:val="none" w:sz="0" w:space="0" w:color="auto"/>
        <w:right w:val="none" w:sz="0" w:space="0" w:color="auto"/>
      </w:divBdr>
    </w:div>
    <w:div w:id="1297491411">
      <w:bodyDiv w:val="1"/>
      <w:marLeft w:val="0"/>
      <w:marRight w:val="0"/>
      <w:marTop w:val="0"/>
      <w:marBottom w:val="0"/>
      <w:divBdr>
        <w:top w:val="none" w:sz="0" w:space="0" w:color="auto"/>
        <w:left w:val="none" w:sz="0" w:space="0" w:color="auto"/>
        <w:bottom w:val="none" w:sz="0" w:space="0" w:color="auto"/>
        <w:right w:val="none" w:sz="0" w:space="0" w:color="auto"/>
      </w:divBdr>
    </w:div>
    <w:div w:id="1308896544">
      <w:bodyDiv w:val="1"/>
      <w:marLeft w:val="0"/>
      <w:marRight w:val="0"/>
      <w:marTop w:val="0"/>
      <w:marBottom w:val="0"/>
      <w:divBdr>
        <w:top w:val="none" w:sz="0" w:space="0" w:color="auto"/>
        <w:left w:val="none" w:sz="0" w:space="0" w:color="auto"/>
        <w:bottom w:val="none" w:sz="0" w:space="0" w:color="auto"/>
        <w:right w:val="none" w:sz="0" w:space="0" w:color="auto"/>
      </w:divBdr>
    </w:div>
    <w:div w:id="1314023303">
      <w:bodyDiv w:val="1"/>
      <w:marLeft w:val="0"/>
      <w:marRight w:val="0"/>
      <w:marTop w:val="0"/>
      <w:marBottom w:val="0"/>
      <w:divBdr>
        <w:top w:val="none" w:sz="0" w:space="0" w:color="auto"/>
        <w:left w:val="none" w:sz="0" w:space="0" w:color="auto"/>
        <w:bottom w:val="none" w:sz="0" w:space="0" w:color="auto"/>
        <w:right w:val="none" w:sz="0" w:space="0" w:color="auto"/>
      </w:divBdr>
    </w:div>
    <w:div w:id="1327828046">
      <w:bodyDiv w:val="1"/>
      <w:marLeft w:val="0"/>
      <w:marRight w:val="0"/>
      <w:marTop w:val="0"/>
      <w:marBottom w:val="0"/>
      <w:divBdr>
        <w:top w:val="none" w:sz="0" w:space="0" w:color="auto"/>
        <w:left w:val="none" w:sz="0" w:space="0" w:color="auto"/>
        <w:bottom w:val="none" w:sz="0" w:space="0" w:color="auto"/>
        <w:right w:val="none" w:sz="0" w:space="0" w:color="auto"/>
      </w:divBdr>
    </w:div>
    <w:div w:id="1337659880">
      <w:bodyDiv w:val="1"/>
      <w:marLeft w:val="0"/>
      <w:marRight w:val="0"/>
      <w:marTop w:val="0"/>
      <w:marBottom w:val="0"/>
      <w:divBdr>
        <w:top w:val="none" w:sz="0" w:space="0" w:color="auto"/>
        <w:left w:val="none" w:sz="0" w:space="0" w:color="auto"/>
        <w:bottom w:val="none" w:sz="0" w:space="0" w:color="auto"/>
        <w:right w:val="none" w:sz="0" w:space="0" w:color="auto"/>
      </w:divBdr>
    </w:div>
    <w:div w:id="1404139868">
      <w:bodyDiv w:val="1"/>
      <w:marLeft w:val="0"/>
      <w:marRight w:val="0"/>
      <w:marTop w:val="0"/>
      <w:marBottom w:val="0"/>
      <w:divBdr>
        <w:top w:val="none" w:sz="0" w:space="0" w:color="auto"/>
        <w:left w:val="none" w:sz="0" w:space="0" w:color="auto"/>
        <w:bottom w:val="none" w:sz="0" w:space="0" w:color="auto"/>
        <w:right w:val="none" w:sz="0" w:space="0" w:color="auto"/>
      </w:divBdr>
    </w:div>
    <w:div w:id="1409956999">
      <w:bodyDiv w:val="1"/>
      <w:marLeft w:val="0"/>
      <w:marRight w:val="0"/>
      <w:marTop w:val="0"/>
      <w:marBottom w:val="0"/>
      <w:divBdr>
        <w:top w:val="none" w:sz="0" w:space="0" w:color="auto"/>
        <w:left w:val="none" w:sz="0" w:space="0" w:color="auto"/>
        <w:bottom w:val="none" w:sz="0" w:space="0" w:color="auto"/>
        <w:right w:val="none" w:sz="0" w:space="0" w:color="auto"/>
      </w:divBdr>
    </w:div>
    <w:div w:id="1423600791">
      <w:bodyDiv w:val="1"/>
      <w:marLeft w:val="0"/>
      <w:marRight w:val="0"/>
      <w:marTop w:val="0"/>
      <w:marBottom w:val="0"/>
      <w:divBdr>
        <w:top w:val="none" w:sz="0" w:space="0" w:color="auto"/>
        <w:left w:val="none" w:sz="0" w:space="0" w:color="auto"/>
        <w:bottom w:val="none" w:sz="0" w:space="0" w:color="auto"/>
        <w:right w:val="none" w:sz="0" w:space="0" w:color="auto"/>
      </w:divBdr>
    </w:div>
    <w:div w:id="1434741275">
      <w:bodyDiv w:val="1"/>
      <w:marLeft w:val="0"/>
      <w:marRight w:val="0"/>
      <w:marTop w:val="0"/>
      <w:marBottom w:val="0"/>
      <w:divBdr>
        <w:top w:val="none" w:sz="0" w:space="0" w:color="auto"/>
        <w:left w:val="none" w:sz="0" w:space="0" w:color="auto"/>
        <w:bottom w:val="none" w:sz="0" w:space="0" w:color="auto"/>
        <w:right w:val="none" w:sz="0" w:space="0" w:color="auto"/>
      </w:divBdr>
    </w:div>
    <w:div w:id="1448739823">
      <w:bodyDiv w:val="1"/>
      <w:marLeft w:val="0"/>
      <w:marRight w:val="0"/>
      <w:marTop w:val="0"/>
      <w:marBottom w:val="0"/>
      <w:divBdr>
        <w:top w:val="none" w:sz="0" w:space="0" w:color="auto"/>
        <w:left w:val="none" w:sz="0" w:space="0" w:color="auto"/>
        <w:bottom w:val="none" w:sz="0" w:space="0" w:color="auto"/>
        <w:right w:val="none" w:sz="0" w:space="0" w:color="auto"/>
      </w:divBdr>
    </w:div>
    <w:div w:id="1450273742">
      <w:bodyDiv w:val="1"/>
      <w:marLeft w:val="0"/>
      <w:marRight w:val="0"/>
      <w:marTop w:val="0"/>
      <w:marBottom w:val="0"/>
      <w:divBdr>
        <w:top w:val="none" w:sz="0" w:space="0" w:color="auto"/>
        <w:left w:val="none" w:sz="0" w:space="0" w:color="auto"/>
        <w:bottom w:val="none" w:sz="0" w:space="0" w:color="auto"/>
        <w:right w:val="none" w:sz="0" w:space="0" w:color="auto"/>
      </w:divBdr>
    </w:div>
    <w:div w:id="1463961976">
      <w:bodyDiv w:val="1"/>
      <w:marLeft w:val="0"/>
      <w:marRight w:val="0"/>
      <w:marTop w:val="0"/>
      <w:marBottom w:val="0"/>
      <w:divBdr>
        <w:top w:val="none" w:sz="0" w:space="0" w:color="auto"/>
        <w:left w:val="none" w:sz="0" w:space="0" w:color="auto"/>
        <w:bottom w:val="none" w:sz="0" w:space="0" w:color="auto"/>
        <w:right w:val="none" w:sz="0" w:space="0" w:color="auto"/>
      </w:divBdr>
    </w:div>
    <w:div w:id="1481116027">
      <w:bodyDiv w:val="1"/>
      <w:marLeft w:val="0"/>
      <w:marRight w:val="0"/>
      <w:marTop w:val="0"/>
      <w:marBottom w:val="0"/>
      <w:divBdr>
        <w:top w:val="none" w:sz="0" w:space="0" w:color="auto"/>
        <w:left w:val="none" w:sz="0" w:space="0" w:color="auto"/>
        <w:bottom w:val="none" w:sz="0" w:space="0" w:color="auto"/>
        <w:right w:val="none" w:sz="0" w:space="0" w:color="auto"/>
      </w:divBdr>
    </w:div>
    <w:div w:id="1483422022">
      <w:bodyDiv w:val="1"/>
      <w:marLeft w:val="0"/>
      <w:marRight w:val="0"/>
      <w:marTop w:val="0"/>
      <w:marBottom w:val="0"/>
      <w:divBdr>
        <w:top w:val="none" w:sz="0" w:space="0" w:color="auto"/>
        <w:left w:val="none" w:sz="0" w:space="0" w:color="auto"/>
        <w:bottom w:val="none" w:sz="0" w:space="0" w:color="auto"/>
        <w:right w:val="none" w:sz="0" w:space="0" w:color="auto"/>
      </w:divBdr>
    </w:div>
    <w:div w:id="1521314473">
      <w:bodyDiv w:val="1"/>
      <w:marLeft w:val="0"/>
      <w:marRight w:val="0"/>
      <w:marTop w:val="0"/>
      <w:marBottom w:val="0"/>
      <w:divBdr>
        <w:top w:val="none" w:sz="0" w:space="0" w:color="auto"/>
        <w:left w:val="none" w:sz="0" w:space="0" w:color="auto"/>
        <w:bottom w:val="none" w:sz="0" w:space="0" w:color="auto"/>
        <w:right w:val="none" w:sz="0" w:space="0" w:color="auto"/>
      </w:divBdr>
    </w:div>
    <w:div w:id="1537346847">
      <w:bodyDiv w:val="1"/>
      <w:marLeft w:val="0"/>
      <w:marRight w:val="0"/>
      <w:marTop w:val="0"/>
      <w:marBottom w:val="0"/>
      <w:divBdr>
        <w:top w:val="none" w:sz="0" w:space="0" w:color="auto"/>
        <w:left w:val="none" w:sz="0" w:space="0" w:color="auto"/>
        <w:bottom w:val="none" w:sz="0" w:space="0" w:color="auto"/>
        <w:right w:val="none" w:sz="0" w:space="0" w:color="auto"/>
      </w:divBdr>
    </w:div>
    <w:div w:id="1547138813">
      <w:bodyDiv w:val="1"/>
      <w:marLeft w:val="0"/>
      <w:marRight w:val="0"/>
      <w:marTop w:val="0"/>
      <w:marBottom w:val="0"/>
      <w:divBdr>
        <w:top w:val="none" w:sz="0" w:space="0" w:color="auto"/>
        <w:left w:val="none" w:sz="0" w:space="0" w:color="auto"/>
        <w:bottom w:val="none" w:sz="0" w:space="0" w:color="auto"/>
        <w:right w:val="none" w:sz="0" w:space="0" w:color="auto"/>
      </w:divBdr>
    </w:div>
    <w:div w:id="1555194867">
      <w:bodyDiv w:val="1"/>
      <w:marLeft w:val="0"/>
      <w:marRight w:val="0"/>
      <w:marTop w:val="0"/>
      <w:marBottom w:val="0"/>
      <w:divBdr>
        <w:top w:val="none" w:sz="0" w:space="0" w:color="auto"/>
        <w:left w:val="none" w:sz="0" w:space="0" w:color="auto"/>
        <w:bottom w:val="none" w:sz="0" w:space="0" w:color="auto"/>
        <w:right w:val="none" w:sz="0" w:space="0" w:color="auto"/>
      </w:divBdr>
    </w:div>
    <w:div w:id="1559516218">
      <w:bodyDiv w:val="1"/>
      <w:marLeft w:val="0"/>
      <w:marRight w:val="0"/>
      <w:marTop w:val="0"/>
      <w:marBottom w:val="0"/>
      <w:divBdr>
        <w:top w:val="none" w:sz="0" w:space="0" w:color="auto"/>
        <w:left w:val="none" w:sz="0" w:space="0" w:color="auto"/>
        <w:bottom w:val="none" w:sz="0" w:space="0" w:color="auto"/>
        <w:right w:val="none" w:sz="0" w:space="0" w:color="auto"/>
      </w:divBdr>
    </w:div>
    <w:div w:id="1583224754">
      <w:bodyDiv w:val="1"/>
      <w:marLeft w:val="0"/>
      <w:marRight w:val="0"/>
      <w:marTop w:val="0"/>
      <w:marBottom w:val="0"/>
      <w:divBdr>
        <w:top w:val="none" w:sz="0" w:space="0" w:color="auto"/>
        <w:left w:val="none" w:sz="0" w:space="0" w:color="auto"/>
        <w:bottom w:val="none" w:sz="0" w:space="0" w:color="auto"/>
        <w:right w:val="none" w:sz="0" w:space="0" w:color="auto"/>
      </w:divBdr>
    </w:div>
    <w:div w:id="1585609682">
      <w:bodyDiv w:val="1"/>
      <w:marLeft w:val="0"/>
      <w:marRight w:val="0"/>
      <w:marTop w:val="0"/>
      <w:marBottom w:val="0"/>
      <w:divBdr>
        <w:top w:val="none" w:sz="0" w:space="0" w:color="auto"/>
        <w:left w:val="none" w:sz="0" w:space="0" w:color="auto"/>
        <w:bottom w:val="none" w:sz="0" w:space="0" w:color="auto"/>
        <w:right w:val="none" w:sz="0" w:space="0" w:color="auto"/>
      </w:divBdr>
    </w:div>
    <w:div w:id="1606422004">
      <w:bodyDiv w:val="1"/>
      <w:marLeft w:val="0"/>
      <w:marRight w:val="0"/>
      <w:marTop w:val="0"/>
      <w:marBottom w:val="0"/>
      <w:divBdr>
        <w:top w:val="none" w:sz="0" w:space="0" w:color="auto"/>
        <w:left w:val="none" w:sz="0" w:space="0" w:color="auto"/>
        <w:bottom w:val="none" w:sz="0" w:space="0" w:color="auto"/>
        <w:right w:val="none" w:sz="0" w:space="0" w:color="auto"/>
      </w:divBdr>
    </w:div>
    <w:div w:id="1609311769">
      <w:bodyDiv w:val="1"/>
      <w:marLeft w:val="0"/>
      <w:marRight w:val="0"/>
      <w:marTop w:val="0"/>
      <w:marBottom w:val="0"/>
      <w:divBdr>
        <w:top w:val="none" w:sz="0" w:space="0" w:color="auto"/>
        <w:left w:val="none" w:sz="0" w:space="0" w:color="auto"/>
        <w:bottom w:val="none" w:sz="0" w:space="0" w:color="auto"/>
        <w:right w:val="none" w:sz="0" w:space="0" w:color="auto"/>
      </w:divBdr>
    </w:div>
    <w:div w:id="1630625063">
      <w:bodyDiv w:val="1"/>
      <w:marLeft w:val="0"/>
      <w:marRight w:val="0"/>
      <w:marTop w:val="0"/>
      <w:marBottom w:val="0"/>
      <w:divBdr>
        <w:top w:val="none" w:sz="0" w:space="0" w:color="auto"/>
        <w:left w:val="none" w:sz="0" w:space="0" w:color="auto"/>
        <w:bottom w:val="none" w:sz="0" w:space="0" w:color="auto"/>
        <w:right w:val="none" w:sz="0" w:space="0" w:color="auto"/>
      </w:divBdr>
    </w:div>
    <w:div w:id="1641030737">
      <w:bodyDiv w:val="1"/>
      <w:marLeft w:val="0"/>
      <w:marRight w:val="0"/>
      <w:marTop w:val="0"/>
      <w:marBottom w:val="0"/>
      <w:divBdr>
        <w:top w:val="none" w:sz="0" w:space="0" w:color="auto"/>
        <w:left w:val="none" w:sz="0" w:space="0" w:color="auto"/>
        <w:bottom w:val="none" w:sz="0" w:space="0" w:color="auto"/>
        <w:right w:val="none" w:sz="0" w:space="0" w:color="auto"/>
      </w:divBdr>
    </w:div>
    <w:div w:id="1673146160">
      <w:bodyDiv w:val="1"/>
      <w:marLeft w:val="0"/>
      <w:marRight w:val="0"/>
      <w:marTop w:val="0"/>
      <w:marBottom w:val="0"/>
      <w:divBdr>
        <w:top w:val="none" w:sz="0" w:space="0" w:color="auto"/>
        <w:left w:val="none" w:sz="0" w:space="0" w:color="auto"/>
        <w:bottom w:val="none" w:sz="0" w:space="0" w:color="auto"/>
        <w:right w:val="none" w:sz="0" w:space="0" w:color="auto"/>
      </w:divBdr>
    </w:div>
    <w:div w:id="1674335360">
      <w:bodyDiv w:val="1"/>
      <w:marLeft w:val="0"/>
      <w:marRight w:val="0"/>
      <w:marTop w:val="0"/>
      <w:marBottom w:val="0"/>
      <w:divBdr>
        <w:top w:val="none" w:sz="0" w:space="0" w:color="auto"/>
        <w:left w:val="none" w:sz="0" w:space="0" w:color="auto"/>
        <w:bottom w:val="none" w:sz="0" w:space="0" w:color="auto"/>
        <w:right w:val="none" w:sz="0" w:space="0" w:color="auto"/>
      </w:divBdr>
    </w:div>
    <w:div w:id="1684015426">
      <w:bodyDiv w:val="1"/>
      <w:marLeft w:val="0"/>
      <w:marRight w:val="0"/>
      <w:marTop w:val="0"/>
      <w:marBottom w:val="0"/>
      <w:divBdr>
        <w:top w:val="none" w:sz="0" w:space="0" w:color="auto"/>
        <w:left w:val="none" w:sz="0" w:space="0" w:color="auto"/>
        <w:bottom w:val="none" w:sz="0" w:space="0" w:color="auto"/>
        <w:right w:val="none" w:sz="0" w:space="0" w:color="auto"/>
      </w:divBdr>
    </w:div>
    <w:div w:id="1690251493">
      <w:bodyDiv w:val="1"/>
      <w:marLeft w:val="0"/>
      <w:marRight w:val="0"/>
      <w:marTop w:val="0"/>
      <w:marBottom w:val="0"/>
      <w:divBdr>
        <w:top w:val="none" w:sz="0" w:space="0" w:color="auto"/>
        <w:left w:val="none" w:sz="0" w:space="0" w:color="auto"/>
        <w:bottom w:val="none" w:sz="0" w:space="0" w:color="auto"/>
        <w:right w:val="none" w:sz="0" w:space="0" w:color="auto"/>
      </w:divBdr>
    </w:div>
    <w:div w:id="1698655550">
      <w:bodyDiv w:val="1"/>
      <w:marLeft w:val="0"/>
      <w:marRight w:val="0"/>
      <w:marTop w:val="0"/>
      <w:marBottom w:val="0"/>
      <w:divBdr>
        <w:top w:val="none" w:sz="0" w:space="0" w:color="auto"/>
        <w:left w:val="none" w:sz="0" w:space="0" w:color="auto"/>
        <w:bottom w:val="none" w:sz="0" w:space="0" w:color="auto"/>
        <w:right w:val="none" w:sz="0" w:space="0" w:color="auto"/>
      </w:divBdr>
    </w:div>
    <w:div w:id="1711762517">
      <w:bodyDiv w:val="1"/>
      <w:marLeft w:val="0"/>
      <w:marRight w:val="0"/>
      <w:marTop w:val="0"/>
      <w:marBottom w:val="0"/>
      <w:divBdr>
        <w:top w:val="none" w:sz="0" w:space="0" w:color="auto"/>
        <w:left w:val="none" w:sz="0" w:space="0" w:color="auto"/>
        <w:bottom w:val="none" w:sz="0" w:space="0" w:color="auto"/>
        <w:right w:val="none" w:sz="0" w:space="0" w:color="auto"/>
      </w:divBdr>
    </w:div>
    <w:div w:id="1732382248">
      <w:bodyDiv w:val="1"/>
      <w:marLeft w:val="0"/>
      <w:marRight w:val="0"/>
      <w:marTop w:val="0"/>
      <w:marBottom w:val="0"/>
      <w:divBdr>
        <w:top w:val="none" w:sz="0" w:space="0" w:color="auto"/>
        <w:left w:val="none" w:sz="0" w:space="0" w:color="auto"/>
        <w:bottom w:val="none" w:sz="0" w:space="0" w:color="auto"/>
        <w:right w:val="none" w:sz="0" w:space="0" w:color="auto"/>
      </w:divBdr>
    </w:div>
    <w:div w:id="1742941155">
      <w:bodyDiv w:val="1"/>
      <w:marLeft w:val="0"/>
      <w:marRight w:val="0"/>
      <w:marTop w:val="0"/>
      <w:marBottom w:val="0"/>
      <w:divBdr>
        <w:top w:val="none" w:sz="0" w:space="0" w:color="auto"/>
        <w:left w:val="none" w:sz="0" w:space="0" w:color="auto"/>
        <w:bottom w:val="none" w:sz="0" w:space="0" w:color="auto"/>
        <w:right w:val="none" w:sz="0" w:space="0" w:color="auto"/>
      </w:divBdr>
    </w:div>
    <w:div w:id="1775785114">
      <w:bodyDiv w:val="1"/>
      <w:marLeft w:val="0"/>
      <w:marRight w:val="0"/>
      <w:marTop w:val="0"/>
      <w:marBottom w:val="0"/>
      <w:divBdr>
        <w:top w:val="none" w:sz="0" w:space="0" w:color="auto"/>
        <w:left w:val="none" w:sz="0" w:space="0" w:color="auto"/>
        <w:bottom w:val="none" w:sz="0" w:space="0" w:color="auto"/>
        <w:right w:val="none" w:sz="0" w:space="0" w:color="auto"/>
      </w:divBdr>
    </w:div>
    <w:div w:id="1815678927">
      <w:bodyDiv w:val="1"/>
      <w:marLeft w:val="0"/>
      <w:marRight w:val="0"/>
      <w:marTop w:val="0"/>
      <w:marBottom w:val="0"/>
      <w:divBdr>
        <w:top w:val="none" w:sz="0" w:space="0" w:color="auto"/>
        <w:left w:val="none" w:sz="0" w:space="0" w:color="auto"/>
        <w:bottom w:val="none" w:sz="0" w:space="0" w:color="auto"/>
        <w:right w:val="none" w:sz="0" w:space="0" w:color="auto"/>
      </w:divBdr>
    </w:div>
    <w:div w:id="1825076987">
      <w:bodyDiv w:val="1"/>
      <w:marLeft w:val="0"/>
      <w:marRight w:val="0"/>
      <w:marTop w:val="0"/>
      <w:marBottom w:val="0"/>
      <w:divBdr>
        <w:top w:val="none" w:sz="0" w:space="0" w:color="auto"/>
        <w:left w:val="none" w:sz="0" w:space="0" w:color="auto"/>
        <w:bottom w:val="none" w:sz="0" w:space="0" w:color="auto"/>
        <w:right w:val="none" w:sz="0" w:space="0" w:color="auto"/>
      </w:divBdr>
    </w:div>
    <w:div w:id="1835223428">
      <w:bodyDiv w:val="1"/>
      <w:marLeft w:val="0"/>
      <w:marRight w:val="0"/>
      <w:marTop w:val="0"/>
      <w:marBottom w:val="0"/>
      <w:divBdr>
        <w:top w:val="none" w:sz="0" w:space="0" w:color="auto"/>
        <w:left w:val="none" w:sz="0" w:space="0" w:color="auto"/>
        <w:bottom w:val="none" w:sz="0" w:space="0" w:color="auto"/>
        <w:right w:val="none" w:sz="0" w:space="0" w:color="auto"/>
      </w:divBdr>
    </w:div>
    <w:div w:id="1856070607">
      <w:bodyDiv w:val="1"/>
      <w:marLeft w:val="0"/>
      <w:marRight w:val="0"/>
      <w:marTop w:val="0"/>
      <w:marBottom w:val="0"/>
      <w:divBdr>
        <w:top w:val="none" w:sz="0" w:space="0" w:color="auto"/>
        <w:left w:val="none" w:sz="0" w:space="0" w:color="auto"/>
        <w:bottom w:val="none" w:sz="0" w:space="0" w:color="auto"/>
        <w:right w:val="none" w:sz="0" w:space="0" w:color="auto"/>
      </w:divBdr>
    </w:div>
    <w:div w:id="1865628311">
      <w:bodyDiv w:val="1"/>
      <w:marLeft w:val="0"/>
      <w:marRight w:val="0"/>
      <w:marTop w:val="0"/>
      <w:marBottom w:val="0"/>
      <w:divBdr>
        <w:top w:val="none" w:sz="0" w:space="0" w:color="auto"/>
        <w:left w:val="none" w:sz="0" w:space="0" w:color="auto"/>
        <w:bottom w:val="none" w:sz="0" w:space="0" w:color="auto"/>
        <w:right w:val="none" w:sz="0" w:space="0" w:color="auto"/>
      </w:divBdr>
    </w:div>
    <w:div w:id="1866749382">
      <w:bodyDiv w:val="1"/>
      <w:marLeft w:val="0"/>
      <w:marRight w:val="0"/>
      <w:marTop w:val="0"/>
      <w:marBottom w:val="0"/>
      <w:divBdr>
        <w:top w:val="none" w:sz="0" w:space="0" w:color="auto"/>
        <w:left w:val="none" w:sz="0" w:space="0" w:color="auto"/>
        <w:bottom w:val="none" w:sz="0" w:space="0" w:color="auto"/>
        <w:right w:val="none" w:sz="0" w:space="0" w:color="auto"/>
      </w:divBdr>
    </w:div>
    <w:div w:id="1873691235">
      <w:bodyDiv w:val="1"/>
      <w:marLeft w:val="0"/>
      <w:marRight w:val="0"/>
      <w:marTop w:val="0"/>
      <w:marBottom w:val="0"/>
      <w:divBdr>
        <w:top w:val="none" w:sz="0" w:space="0" w:color="auto"/>
        <w:left w:val="none" w:sz="0" w:space="0" w:color="auto"/>
        <w:bottom w:val="none" w:sz="0" w:space="0" w:color="auto"/>
        <w:right w:val="none" w:sz="0" w:space="0" w:color="auto"/>
      </w:divBdr>
    </w:div>
    <w:div w:id="1878158786">
      <w:bodyDiv w:val="1"/>
      <w:marLeft w:val="0"/>
      <w:marRight w:val="0"/>
      <w:marTop w:val="0"/>
      <w:marBottom w:val="0"/>
      <w:divBdr>
        <w:top w:val="none" w:sz="0" w:space="0" w:color="auto"/>
        <w:left w:val="none" w:sz="0" w:space="0" w:color="auto"/>
        <w:bottom w:val="none" w:sz="0" w:space="0" w:color="auto"/>
        <w:right w:val="none" w:sz="0" w:space="0" w:color="auto"/>
      </w:divBdr>
    </w:div>
    <w:div w:id="1879315369">
      <w:bodyDiv w:val="1"/>
      <w:marLeft w:val="0"/>
      <w:marRight w:val="0"/>
      <w:marTop w:val="0"/>
      <w:marBottom w:val="0"/>
      <w:divBdr>
        <w:top w:val="none" w:sz="0" w:space="0" w:color="auto"/>
        <w:left w:val="none" w:sz="0" w:space="0" w:color="auto"/>
        <w:bottom w:val="none" w:sz="0" w:space="0" w:color="auto"/>
        <w:right w:val="none" w:sz="0" w:space="0" w:color="auto"/>
      </w:divBdr>
    </w:div>
    <w:div w:id="1893074450">
      <w:bodyDiv w:val="1"/>
      <w:marLeft w:val="0"/>
      <w:marRight w:val="0"/>
      <w:marTop w:val="0"/>
      <w:marBottom w:val="0"/>
      <w:divBdr>
        <w:top w:val="none" w:sz="0" w:space="0" w:color="auto"/>
        <w:left w:val="none" w:sz="0" w:space="0" w:color="auto"/>
        <w:bottom w:val="none" w:sz="0" w:space="0" w:color="auto"/>
        <w:right w:val="none" w:sz="0" w:space="0" w:color="auto"/>
      </w:divBdr>
    </w:div>
    <w:div w:id="1904635579">
      <w:bodyDiv w:val="1"/>
      <w:marLeft w:val="0"/>
      <w:marRight w:val="0"/>
      <w:marTop w:val="0"/>
      <w:marBottom w:val="0"/>
      <w:divBdr>
        <w:top w:val="none" w:sz="0" w:space="0" w:color="auto"/>
        <w:left w:val="none" w:sz="0" w:space="0" w:color="auto"/>
        <w:bottom w:val="none" w:sz="0" w:space="0" w:color="auto"/>
        <w:right w:val="none" w:sz="0" w:space="0" w:color="auto"/>
      </w:divBdr>
    </w:div>
    <w:div w:id="1915968760">
      <w:bodyDiv w:val="1"/>
      <w:marLeft w:val="0"/>
      <w:marRight w:val="0"/>
      <w:marTop w:val="0"/>
      <w:marBottom w:val="0"/>
      <w:divBdr>
        <w:top w:val="none" w:sz="0" w:space="0" w:color="auto"/>
        <w:left w:val="none" w:sz="0" w:space="0" w:color="auto"/>
        <w:bottom w:val="none" w:sz="0" w:space="0" w:color="auto"/>
        <w:right w:val="none" w:sz="0" w:space="0" w:color="auto"/>
      </w:divBdr>
    </w:div>
    <w:div w:id="1935166326">
      <w:bodyDiv w:val="1"/>
      <w:marLeft w:val="0"/>
      <w:marRight w:val="0"/>
      <w:marTop w:val="0"/>
      <w:marBottom w:val="0"/>
      <w:divBdr>
        <w:top w:val="none" w:sz="0" w:space="0" w:color="auto"/>
        <w:left w:val="none" w:sz="0" w:space="0" w:color="auto"/>
        <w:bottom w:val="none" w:sz="0" w:space="0" w:color="auto"/>
        <w:right w:val="none" w:sz="0" w:space="0" w:color="auto"/>
      </w:divBdr>
    </w:div>
    <w:div w:id="1949896470">
      <w:bodyDiv w:val="1"/>
      <w:marLeft w:val="0"/>
      <w:marRight w:val="0"/>
      <w:marTop w:val="0"/>
      <w:marBottom w:val="0"/>
      <w:divBdr>
        <w:top w:val="none" w:sz="0" w:space="0" w:color="auto"/>
        <w:left w:val="none" w:sz="0" w:space="0" w:color="auto"/>
        <w:bottom w:val="none" w:sz="0" w:space="0" w:color="auto"/>
        <w:right w:val="none" w:sz="0" w:space="0" w:color="auto"/>
      </w:divBdr>
    </w:div>
    <w:div w:id="1980331723">
      <w:bodyDiv w:val="1"/>
      <w:marLeft w:val="0"/>
      <w:marRight w:val="0"/>
      <w:marTop w:val="0"/>
      <w:marBottom w:val="0"/>
      <w:divBdr>
        <w:top w:val="none" w:sz="0" w:space="0" w:color="auto"/>
        <w:left w:val="none" w:sz="0" w:space="0" w:color="auto"/>
        <w:bottom w:val="none" w:sz="0" w:space="0" w:color="auto"/>
        <w:right w:val="none" w:sz="0" w:space="0" w:color="auto"/>
      </w:divBdr>
    </w:div>
    <w:div w:id="1980451498">
      <w:bodyDiv w:val="1"/>
      <w:marLeft w:val="0"/>
      <w:marRight w:val="0"/>
      <w:marTop w:val="0"/>
      <w:marBottom w:val="0"/>
      <w:divBdr>
        <w:top w:val="none" w:sz="0" w:space="0" w:color="auto"/>
        <w:left w:val="none" w:sz="0" w:space="0" w:color="auto"/>
        <w:bottom w:val="none" w:sz="0" w:space="0" w:color="auto"/>
        <w:right w:val="none" w:sz="0" w:space="0" w:color="auto"/>
      </w:divBdr>
    </w:div>
    <w:div w:id="1990398204">
      <w:bodyDiv w:val="1"/>
      <w:marLeft w:val="0"/>
      <w:marRight w:val="0"/>
      <w:marTop w:val="0"/>
      <w:marBottom w:val="0"/>
      <w:divBdr>
        <w:top w:val="none" w:sz="0" w:space="0" w:color="auto"/>
        <w:left w:val="none" w:sz="0" w:space="0" w:color="auto"/>
        <w:bottom w:val="none" w:sz="0" w:space="0" w:color="auto"/>
        <w:right w:val="none" w:sz="0" w:space="0" w:color="auto"/>
      </w:divBdr>
    </w:div>
    <w:div w:id="2015721558">
      <w:bodyDiv w:val="1"/>
      <w:marLeft w:val="0"/>
      <w:marRight w:val="0"/>
      <w:marTop w:val="0"/>
      <w:marBottom w:val="0"/>
      <w:divBdr>
        <w:top w:val="none" w:sz="0" w:space="0" w:color="auto"/>
        <w:left w:val="none" w:sz="0" w:space="0" w:color="auto"/>
        <w:bottom w:val="none" w:sz="0" w:space="0" w:color="auto"/>
        <w:right w:val="none" w:sz="0" w:space="0" w:color="auto"/>
      </w:divBdr>
    </w:div>
    <w:div w:id="2016105477">
      <w:bodyDiv w:val="1"/>
      <w:marLeft w:val="0"/>
      <w:marRight w:val="0"/>
      <w:marTop w:val="0"/>
      <w:marBottom w:val="0"/>
      <w:divBdr>
        <w:top w:val="none" w:sz="0" w:space="0" w:color="auto"/>
        <w:left w:val="none" w:sz="0" w:space="0" w:color="auto"/>
        <w:bottom w:val="none" w:sz="0" w:space="0" w:color="auto"/>
        <w:right w:val="none" w:sz="0" w:space="0" w:color="auto"/>
      </w:divBdr>
    </w:div>
    <w:div w:id="2021855424">
      <w:bodyDiv w:val="1"/>
      <w:marLeft w:val="0"/>
      <w:marRight w:val="0"/>
      <w:marTop w:val="0"/>
      <w:marBottom w:val="0"/>
      <w:divBdr>
        <w:top w:val="none" w:sz="0" w:space="0" w:color="auto"/>
        <w:left w:val="none" w:sz="0" w:space="0" w:color="auto"/>
        <w:bottom w:val="none" w:sz="0" w:space="0" w:color="auto"/>
        <w:right w:val="none" w:sz="0" w:space="0" w:color="auto"/>
      </w:divBdr>
      <w:divsChild>
        <w:div w:id="1693648689">
          <w:marLeft w:val="0"/>
          <w:marRight w:val="0"/>
          <w:marTop w:val="0"/>
          <w:marBottom w:val="0"/>
          <w:divBdr>
            <w:top w:val="none" w:sz="0" w:space="0" w:color="auto"/>
            <w:left w:val="none" w:sz="0" w:space="0" w:color="auto"/>
            <w:bottom w:val="none" w:sz="0" w:space="0" w:color="auto"/>
            <w:right w:val="none" w:sz="0" w:space="0" w:color="auto"/>
          </w:divBdr>
          <w:divsChild>
            <w:div w:id="408617907">
              <w:marLeft w:val="0"/>
              <w:marRight w:val="0"/>
              <w:marTop w:val="0"/>
              <w:marBottom w:val="0"/>
              <w:divBdr>
                <w:top w:val="none" w:sz="0" w:space="0" w:color="auto"/>
                <w:left w:val="none" w:sz="0" w:space="0" w:color="auto"/>
                <w:bottom w:val="none" w:sz="0" w:space="0" w:color="auto"/>
                <w:right w:val="none" w:sz="0" w:space="0" w:color="auto"/>
              </w:divBdr>
              <w:divsChild>
                <w:div w:id="994336371">
                  <w:marLeft w:val="0"/>
                  <w:marRight w:val="0"/>
                  <w:marTop w:val="0"/>
                  <w:marBottom w:val="0"/>
                  <w:divBdr>
                    <w:top w:val="none" w:sz="0" w:space="0" w:color="auto"/>
                    <w:left w:val="none" w:sz="0" w:space="0" w:color="auto"/>
                    <w:bottom w:val="none" w:sz="0" w:space="0" w:color="auto"/>
                    <w:right w:val="none" w:sz="0" w:space="0" w:color="auto"/>
                  </w:divBdr>
                  <w:divsChild>
                    <w:div w:id="1873378209">
                      <w:marLeft w:val="0"/>
                      <w:marRight w:val="0"/>
                      <w:marTop w:val="0"/>
                      <w:marBottom w:val="0"/>
                      <w:divBdr>
                        <w:top w:val="none" w:sz="0" w:space="0" w:color="auto"/>
                        <w:left w:val="none" w:sz="0" w:space="0" w:color="auto"/>
                        <w:bottom w:val="none" w:sz="0" w:space="0" w:color="auto"/>
                        <w:right w:val="none" w:sz="0" w:space="0" w:color="auto"/>
                      </w:divBdr>
                      <w:divsChild>
                        <w:div w:id="895509087">
                          <w:marLeft w:val="0"/>
                          <w:marRight w:val="0"/>
                          <w:marTop w:val="0"/>
                          <w:marBottom w:val="0"/>
                          <w:divBdr>
                            <w:top w:val="none" w:sz="0" w:space="0" w:color="auto"/>
                            <w:left w:val="none" w:sz="0" w:space="0" w:color="auto"/>
                            <w:bottom w:val="none" w:sz="0" w:space="0" w:color="auto"/>
                            <w:right w:val="none" w:sz="0" w:space="0" w:color="auto"/>
                          </w:divBdr>
                          <w:divsChild>
                            <w:div w:id="816147328">
                              <w:marLeft w:val="0"/>
                              <w:marRight w:val="0"/>
                              <w:marTop w:val="0"/>
                              <w:marBottom w:val="0"/>
                              <w:divBdr>
                                <w:top w:val="none" w:sz="0" w:space="0" w:color="auto"/>
                                <w:left w:val="none" w:sz="0" w:space="0" w:color="auto"/>
                                <w:bottom w:val="none" w:sz="0" w:space="0" w:color="auto"/>
                                <w:right w:val="none" w:sz="0" w:space="0" w:color="auto"/>
                              </w:divBdr>
                              <w:divsChild>
                                <w:div w:id="312224459">
                                  <w:marLeft w:val="0"/>
                                  <w:marRight w:val="0"/>
                                  <w:marTop w:val="0"/>
                                  <w:marBottom w:val="0"/>
                                  <w:divBdr>
                                    <w:top w:val="none" w:sz="0" w:space="0" w:color="auto"/>
                                    <w:left w:val="none" w:sz="0" w:space="0" w:color="auto"/>
                                    <w:bottom w:val="none" w:sz="0" w:space="0" w:color="auto"/>
                                    <w:right w:val="none" w:sz="0" w:space="0" w:color="auto"/>
                                  </w:divBdr>
                                  <w:divsChild>
                                    <w:div w:id="9541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5554067">
                      <w:marLeft w:val="0"/>
                      <w:marRight w:val="0"/>
                      <w:marTop w:val="0"/>
                      <w:marBottom w:val="0"/>
                      <w:divBdr>
                        <w:top w:val="none" w:sz="0" w:space="0" w:color="auto"/>
                        <w:left w:val="none" w:sz="0" w:space="0" w:color="auto"/>
                        <w:bottom w:val="none" w:sz="0" w:space="0" w:color="auto"/>
                        <w:right w:val="none" w:sz="0" w:space="0" w:color="auto"/>
                      </w:divBdr>
                      <w:divsChild>
                        <w:div w:id="7741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446468">
      <w:bodyDiv w:val="1"/>
      <w:marLeft w:val="0"/>
      <w:marRight w:val="0"/>
      <w:marTop w:val="0"/>
      <w:marBottom w:val="0"/>
      <w:divBdr>
        <w:top w:val="none" w:sz="0" w:space="0" w:color="auto"/>
        <w:left w:val="none" w:sz="0" w:space="0" w:color="auto"/>
        <w:bottom w:val="none" w:sz="0" w:space="0" w:color="auto"/>
        <w:right w:val="none" w:sz="0" w:space="0" w:color="auto"/>
      </w:divBdr>
    </w:div>
    <w:div w:id="2035031262">
      <w:bodyDiv w:val="1"/>
      <w:marLeft w:val="0"/>
      <w:marRight w:val="0"/>
      <w:marTop w:val="0"/>
      <w:marBottom w:val="0"/>
      <w:divBdr>
        <w:top w:val="none" w:sz="0" w:space="0" w:color="auto"/>
        <w:left w:val="none" w:sz="0" w:space="0" w:color="auto"/>
        <w:bottom w:val="none" w:sz="0" w:space="0" w:color="auto"/>
        <w:right w:val="none" w:sz="0" w:space="0" w:color="auto"/>
      </w:divBdr>
    </w:div>
    <w:div w:id="2048019018">
      <w:bodyDiv w:val="1"/>
      <w:marLeft w:val="0"/>
      <w:marRight w:val="0"/>
      <w:marTop w:val="0"/>
      <w:marBottom w:val="0"/>
      <w:divBdr>
        <w:top w:val="none" w:sz="0" w:space="0" w:color="auto"/>
        <w:left w:val="none" w:sz="0" w:space="0" w:color="auto"/>
        <w:bottom w:val="none" w:sz="0" w:space="0" w:color="auto"/>
        <w:right w:val="none" w:sz="0" w:space="0" w:color="auto"/>
      </w:divBdr>
    </w:div>
    <w:div w:id="2062708516">
      <w:bodyDiv w:val="1"/>
      <w:marLeft w:val="0"/>
      <w:marRight w:val="0"/>
      <w:marTop w:val="0"/>
      <w:marBottom w:val="0"/>
      <w:divBdr>
        <w:top w:val="none" w:sz="0" w:space="0" w:color="auto"/>
        <w:left w:val="none" w:sz="0" w:space="0" w:color="auto"/>
        <w:bottom w:val="none" w:sz="0" w:space="0" w:color="auto"/>
        <w:right w:val="none" w:sz="0" w:space="0" w:color="auto"/>
      </w:divBdr>
    </w:div>
    <w:div w:id="2069568292">
      <w:bodyDiv w:val="1"/>
      <w:marLeft w:val="0"/>
      <w:marRight w:val="0"/>
      <w:marTop w:val="0"/>
      <w:marBottom w:val="0"/>
      <w:divBdr>
        <w:top w:val="none" w:sz="0" w:space="0" w:color="auto"/>
        <w:left w:val="none" w:sz="0" w:space="0" w:color="auto"/>
        <w:bottom w:val="none" w:sz="0" w:space="0" w:color="auto"/>
        <w:right w:val="none" w:sz="0" w:space="0" w:color="auto"/>
      </w:divBdr>
    </w:div>
    <w:div w:id="2076972273">
      <w:bodyDiv w:val="1"/>
      <w:marLeft w:val="0"/>
      <w:marRight w:val="0"/>
      <w:marTop w:val="0"/>
      <w:marBottom w:val="0"/>
      <w:divBdr>
        <w:top w:val="none" w:sz="0" w:space="0" w:color="auto"/>
        <w:left w:val="none" w:sz="0" w:space="0" w:color="auto"/>
        <w:bottom w:val="none" w:sz="0" w:space="0" w:color="auto"/>
        <w:right w:val="none" w:sz="0" w:space="0" w:color="auto"/>
      </w:divBdr>
    </w:div>
    <w:div w:id="2099448971">
      <w:bodyDiv w:val="1"/>
      <w:marLeft w:val="0"/>
      <w:marRight w:val="0"/>
      <w:marTop w:val="0"/>
      <w:marBottom w:val="0"/>
      <w:divBdr>
        <w:top w:val="none" w:sz="0" w:space="0" w:color="auto"/>
        <w:left w:val="none" w:sz="0" w:space="0" w:color="auto"/>
        <w:bottom w:val="none" w:sz="0" w:space="0" w:color="auto"/>
        <w:right w:val="none" w:sz="0" w:space="0" w:color="auto"/>
      </w:divBdr>
    </w:div>
    <w:div w:id="2125925517">
      <w:bodyDiv w:val="1"/>
      <w:marLeft w:val="0"/>
      <w:marRight w:val="0"/>
      <w:marTop w:val="0"/>
      <w:marBottom w:val="0"/>
      <w:divBdr>
        <w:top w:val="none" w:sz="0" w:space="0" w:color="auto"/>
        <w:left w:val="none" w:sz="0" w:space="0" w:color="auto"/>
        <w:bottom w:val="none" w:sz="0" w:space="0" w:color="auto"/>
        <w:right w:val="none" w:sz="0" w:space="0" w:color="auto"/>
      </w:divBdr>
    </w:div>
    <w:div w:id="2142765384">
      <w:bodyDiv w:val="1"/>
      <w:marLeft w:val="0"/>
      <w:marRight w:val="0"/>
      <w:marTop w:val="0"/>
      <w:marBottom w:val="0"/>
      <w:divBdr>
        <w:top w:val="none" w:sz="0" w:space="0" w:color="auto"/>
        <w:left w:val="none" w:sz="0" w:space="0" w:color="auto"/>
        <w:bottom w:val="none" w:sz="0" w:space="0" w:color="auto"/>
        <w:right w:val="none" w:sz="0" w:space="0" w:color="auto"/>
      </w:divBdr>
    </w:div>
    <w:div w:id="2144469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clinicaltrials.gov/study/NCT06625775" TargetMode="External" /><Relationship Type="http://schemas.openxmlformats.org/officeDocument/2006/relationships/hyperlink" Id="rId28" Target="https://datacommons.cancer.gov/cloud-resources" TargetMode="External" /><Relationship Type="http://schemas.openxmlformats.org/officeDocument/2006/relationships/hyperlink" Id="rId56" Target="https://dpcpsi.nih.gov/thro/tribal-consultations/national-institute-minority-health-and-health-disparities-nimhd-initiative-improving-american" TargetMode="External" /><Relationship Type="http://schemas.openxmlformats.org/officeDocument/2006/relationships/hyperlink" Id="rId58" Target="https://grants.nih.gov/grants/guide/notice-files/NOT-MD-24-015.html" TargetMode="External" /><Relationship Type="http://schemas.openxmlformats.org/officeDocument/2006/relationships/hyperlink" Id="rId52" Target="https://onlinelibrary.wiley.com/doi/10.1002/em.22534" TargetMode="External" /><Relationship Type="http://schemas.openxmlformats.org/officeDocument/2006/relationships/hyperlink" Id="rId41" Target="https://prevention.cancer.gov/major-programs/cancer-screening-research-network-csrn" TargetMode="External" /><Relationship Type="http://schemas.openxmlformats.org/officeDocument/2006/relationships/hyperlink" Id="rId30" Target="https://progressreport.cancer.gov" TargetMode="External" /><Relationship Type="http://schemas.openxmlformats.org/officeDocument/2006/relationships/hyperlink" Id="rId79" Target="https://pubmed.ncbi.nlm.nih.gov/36823587" TargetMode="External" /><Relationship Type="http://schemas.openxmlformats.org/officeDocument/2006/relationships/hyperlink" Id="rId90" Target="https://pubmed.ncbi.nlm.nih.gov/37289928" TargetMode="External" /><Relationship Type="http://schemas.openxmlformats.org/officeDocument/2006/relationships/hyperlink" Id="rId32" Target="https://www.cancer.gov/research/infrastructure/clinical-trials/ctiu" TargetMode="External" /><Relationship Type="http://schemas.openxmlformats.org/officeDocument/2006/relationships/hyperlink" Id="rId35" Target="https://www.cancer.gov/research/leading-progress/stories/cytalux" TargetMode="External" /><Relationship Type="http://schemas.openxmlformats.org/officeDocument/2006/relationships/hyperlink" Id="rId61" Target="https://www.midrc.org" TargetMode="External" /><Relationship Type="http://schemas.openxmlformats.org/officeDocument/2006/relationships/hyperlink" Id="rId98" Target="https://www.nidcr.nih.gov/grants-funding/research-funded-by-nidcr-extramural/ahead" TargetMode="External" /></Relationships>
</file>

<file path=word/_rels/footnotes.xml.rels><?xml version="1.0" encoding="UTF-8"?><Relationships xmlns="http://schemas.openxmlformats.org/package/2006/relationships"><Relationship Type="http://schemas.openxmlformats.org/officeDocument/2006/relationships/hyperlink" Id="rId45" Target="https://clinicaltrials.gov/study/NCT06625775" TargetMode="External" /><Relationship Type="http://schemas.openxmlformats.org/officeDocument/2006/relationships/hyperlink" Id="rId28" Target="https://datacommons.cancer.gov/cloud-resources" TargetMode="External" /><Relationship Type="http://schemas.openxmlformats.org/officeDocument/2006/relationships/hyperlink" Id="rId56" Target="https://dpcpsi.nih.gov/thro/tribal-consultations/national-institute-minority-health-and-health-disparities-nimhd-initiative-improving-american" TargetMode="External" /><Relationship Type="http://schemas.openxmlformats.org/officeDocument/2006/relationships/hyperlink" Id="rId58" Target="https://grants.nih.gov/grants/guide/notice-files/NOT-MD-24-015.html" TargetMode="External" /><Relationship Type="http://schemas.openxmlformats.org/officeDocument/2006/relationships/hyperlink" Id="rId52" Target="https://onlinelibrary.wiley.com/doi/10.1002/em.22534" TargetMode="External" /><Relationship Type="http://schemas.openxmlformats.org/officeDocument/2006/relationships/hyperlink" Id="rId41" Target="https://prevention.cancer.gov/major-programs/cancer-screening-research-network-csrn" TargetMode="External" /><Relationship Type="http://schemas.openxmlformats.org/officeDocument/2006/relationships/hyperlink" Id="rId30" Target="https://progressreport.cancer.gov" TargetMode="External" /><Relationship Type="http://schemas.openxmlformats.org/officeDocument/2006/relationships/hyperlink" Id="rId79" Target="https://pubmed.ncbi.nlm.nih.gov/36823587" TargetMode="External" /><Relationship Type="http://schemas.openxmlformats.org/officeDocument/2006/relationships/hyperlink" Id="rId90" Target="https://pubmed.ncbi.nlm.nih.gov/37289928" TargetMode="External" /><Relationship Type="http://schemas.openxmlformats.org/officeDocument/2006/relationships/hyperlink" Id="rId32" Target="https://www.cancer.gov/research/infrastructure/clinical-trials/ctiu" TargetMode="External" /><Relationship Type="http://schemas.openxmlformats.org/officeDocument/2006/relationships/hyperlink" Id="rId35" Target="https://www.cancer.gov/research/leading-progress/stories/cytalux" TargetMode="External" /><Relationship Type="http://schemas.openxmlformats.org/officeDocument/2006/relationships/hyperlink" Id="rId61" Target="https://www.midrc.org" TargetMode="External" /><Relationship Type="http://schemas.openxmlformats.org/officeDocument/2006/relationships/hyperlink" Id="rId98" Target="https://www.nidcr.nih.gov/grants-funding/research-funded-by-nidcr-extramural/ah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7981</Words>
  <Characters>45493</Characters>
  <Application>Microsoft Office Word</Application>
  <DocSecurity>0</DocSecurity>
  <Lines>379</Lines>
  <Paragraphs>106</Paragraphs>
  <ScaleCrop>false</ScaleCrop>
  <Company/>
  <LinksUpToDate>false</LinksUpToDate>
  <CharactersWithSpaces>53368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2026-02-12T18:54:03Z</dcterms:created>
  <dcterms:modified xsi:type="dcterms:W3CDTF">2026-02-12T18:54:03Z</dcterms:modified>
</cp:coreProperties>
</file>

<file path=docProps/custom.xml><?xml version="1.0" encoding="utf-8"?>
<Properties xmlns="http://schemas.openxmlformats.org/officeDocument/2006/custom-properties" xmlns:vt="http://schemas.openxmlformats.org/officeDocument/2006/docPropsVTypes"/>
</file>