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introduction"/>
    <w:p>
      <w:pPr>
        <w:pStyle w:val="Heading2"/>
      </w:pPr>
      <w:r>
        <w:t xml:space="preserve">Introduction</w:t>
      </w:r>
    </w:p>
    <w:p>
      <w:pPr>
        <w:pStyle w:val="FirstParagraph"/>
      </w:pPr>
      <w:r>
        <w:t xml:space="preserve">Advances in cancer imaging technologies have significantly improved the detection and diagnosis of cancerous tissues, with such as those associated with UIDs, and focusing on enhancing imaging modalities for earlier and more accurate cancer detection</w:t>
      </w:r>
      <w:r>
        <w:rPr>
          <w:rStyle w:val="FootnoteReference"/>
        </w:rPr>
        <w:footnoteReference w:id="20"/>
      </w:r>
      <w:r>
        <w:t xml:space="preserve">.</w:t>
      </w:r>
      <w:r>
        <w:rPr>
          <w:rStyle w:val="FootnoteReference"/>
        </w:rPr>
        <w:footnoteReference w:id="22"/>
      </w:r>
      <w:r>
        <w:rPr>
          <w:rStyle w:val="FootnoteReference"/>
        </w:rPr>
        <w:footnoteReference w:id="24"/>
      </w:r>
      <w:r>
        <w:t xml:space="preserve"> </w:t>
      </w:r>
      <w:r>
        <w:t xml:space="preserve">The collaborative across various institutes, including NCATS and NIEHS, have highlighted the importance of interdisciplinary approaches in understanding the complexities of cancer research, projects linked to UIDs and, which emphasize the role of environmental factors in cancer development.</w:t>
      </w:r>
      <w:r>
        <w:rPr>
          <w:rStyle w:val="FootnoteReference"/>
        </w:rPr>
        <w:footnoteReference w:id="26"/>
      </w:r>
      <w:r>
        <w:rPr>
          <w:rStyle w:val="FootnoteReference"/>
        </w:rPr>
        <w:footnoteReference w:id="28"/>
      </w:r>
      <w:r>
        <w:t xml:space="preserve"> </w:t>
      </w:r>
      <w:r>
        <w:t xml:space="preserve">These studies have underscored the need for a comprehensive understanding of the interplay between genetic and environmental influences on cancer. Furthermore, the involvement of institutes such as the NIAMS, as indicated by UID, has contributed to a broader understanding of cancer biology.</w:t>
      </w:r>
      <w:r>
        <w:rPr>
          <w:rStyle w:val="FootnoteReference"/>
        </w:rPr>
        <w:footnoteReference w:id="30"/>
      </w:r>
      <w:r>
        <w:t xml:space="preserve"> </w:t>
      </w:r>
      <w:r>
        <w:t xml:space="preserve">The translational impact of such research is substantial, with potential applications in preventive interventions, therapeutics, and implementation science, and equity and access considerations are critical given the disparities in cancer outcomes across different populations, a concern addressed in part by like those UID.</w:t>
      </w:r>
      <w:r>
        <w:rPr>
          <w:rStyle w:val="FootnoteReference"/>
        </w:rPr>
        <w:footnoteReference w:id="32"/>
      </w:r>
      <w:r>
        <w:t xml:space="preserve"> </w:t>
      </w:r>
      <w:r>
        <w:t xml:space="preserve">Overall, the progress in cancer research demonstrates the value of collaborative and interdisciplinary approaches in advancing our understanding of cancer and improving patient outcomes. The development of data commons and computational resources has been instrumental in supporting cancer research, facilitating the integration of large datasets and the application of advanced analytical tools, as those supported by NCI, including UIDs, and 250_NCI</w:t>
      </w:r>
      <w:r>
        <w:rPr>
          <w:rStyle w:val="FootnoteReference"/>
        </w:rPr>
        <w:footnoteReference w:id="34"/>
      </w:r>
      <w:r>
        <w:t xml:space="preserve">.</w:t>
      </w:r>
      <w:r>
        <w:rPr>
          <w:rStyle w:val="FootnoteReference"/>
        </w:rPr>
        <w:footnoteReference w:id="36"/>
      </w:r>
      <w:r>
        <w:rPr>
          <w:rStyle w:val="FootnoteReference"/>
        </w:rPr>
        <w:footnoteReference w:id="38"/>
      </w:r>
      <w:r>
        <w:t xml:space="preserve"> </w:t>
      </w:r>
      <w:r>
        <w:t xml:space="preserve">Moreover, the emphasis on reproducibility and the adoption of open science practices have enhanced the reliability and generalizability of research findings, projects associated with UIDs and 212_NCATS.</w:t>
      </w:r>
      <w:r>
        <w:rPr>
          <w:rStyle w:val="FootnoteReference"/>
        </w:rPr>
        <w:footnoteReference w:id="40"/>
      </w:r>
      <w:r>
        <w:rPr>
          <w:rStyle w:val="FootnoteReference"/>
        </w:rPr>
        <w:footnoteReference w:id="42"/>
      </w:r>
      <w:r>
        <w:t xml:space="preserve"> </w:t>
      </w:r>
      <w:r>
        <w:t xml:space="preserve">The involvement of multiple institutes, including the NIDCR, as indicated by UID, and NIBIB, like those indicated by UID, underscores the collaborative nature of cancer research, with each contributing unique expertise and resources to advance the field.</w:t>
      </w:r>
      <w:r>
        <w:rPr>
          <w:rStyle w:val="FootnoteReference"/>
        </w:rPr>
        <w:footnoteReference w:id="44"/>
      </w:r>
      <w:r>
        <w:rPr>
          <w:rStyle w:val="FootnoteReference"/>
        </w:rPr>
        <w:footnoteReference w:id="46"/>
      </w:r>
      <w:r>
        <w:t xml:space="preserve"> </w:t>
      </w:r>
      <w:r>
        <w:t xml:space="preserve">As research continues to evolve, the implementation of findings in clinical and community settings will be crucial, necessitating strong partnerships between researchers, clinicians, and public health professionals. The integration of findings from various projects, such as those associated with UID, will be essential in informing future research directions and improving patient outcomes.</w:t>
      </w:r>
      <w:r>
        <w:rPr>
          <w:rStyle w:val="FootnoteReference"/>
        </w:rPr>
        <w:footnoteReference w:id="48"/>
      </w:r>
      <w:r>
        <w:t xml:space="preserve"> </w:t>
      </w:r>
      <w:r>
        <w:t xml:space="preserve">Ultimately, the collective of the cancer research community, supported by like those linked to UID, will be critical in addressing the complex challenges posed by cancer and in developing effective strategies for prevention, diagnosis, and treatment.</w:t>
      </w:r>
    </w:p>
    <w:p>
      <w:r>
        <w:br w:type="page"/>
      </w:r>
    </w:p>
    <w:bookmarkEnd w:id="50"/>
    <w:bookmarkStart w:id="66" w:name="summary"/>
    <w:p>
      <w:pPr>
        <w:pStyle w:val="Heading2"/>
      </w:pPr>
      <w:r>
        <w:t xml:space="preserve">Summary</w:t>
      </w:r>
    </w:p>
    <w:p>
      <w:pPr>
        <w:pStyle w:val="FirstParagraph"/>
      </w:pPr>
      <w:r>
        <w:t xml:space="preserve">The field of Cancer research has undergone significant developments, with a substantial number of, totaling 58 unique endeavors, and prominent participation from institutes such as NCI, NCATS, NIEHS, CC, NIAMS, NIDCR, NIBIB, and OSC. This collaborative landscape underscores the intricate and multidisciplinary nature of Cancer research, necessitating expertise from a wide range of fields. The involvement of NCI is particularly noteworthy, with numerous associated UIDs, including, and, which demonstrate the institute’s robust engagement in Cancer research</w:t>
      </w:r>
      <w:r>
        <w:rPr>
          <w:rStyle w:val="FootnoteReference"/>
        </w:rPr>
        <w:footnoteReference w:id="51"/>
      </w:r>
      <w:r>
        <w:t xml:space="preserve">.</w:t>
      </w:r>
      <w:r>
        <w:rPr>
          <w:rStyle w:val="FootnoteReference"/>
        </w:rPr>
        <w:footnoteReference w:id="52"/>
      </w:r>
      <w:r>
        <w:rPr>
          <w:rStyle w:val="FootnoteReference"/>
        </w:rPr>
        <w:footnoteReference w:id="53"/>
      </w:r>
      <w:r>
        <w:t xml:space="preserve"> </w:t>
      </w:r>
      <w:r>
        <w:t xml:space="preserve">Moreover, the participation of NCATS and NIEHS indicates a considerable focus on translational research and environmental health aspects of Cancer, respectively, UIDs and 482_NIEHS.</w:t>
      </w:r>
      <w:r>
        <w:rPr>
          <w:rStyle w:val="FootnoteReference"/>
        </w:rPr>
        <w:footnoteReference w:id="54"/>
      </w:r>
      <w:r>
        <w:rPr>
          <w:rStyle w:val="FootnoteReference"/>
        </w:rPr>
        <w:footnoteReference w:id="55"/>
      </w:r>
      <w:r>
        <w:t xml:space="preserve"> </w:t>
      </w:r>
      <w:r>
        <w:t xml:space="preserve">The diversity of participating institutes and their areas of focus collectively contribute to a comprehensive understanding of Cancer. Additionally, the engagement of other institutes, such as NIAMS and NIDCR, with UIDs like and, further highlights the breadth of Cancer research.</w:t>
      </w:r>
      <w:r>
        <w:rPr>
          <w:rStyle w:val="FootnoteReference"/>
        </w:rPr>
        <w:footnoteReference w:id="56"/>
      </w:r>
      <w:r>
        <w:rPr>
          <w:rStyle w:val="FootnoteReference"/>
        </w:rPr>
        <w:footnoteReference w:id="57"/>
      </w:r>
      <w:r>
        <w:t xml:space="preserve"> </w:t>
      </w:r>
      <w:r>
        <w:t xml:space="preserve">The collaborative nature of these endeavors is essential for advancing Cancer research and improving patient outcomes. Cancer research encompasses a broad spectrum of, ranging from prevention and diagnosis to treatment and survivorship, with various institutes contributing their expertise to these. conducted by NCI, such as those associated with UIDs and, highlight the institute’s commitment to exploring innovative treatments and therapies.</w:t>
      </w:r>
      <w:r>
        <w:rPr>
          <w:rStyle w:val="FootnoteReference"/>
        </w:rPr>
        <w:footnoteReference w:id="58"/>
      </w:r>
      <w:r>
        <w:rPr>
          <w:rStyle w:val="FootnoteReference"/>
        </w:rPr>
        <w:footnoteReference w:id="59"/>
      </w:r>
      <w:r>
        <w:t xml:space="preserve"> </w:t>
      </w:r>
      <w:r>
        <w:t xml:space="preserve">The collective endeavors of NCI, the work associated with UIDs and, underscore their commitment to advancing our understanding of Cancer and improving patient outcomes.</w:t>
      </w:r>
      <w:r>
        <w:rPr>
          <w:rStyle w:val="FootnoteReference"/>
        </w:rPr>
        <w:footnoteReference w:id="60"/>
      </w:r>
      <w:r>
        <w:rPr>
          <w:rStyle w:val="FootnoteReference"/>
        </w:rPr>
        <w:footnoteReference w:id="61"/>
      </w:r>
      <w:r>
        <w:t xml:space="preserve"> </w:t>
      </w:r>
      <w:r>
        <w:t xml:space="preserve">Furthermore, the participation of other institutes, such as NCATS and NIEHS, with UIDs like and, demonstrates the importance of interdisciplinary collaboration in Cancer research.</w:t>
      </w:r>
      <w:r>
        <w:rPr>
          <w:rStyle w:val="FootnoteReference"/>
        </w:rPr>
        <w:footnoteReference w:id="63"/>
      </w:r>
      <w:r>
        <w:rPr>
          <w:rStyle w:val="FootnoteReference"/>
        </w:rPr>
        <w:footnoteReference w:id="64"/>
      </w:r>
      <w:r>
        <w:t xml:space="preserve"> </w:t>
      </w:r>
      <w:r>
        <w:t xml:space="preserve">The multifaceted approach to Cancer research is crucial for developing effective strategies to combat the disease and enhance patient care. Overall, the breadth and depth of Cancer research, as reflected in the numerous UIDs and participating institutes, underscore the complexity and challenges of addressing Cancer, and the need for continued collaboration and innovation in this field.</w:t>
      </w:r>
    </w:p>
    <w:bookmarkEnd w:id="66"/>
    <w:bookmarkStart w:id="120" w:name="advanced-imaging-ai-tools"/>
    <w:p>
      <w:pPr>
        <w:pStyle w:val="Heading2"/>
      </w:pPr>
      <w:r>
        <w:t xml:space="preserve">Advanced Imaging &amp; AI Tools</w:t>
      </w:r>
    </w:p>
    <w:p>
      <w:pPr>
        <w:pStyle w:val="FirstParagraph"/>
      </w:pPr>
      <w:r>
        <w:t xml:space="preserve">2_CC, 110_NIAMS, 206_NCATS, 244_NCI, 246_NCI, 248_NCI, 249_NCI, 252_NCI, 253_NCI, 258_NCI, 261_NCI, 263_NCI, 264_NCI, 266_NCI, 267_NCI, 270_NCI, 272_NCI, 276_NCI, 278_NCI, 279_NCI, 281_NCI, 282_NCI, 482_NIEHS, 493_NIEHS, 519_NHGRI, 640_OSC, 648_THRO, 684_NIMHD, 838_NINDS, 933_NIBIB, 944_NIBIB</w:t>
      </w:r>
    </w:p>
    <w:p>
      <w:pPr>
        <w:pStyle w:val="BodyText"/>
      </w:pPr>
      <w:r>
        <w:t xml:space="preserve">UID 2_CC</w:t>
      </w:r>
    </w:p>
    <w:p>
      <w:pPr>
        <w:pStyle w:val="BodyText"/>
      </w:pPr>
      <w:r>
        <w:t xml:space="preserve">The diagnostic performance of PET/CT and MRI in detecting spinal bone metastases was evaluated, yielding valuable insights into the detection of metastases in pheochromocytoma and paraganglioma. This study, titled</w:t>
      </w:r>
      <w:r>
        <w:t xml:space="preserve"> </w:t>
      </w:r>
      <w:r>
        <w:t xml:space="preserve">“Study in Pheochromocytoma and Paraganglioma,”</w:t>
      </w:r>
      <w:r>
        <w:t xml:space="preserve"> </w:t>
      </w:r>
      <w:r>
        <w:t xml:space="preserve">was led by NICHD, with the CC serving as the submitting ICO, and received support from the CC Biostatistics &amp; Clinical Epidemiology Services. The collaboration facilitated a comprehensive assessment of diagnostic modalities, focusing on the efficacy of PET/CT and MRI in identifying spinal bone metastases. By examining the diagnostic performance of these imaging techniques, the study aimed to inform clinical decision-making and improve patient outcomes. The findings of this research contribute to a deeper understanding of pheochromocytoma and paraganglioma, and their metastatic patterns, particularly in the context of spinal bone involvement.</w:t>
      </w:r>
      <w:r>
        <w:rPr>
          <w:rStyle w:val="FootnoteReference"/>
        </w:rPr>
        <w:footnoteReference w:id="67"/>
      </w:r>
      <w:r>
        <w:t xml:space="preserve"> </w:t>
      </w:r>
      <w:r>
        <w:t xml:space="preserve">[Entry 1]</w:t>
      </w:r>
    </w:p>
    <w:p>
      <w:pPr>
        <w:pStyle w:val="BodyText"/>
      </w:pPr>
      <w:r>
        <w:t xml:space="preserve">UID 110_NIAMS</w:t>
      </w:r>
    </w:p>
    <w:p>
      <w:pPr>
        <w:pStyle w:val="BodyText"/>
      </w:pPr>
      <w:r>
        <w:t xml:space="preserve">The presence of onychopapillomas on multiple nails has been identified as a potential indicator of BAP1 tumor predisposition syndrome (TPDS), a condition that increases the risk of developing cancerous tumors of the skin, eye, kidney, and mesothelium. This discovery, made at NIH Clinical Center, highlights the importance of early detection and screening for these nail abnormalities, as it enables cancer surveillance and genetic counseling for at-risk family members. The study, led by NIAMS in collaboration with NCI and DoD/Walter Reed, focused on the condition known as BAP1 TPDS, and the findings are summarized in the activity titled</w:t>
      </w:r>
      <w:r>
        <w:t xml:space="preserve"> </w:t>
      </w:r>
      <w:r>
        <w:t xml:space="preserve">“Nail Condition Suggests a Diagnosis of BAP1 Tumor Predisposition Syndrome”</w:t>
      </w:r>
      <w:r>
        <w:t xml:space="preserve">. As a result of this work, clinicians are now prompted to consider a diagnosis of BAP1 TPDS when encountering patients with these specific nail changes. The implications of this research are significant, and further investigation is warranted to fully understand the relationship between onychopapillomas and BAP1 TPDS.</w:t>
      </w:r>
      <w:r>
        <w:rPr>
          <w:rStyle w:val="FootnoteReference"/>
        </w:rPr>
        <w:footnoteReference w:id="69"/>
      </w:r>
      <w:r>
        <w:t xml:space="preserve"> </w:t>
      </w:r>
      <w:r>
        <w:t xml:space="preserve">[Entry 2]</w:t>
      </w:r>
    </w:p>
    <w:p>
      <w:pPr>
        <w:pStyle w:val="BodyText"/>
      </w:pPr>
      <w:r>
        <w:t xml:space="preserve">UID 206_NCATS</w:t>
      </w:r>
    </w:p>
    <w:p>
      <w:pPr>
        <w:pStyle w:val="BodyText"/>
      </w:pPr>
      <w:r>
        <w:t xml:space="preserve">The development of precision cancer therapies is poised to benefit from a new database that links extensive drug activity data to detailed molecular information about cancer cell lines. This database, called CellMinerCDB: NCATS, was developed by scientists at the Center for Cancer Research and expands a set of freely available CellMiner tools. By integrating drug response data from 183 cancer cell lines tested at NCATS with genomic and other molecular data, CellMinerCDB: NCATS enables exploration of relationships between cancer cells’ molecular makeup and their response to potential therapies, facilitating drug discovery and identification of the best treatments for individual patients. NCATS, in collaboration with NCI, has made this significant contribution, as outlined in the activity named</w:t>
      </w:r>
      <w:r>
        <w:t xml:space="preserve"> </w:t>
      </w:r>
      <w:r>
        <w:t xml:space="preserve">“With new database, NCATS data is poised to support development of precision cancer therapies”</w:t>
      </w:r>
      <w:r>
        <w:t xml:space="preserve">. This advancement is critical for understanding how molecular features influence cancer cells’ response to therapy, and it is a key step forward in the development of precision cancer therapies.</w:t>
      </w:r>
      <w:r>
        <w:rPr>
          <w:rStyle w:val="FootnoteReference"/>
        </w:rPr>
        <w:footnoteReference w:id="71"/>
      </w:r>
      <w:r>
        <w:t xml:space="preserve"> </w:t>
      </w:r>
      <w:r>
        <w:t xml:space="preserve">[Entry 3]</w:t>
      </w:r>
    </w:p>
    <w:p>
      <w:pPr>
        <w:pStyle w:val="BodyText"/>
      </w:pPr>
      <w:r>
        <w:t xml:space="preserve">UID 244_NCI</w:t>
      </w:r>
    </w:p>
    <w:p>
      <w:pPr>
        <w:pStyle w:val="BodyText"/>
      </w:pPr>
      <w:r>
        <w:t xml:space="preserve">The establishment of the Barrett’s Esophagus Translational Research Network (BETRNet) has significantly advanced the understanding of esophageal cancer biology, particularly in the context of Barrett’s Esophagus (BE) and its progression to esophageal adenocarcinoma (EAC). Through the efforts of NCI, as both the submitting and lead ICO, with no additional collaborating ICOs or agencies, the BETRNet program has developed translational applications by investigating the genetics, epigenetics, and transcriptomics of BE and EAC, and has made notable progress in improving prevention strategies and patient management. The program’s findings have implicated a specific esophageal cell type in BE risk, identified potential new biomarkers for early cancer detection, and highlighted the promise of a cranberry-derived compound in preventing EAC progression. By achieving a better understanding of the molecular pathways involved in BE and EAC, the BETRNet program has paved the way for more effective prevention and therapeutic approaches. The network’s accomplishments demonstrate the value of targeted research initiatives in addressing the rising incidence of esophageal cancer, as exemplified by the work of the Barrett’s Esophagus Translational Research Network (BETRNet).</w:t>
      </w:r>
      <w:r>
        <w:rPr>
          <w:rStyle w:val="FootnoteReference"/>
        </w:rPr>
        <w:footnoteReference w:id="72"/>
      </w:r>
      <w:r>
        <w:t xml:space="preserve"> </w:t>
      </w:r>
      <w:r>
        <w:t xml:space="preserve">[Entry 4]</w:t>
      </w:r>
    </w:p>
    <w:p>
      <w:pPr>
        <w:pStyle w:val="BodyText"/>
      </w:pPr>
      <w:r>
        <w:t xml:space="preserve">UID 246_NCI</w:t>
      </w:r>
    </w:p>
    <w:p>
      <w:pPr>
        <w:pStyle w:val="BodyText"/>
      </w:pPr>
      <w:r>
        <w:t xml:space="preserve">The fate of cells with cancer-causing mutations is influenced by their location in the body, with certain oncogenes leading to the development of a rare type of skin cancer in specific areas. This phenomenon is attributed to positional gene expression programs that cancer cells exploit to grow in particular locations. The study of acral melanoma, the most common melanoma in people with dark skin, has shed light on the underlying biology of this cancer and may have implications for the development of treatments. Supported by NCI, this research was led by NCI, with no collaborating ICOs or agencies, and is part of the activity entitled</w:t>
      </w:r>
      <w:r>
        <w:t xml:space="preserve"> </w:t>
      </w:r>
      <w:r>
        <w:t xml:space="preserve">“Body location may influence fate of cells with cancer-causing mutations”</w:t>
      </w:r>
      <w:r>
        <w:t xml:space="preserve">. The findings of this study may also provide clues to the development and treatment of other cancer types, highlighting the importance of considering the interplay between cellular genetics and environmental factors.</w:t>
      </w:r>
      <w:r>
        <w:rPr>
          <w:rStyle w:val="FootnoteReference"/>
        </w:rPr>
        <w:footnoteReference w:id="73"/>
      </w:r>
      <w:r>
        <w:t xml:space="preserve"> </w:t>
      </w:r>
      <w:r>
        <w:t xml:space="preserve">[Entry 5]</w:t>
      </w:r>
    </w:p>
    <w:p>
      <w:pPr>
        <w:pStyle w:val="BodyText"/>
      </w:pPr>
      <w:r>
        <w:t xml:space="preserve">UID 248_NCI</w:t>
      </w:r>
    </w:p>
    <w:p>
      <w:pPr>
        <w:pStyle w:val="BodyText"/>
      </w:pPr>
      <w:r>
        <w:t xml:space="preserve">The establishment of a unified framework for secure and responsible data sharing in genomics research worldwide has been a significant outcome of the Cancer Research Data Commons cloud-based computational platforms, which maintained about 10 PB of cancer data across 55 million files. This effort, led by NCI, has streamlined data ingestion, enhanced user experience, and facilitated file sharing across platforms, with over 2,000 public tools and workflows available to researchers. NCI Cloud Resources have also supported researchers in increasing user adoption, expanding the user base, and establishing new collaborations focused on multi-omics analysis, RNA silencing and editing, sequencing, and neoantigen biomarker identification. Through the Cancer Research Data Commons cloud-based storage and computational resources, the research community has been provided with ongoing support and training. This comprehensive approach has been instrumental in advancing genomics research, and its impact continues to grow.</w:t>
      </w:r>
      <w:r>
        <w:rPr>
          <w:rStyle w:val="FootnoteReference"/>
        </w:rPr>
        <w:footnoteReference w:id="74"/>
      </w:r>
      <w:r>
        <w:t xml:space="preserve"> </w:t>
      </w:r>
      <w:r>
        <w:t xml:space="preserve">[Entry 6]</w:t>
      </w:r>
    </w:p>
    <w:p>
      <w:pPr>
        <w:pStyle w:val="BodyText"/>
      </w:pPr>
      <w:r>
        <w:t xml:space="preserve">UID 249_NCI</w:t>
      </w:r>
    </w:p>
    <w:p>
      <w:pPr>
        <w:pStyle w:val="BodyText"/>
      </w:pPr>
      <w:r>
        <w:t xml:space="preserve">The annual Cancer Trends Progress Report provides key measures of progress along the cancer control continuum in relation to Healthy People 2030 targets set forth by the Department of Health and Human Services, utilizing national trend data to illustrate improvements made. This report, a collaborative effort between NCI and the Centers for Disease Control and Prevention, offers updated and new measures addressing current issues such as sleep, treatment for melanoma, and evidence-based smoking cessation aids. The report’s comprehensive approach includes mortality rates and other standard measures of cancer control, as well as the Healthy Eating Index and systemic therapy treatment for both bladder and kidney cancers. By leveraging these data, the report aims to inform cancer control efforts and track progress towards national health objectives. The Cancer Trends Progress Report is led by NCI, with the submitting institute also being NCI, and is a vital resource for understanding trends in cancer control.</w:t>
      </w:r>
      <w:r>
        <w:rPr>
          <w:rStyle w:val="FootnoteReference"/>
        </w:rPr>
        <w:footnoteReference w:id="75"/>
      </w:r>
      <w:r>
        <w:t xml:space="preserve"> </w:t>
      </w:r>
      <w:r>
        <w:t xml:space="preserve">[Entry 7]</w:t>
      </w:r>
    </w:p>
    <w:p>
      <w:pPr>
        <w:pStyle w:val="BodyText"/>
      </w:pPr>
      <w:r>
        <w:t xml:space="preserve">UID 252_NCI</w:t>
      </w:r>
    </w:p>
    <w:p>
      <w:pPr>
        <w:pStyle w:val="BodyText"/>
      </w:pPr>
      <w:r>
        <w:t xml:space="preserve">The development of innovative cancer prevention, diagnosis, treatment, and survivorship approaches has been accelerated through the launch of the Clinical Trials Innovation Unit, which leverages cutting-edge science, efficient clinical research, and expert collaboration to support studies with the potential to alter standards of care. This initiative, led by NCI, in collaboration with the FDA and the research community, has undertaken projects such as the PROSPECT-Lung clinical trial, aiming to determine the optimal timing of immunotherapy in the treatment of non-small cell lung cancer. The trial’s innovative design and simplified data collection methods are expected to improve outcomes for patients with this common type of lung cancer. By streamlining clinical trial design and conduct, the Clinical Trials Innovation Unit is poised to make a significant impact on the field of cancer research. The collaboration between NCI, FDA, and other experts has been instrumental in driving this initiative forward.</w:t>
      </w:r>
      <w:r>
        <w:rPr>
          <w:rStyle w:val="FootnoteReference"/>
        </w:rPr>
        <w:footnoteReference w:id="76"/>
      </w:r>
      <w:r>
        <w:t xml:space="preserve"> </w:t>
      </w:r>
      <w:r>
        <w:t xml:space="preserve">[Entry 8]</w:t>
      </w:r>
    </w:p>
    <w:p>
      <w:pPr>
        <w:pStyle w:val="BodyText"/>
      </w:pPr>
      <w:r>
        <w:t xml:space="preserve">UID 253_NCI</w:t>
      </w:r>
    </w:p>
    <w:p>
      <w:pPr>
        <w:pStyle w:val="BodyText"/>
      </w:pPr>
      <w:r>
        <w:t xml:space="preserve">The identification of mutated KRAS gene forms in various cancers, including pancreatic, colorectal, and non-small cell lung cancer, has led to the development of KRAS inhibitors, which, although effective, can prompt tumor resistance through the reactivation of extracellular signal-regulated kinase (ERK) proteins. These ERK proteins play a crucial role in regulating cellular processes such as growth and differentiation, and their activation can trigger the activation of thousands of other proteins that promote cancer cell growth and drive resistance to KRAS inhibitors. NCI, as the submitting and lead ICO, with no collaborating ICOs or agencies, has supported a study titled</w:t>
      </w:r>
      <w:r>
        <w:t xml:space="preserve"> </w:t>
      </w:r>
      <w:r>
        <w:t xml:space="preserve">“Determining how ERK proteins drive resistance in KRAS-mutant cancers,”</w:t>
      </w:r>
      <w:r>
        <w:t xml:space="preserve"> </w:t>
      </w:r>
      <w:r>
        <w:t xml:space="preserve">which aims to elucidate the mechanisms underlying ERK-mediated resistance. This study provides valuable insights into the role of ERK proteins in supporting tumor growth, and its findings can inform the development of therapies that are effective for the long-term treatment of KRAS-mutant cancers. The outcomes of this research have significant implications for advancing cancer treatment, and further investigation is warranted to fully exploit its potential.</w:t>
      </w:r>
      <w:r>
        <w:rPr>
          <w:rStyle w:val="FootnoteReference"/>
        </w:rPr>
        <w:footnoteReference w:id="78"/>
      </w:r>
      <w:r>
        <w:t xml:space="preserve"> </w:t>
      </w:r>
      <w:r>
        <w:t xml:space="preserve">[Entry 9]</w:t>
      </w:r>
    </w:p>
    <w:p>
      <w:pPr>
        <w:pStyle w:val="BodyText"/>
      </w:pPr>
      <w:r>
        <w:t xml:space="preserve">UID 258_NCI</w:t>
      </w:r>
    </w:p>
    <w:p>
      <w:pPr>
        <w:pStyle w:val="BodyText"/>
      </w:pPr>
      <w:r>
        <w:t xml:space="preserve">The approval of CYTALUX, a targeted fluorescent imaging agent, marks a significant advancement in the identification of ovarian cancer during surgery, enabling the detection of more cancer cells for removal and helping to ensure surgical margins are clear. This breakthrough was achieved through the development and testing of CYTALUX, which received funding from NCI SBIR program in its early phases. NCI, as the submitting and lead ICO, played a crucial role in this endeavor, with no collaborating ICOs or agencies listed. The activity, named FDA approval of CYTALUX for identification of ovarian cancer during surgery, highlights the importance of innovative imaging agents in improving surgical outcomes. This achievement demonstrates the potential of targeted fluorescent imaging to enhance cancer treatment, and it is a testament to the impact of NCI’s funding initiatives.</w:t>
      </w:r>
      <w:r>
        <w:rPr>
          <w:rStyle w:val="FootnoteReference"/>
        </w:rPr>
        <w:footnoteReference w:id="80"/>
      </w:r>
      <w:r>
        <w:t xml:space="preserve"> </w:t>
      </w:r>
      <w:r>
        <w:t xml:space="preserve">[Entry 10]</w:t>
      </w:r>
    </w:p>
    <w:p>
      <w:pPr>
        <w:pStyle w:val="BodyText"/>
      </w:pPr>
      <w:r>
        <w:t xml:space="preserve">UID 261_NCI</w:t>
      </w:r>
    </w:p>
    <w:p>
      <w:pPr>
        <w:pStyle w:val="BodyText"/>
      </w:pPr>
      <w:r>
        <w:t xml:space="preserve">The identification of unique gene expression profiles has enabled the characterization of rare tumor-reactive lymphocytes, which can infiltrate and shrink tumors in select patients with metastatic cancers. This breakthrough, achieved through the analysis of tumor-infiltrating lymphocytes, has significant implications for the development and efficacy of tumor-infiltrating lymphocytes (TIL) therapy, a type of immunotherapy. NCI, led by NCI, has made notable contributions to this field, with findings that could be broadly applied to various cancers, including stomach, esophageal, ovarian, and breast cancers. The essence of this work lies in the potential to isolate, expand, and reinfuse tumor-reactive lymphocytes to attack cancer cells, recognizing mutated proteins on their surface called cancer antigens. This innovative approach, as seen in the activity named</w:t>
      </w:r>
      <w:r>
        <w:t xml:space="preserve"> </w:t>
      </w:r>
      <w:r>
        <w:t xml:space="preserve">“Identification of a gene signature characteristic of tumor reactive lymphocytes”</w:t>
      </w:r>
      <w:r>
        <w:t xml:space="preserve">, holds promise for advancing immunotherapy.</w:t>
      </w:r>
      <w:r>
        <w:rPr>
          <w:rStyle w:val="FootnoteReference"/>
        </w:rPr>
        <w:footnoteReference w:id="82"/>
      </w:r>
      <w:r>
        <w:t xml:space="preserve"> </w:t>
      </w:r>
      <w:r>
        <w:t xml:space="preserve">[Entry 11]</w:t>
      </w:r>
    </w:p>
    <w:p>
      <w:pPr>
        <w:pStyle w:val="BodyText"/>
      </w:pPr>
      <w:r>
        <w:t xml:space="preserve">UID 263_NCI</w:t>
      </w:r>
    </w:p>
    <w:p>
      <w:pPr>
        <w:pStyle w:val="BodyText"/>
      </w:pPr>
      <w:r>
        <w:t xml:space="preserve">The identification of the ETV6 protein as a critical component in Ewing sarcoma has shed new light on the development of targeted therapies for this aggressive childhood cancer. Genetic screening has revealed that ETV6 plays a pivotal role in promoting tumor growth by modulating the behavior of the fusion protein responsible for the disease, while being dispensable for normal cells. NCI, as both the submitting and lead ICO, has supported research groups that have independently discovered the importance of ETV6, with no collaborating ICOs or agencies involved. The activity, titled</w:t>
      </w:r>
      <w:r>
        <w:t xml:space="preserve"> </w:t>
      </w:r>
      <w:r>
        <w:t xml:space="preserve">“Identification of the ETV6 protein as a potentially important target for Ewing sarcoma treatment,”</w:t>
      </w:r>
      <w:r>
        <w:t xml:space="preserve"> </w:t>
      </w:r>
      <w:r>
        <w:t xml:space="preserve">has yielded new mechanistic insights that may inform the development of a targeted drug interfering with ETV6, potentially translating to treatment options for other cancers driven by fusion proteins. This breakthrough has significant implications for the treatment of Ewing sarcoma and possibly other cancers, and further research is warranted to explore the therapeutic potential of targeting ETV6.</w:t>
      </w:r>
      <w:r>
        <w:rPr>
          <w:rStyle w:val="FootnoteReference"/>
        </w:rPr>
        <w:footnoteReference w:id="84"/>
      </w:r>
      <w:r>
        <w:t xml:space="preserve"> </w:t>
      </w:r>
      <w:r>
        <w:t xml:space="preserve">[Entry 12]</w:t>
      </w:r>
    </w:p>
    <w:p>
      <w:pPr>
        <w:pStyle w:val="BodyText"/>
      </w:pPr>
      <w:r>
        <w:t xml:space="preserve">UID 264_NCI</w:t>
      </w:r>
    </w:p>
    <w:p>
      <w:pPr>
        <w:pStyle w:val="BodyText"/>
      </w:pPr>
      <w:r>
        <w:t xml:space="preserve">The progression of gastric adenocarcinoma, one of the deadliest cancers worldwide, has been elucidated through a comprehensive study of the tumor microenvironment, revealing novel insights into the evolution of immune and stromal cell populations during disease development. By generating a high-resolution gastric cancer tumor microenvironment atlas from samples at various disease stages, the study identified potential therapeutic targets, including a highly expressed gene involved in cell growth, migration, and tumor microenvironment structure, which is associated with aggressive gastric cancer and poor patient outcomes. This research was conducted under the auspices of NCI, with NCI serving as both the submitting and lead Institute, and no additional collaborating Institutes or organizations. The activity, titled</w:t>
      </w:r>
      <w:r>
        <w:t xml:space="preserve"> </w:t>
      </w:r>
      <w:r>
        <w:t xml:space="preserve">“Immune and stromal cell evolution during gastric adenocarcinoma progression,”</w:t>
      </w:r>
      <w:r>
        <w:t xml:space="preserve"> </w:t>
      </w:r>
      <w:r>
        <w:t xml:space="preserve">has shed light on the complex interplay between immune and stromal cells in gastric cancer progression. The findings of this study have significant implications for the development of novel therapeutic strategies, and further investigation is warranted to explore the potential of these targets.</w:t>
      </w:r>
      <w:r>
        <w:rPr>
          <w:rStyle w:val="FootnoteReference"/>
        </w:rPr>
        <w:footnoteReference w:id="85"/>
      </w:r>
      <w:r>
        <w:t xml:space="preserve"> </w:t>
      </w:r>
      <w:r>
        <w:t xml:space="preserve">[Entry 13]</w:t>
      </w:r>
    </w:p>
    <w:p>
      <w:pPr>
        <w:pStyle w:val="BodyText"/>
      </w:pPr>
      <w:r>
        <w:t xml:space="preserve">UID 266_NCI</w:t>
      </w:r>
    </w:p>
    <w:p>
      <w:pPr>
        <w:pStyle w:val="BodyText"/>
      </w:pPr>
      <w:r>
        <w:t xml:space="preserve">The interaction between tumors and the immune system in breast cancer is significantly influenced by inherited genetic mutations, which can affect the process of germline-mediated immunoediting. Through the analysis of sequencing data and the use of computational approaches, it has been discovered that these genetic alterations can shape breast cancer subtypes and influence tumor evolution and progression to metastatic disease. NCI, as the submitting and lead ICO, supported this research, which has enhanced our understanding of breast cancer origins and uncovered potential biomarkers for forecasting tumor progression and predicting the risk of invasive breast cancer recurrence. This work, part of the activity named</w:t>
      </w:r>
      <w:r>
        <w:t xml:space="preserve"> </w:t>
      </w:r>
      <w:r>
        <w:t xml:space="preserve">“Inherited genetic mutations impact how tumors and the immune system interact in breast cancer”</w:t>
      </w:r>
      <w:r>
        <w:t xml:space="preserve">, highlights the complex interplay between genetic factors and immune system interactions in breast cancer. The findings of this research contribute to a deeper understanding of the disease, with the goal of improving patient outcomes.</w:t>
      </w:r>
      <w:r>
        <w:rPr>
          <w:rStyle w:val="FootnoteReference"/>
        </w:rPr>
        <w:footnoteReference w:id="87"/>
      </w:r>
      <w:r>
        <w:t xml:space="preserve"> </w:t>
      </w:r>
      <w:r>
        <w:t xml:space="preserve">[Entry 14]</w:t>
      </w:r>
    </w:p>
    <w:p>
      <w:pPr>
        <w:pStyle w:val="BodyText"/>
      </w:pPr>
      <w:r>
        <w:t xml:space="preserve">UID 267_NCI</w:t>
      </w:r>
    </w:p>
    <w:p>
      <w:pPr>
        <w:pStyle w:val="BodyText"/>
      </w:pPr>
      <w:r>
        <w:t xml:space="preserve">Investigations into earlier identification of asymptomatic cancers are underway through the launch of the Cancer Screening Research Network, a collaborative effort aimed at reducing cancer incidence and related morbidity and mortality. The network, led by NCI, in collaboration with the Department of Defense and the Veterans Affairs, seeks to evaluate cancer screening technologies for detecting and diagnosing cancers and pre-cancerous lesions before symptoms develop. By funding eight geographically dispersed network sites, the initiative aims to reach diverse populations, including those that are medically underserved, thereby assessing the feasibility of multi-cancer detection tests in large-scale studies. The pilot Vanguard Study, slated for 2025, will pave the way for future research into the benefits of using these tests for early cancer detection and their potential to reduce cancer-related deaths. This comprehensive approach to cancer screening research holds promise for improving outcomes, and its findings will be crucial in informing future screening guidelines.</w:t>
      </w:r>
      <w:r>
        <w:rPr>
          <w:rStyle w:val="FootnoteReference"/>
        </w:rPr>
        <w:footnoteReference w:id="89"/>
      </w:r>
      <w:r>
        <w:t xml:space="preserve"> </w:t>
      </w:r>
      <w:r>
        <w:t xml:space="preserve">[Entry 15]</w:t>
      </w:r>
    </w:p>
    <w:p>
      <w:pPr>
        <w:pStyle w:val="BodyText"/>
      </w:pPr>
      <w:r>
        <w:t xml:space="preserve">UID 270_NCI</w:t>
      </w:r>
    </w:p>
    <w:p>
      <w:pPr>
        <w:pStyle w:val="BodyText"/>
      </w:pPr>
      <w:r>
        <w:t xml:space="preserve">The survival of pancreatic ductal adenocarcinoma (PDAC) tumors is facilitated by their ability to utilize an alternative source of energy, the molecule uridine, when glucose is scarce. This adaptation enables PDAC to thrive in its characteristic microenvironment, which is often devoid of intact blood vessels and thus lacks a reliable glucose supply. The study, supported by NCI, with NCI as the lead and submitting ICO, and no collaborating ICOs or agencies, investigated this phenomenon through the activity</w:t>
      </w:r>
      <w:r>
        <w:t xml:space="preserve"> </w:t>
      </w:r>
      <w:r>
        <w:t xml:space="preserve">“Pancreatic cancer can use an alternative source of energy for survival when glucose is in short supply”</w:t>
      </w:r>
      <w:r>
        <w:t xml:space="preserve">, and found that animal models with cancer cells unable to use uridine formed significantly smaller and slower-growing tumors. These findings suggest that targeting uridine metabolism may offer a novel therapeutic approach for PDAC patients. The necessity of uridine for tumor growth highlights the potential for new treatment strategies, as evidenced by the work of NCI.</w:t>
      </w:r>
      <w:r>
        <w:rPr>
          <w:rStyle w:val="FootnoteReference"/>
        </w:rPr>
        <w:footnoteReference w:id="91"/>
      </w:r>
      <w:r>
        <w:t xml:space="preserve"> </w:t>
      </w:r>
      <w:r>
        <w:t xml:space="preserve">[Entry 16]</w:t>
      </w:r>
    </w:p>
    <w:p>
      <w:pPr>
        <w:pStyle w:val="BodyText"/>
      </w:pPr>
      <w:r>
        <w:t xml:space="preserve">UID 272_NCI</w:t>
      </w:r>
    </w:p>
    <w:p>
      <w:pPr>
        <w:pStyle w:val="BodyText"/>
      </w:pPr>
      <w:r>
        <w:t xml:space="preserve">The integration of artificial intelligence (AI) in cancer care has sparked discussions about ethical implications, particularly regarding patient consent and decisional responsibility. A study conducted among U.S.-based oncologists found that while few believed patients need to understand AI models, most agreed that patients should consent to their use, and many would let the patient decide when choosing between physician- and AI-recommended treatment regimens. The study, supported by NCI, highlights the need for rigorous assessments of AI’s impact on patient care decisions. Led by NCI, with the Submitting ICO being NCI, and no collaborating ICOs or agencies, the activity</w:t>
      </w:r>
      <w:r>
        <w:t xml:space="preserve"> </w:t>
      </w:r>
      <w:r>
        <w:t xml:space="preserve">“Perspectives of oncologists on the ethical implications of using artificial intelligence for cancer care”</w:t>
      </w:r>
      <w:r>
        <w:t xml:space="preserve"> </w:t>
      </w:r>
      <w:r>
        <w:t xml:space="preserve">sheds light on the complexities of AI implementation in oncology. NCI’s effort to evaluate oncologists’ views on AI ethics has significant implications for the future of cancer care, and the study’s findings suggest that oncologists largely agree on the importance of patient consent and accountability.</w:t>
      </w:r>
      <w:r>
        <w:rPr>
          <w:rStyle w:val="FootnoteReference"/>
        </w:rPr>
        <w:footnoteReference w:id="93"/>
      </w:r>
      <w:r>
        <w:t xml:space="preserve"> </w:t>
      </w:r>
      <w:r>
        <w:t xml:space="preserve">[Entry 17]</w:t>
      </w:r>
    </w:p>
    <w:p>
      <w:pPr>
        <w:pStyle w:val="BodyText"/>
      </w:pPr>
      <w:r>
        <w:t xml:space="preserve">UID 276_NCI</w:t>
      </w:r>
    </w:p>
    <w:p>
      <w:pPr>
        <w:pStyle w:val="BodyText"/>
      </w:pPr>
      <w:r>
        <w:t xml:space="preserve">The identification of a unique cancer-associated fibroblast (CAF) subpopulation has shed light on the complex interactions within the pancreatic tumor microenvironment, where these cells play a crucial role in promoting and supporting tumor growth and spread. This CAF subpopulation produces specific extracellular matrix components and regulates tissue stiffness, influencing the growth of nearby cancer cells. The study, supported by NCI, with NCI as the submitting and lead Institute, and no collaborating ICOs or agencies, focused on the activity named</w:t>
      </w:r>
      <w:r>
        <w:t xml:space="preserve"> </w:t>
      </w:r>
      <w:r>
        <w:t xml:space="preserve">“Subtype of cancer-associated fibroblasts plays unique roles in establishing the pancreatic tumor microenvironment”</w:t>
      </w:r>
      <w:r>
        <w:t xml:space="preserve">, and revealed that signals from nearby cells and molecules, together with differences among CAF populations, can lead to functionally distinct subtypes of CAFs. The research provides a basis for future studies to understand the mechanisms of how different CAF populations function within tumors, which will improve our understanding of how these cells contribute to cancer progression and could identify new therapeutic targets. The findings of this study have significant implications for the development of novel therapies, and further investigation is warranted to fully elucidate the role of CAFs in pancreatic cancer.</w:t>
      </w:r>
      <w:r>
        <w:rPr>
          <w:rStyle w:val="FootnoteReference"/>
        </w:rPr>
        <w:footnoteReference w:id="95"/>
      </w:r>
      <w:r>
        <w:t xml:space="preserve"> </w:t>
      </w:r>
      <w:r>
        <w:t xml:space="preserve">[Entry 18]</w:t>
      </w:r>
    </w:p>
    <w:p>
      <w:pPr>
        <w:pStyle w:val="BodyText"/>
      </w:pPr>
      <w:r>
        <w:t xml:space="preserve">UID 278_NCI</w:t>
      </w:r>
    </w:p>
    <w:p>
      <w:pPr>
        <w:pStyle w:val="BodyText"/>
      </w:pPr>
      <w:r>
        <w:t xml:space="preserve">Estimating the annual cost of cancer screening in the United States has yielded significant insights, with the total cost for breast, cervical, colorectal, lung, and prostate cancers reaching approximately $43 billion in 2021. The majority of these costs, almost two thirds, were attributed to colorectal cancer screening, with screening colonoscopies accounting for over half of the total annual health care system screening cost. This research, led by NCI, in collaboration with efforts to understand the annual cost of cancer screening, highlights the importance of screening in reducing cancer-specific mortality and improving quality of life. By shedding light on the costs associated with cancer screening, this study aims to inform strategies for improving access to recommended screenings, ultimately decreasing treatment costs and financial hardship. The findings of this study, as part of the broader effort to understand the economics of cancer care, have important implications for public health policy.</w:t>
      </w:r>
      <w:r>
        <w:rPr>
          <w:rStyle w:val="FootnoteReference"/>
        </w:rPr>
        <w:footnoteReference w:id="97"/>
      </w:r>
      <w:r>
        <w:t xml:space="preserve"> </w:t>
      </w:r>
      <w:r>
        <w:t xml:space="preserve">[Entry 19]</w:t>
      </w:r>
    </w:p>
    <w:p>
      <w:pPr>
        <w:pStyle w:val="BodyText"/>
      </w:pPr>
      <w:r>
        <w:t xml:space="preserve">UID 279_NCI</w:t>
      </w:r>
    </w:p>
    <w:p>
      <w:pPr>
        <w:pStyle w:val="BodyText"/>
      </w:pPr>
      <w:r>
        <w:t xml:space="preserve">Comprehensive and meaningful datasets are essential for improving treatments and outcomes for all children and adolescents and young adults (AYAs) with cancer, which is the primary focus of the Childhood Cancer Data Initiative: Using the power of data to learn from and improve outcomes for every child and young adult with cancer. This initiative, led by NCI, with NCI as the submitting Institute and no collaborating ICOs, agencies, or organizations, supports research studies and tools that enhance the ability to effectively use data, including the creation of cohorts that can address key scientific questions about childhood cancer. The initiative has already shown significant progress, with over 2,000 participants enrolled in the CCDI Molecular Characterization Initiative, receiving cutting-edge molecular testing, and the release of the pediatric Molecular Targets Platform, a knowledgebase that facilitates the prioritization of molecular targets relevant to pediatric cancer. The CCDI Hub, released in May 2023, serves as an entry point for researchers, data scientists, and citizen scientists seeking to access and work with CCDI-related data, further advancing the field of childhood cancer research. The initiative’s efforts have been instrumental in improving outcomes for children and AYAs with cancer, and its continued progress is crucial for advancing the field.</w:t>
      </w:r>
      <w:r>
        <w:rPr>
          <w:rStyle w:val="FootnoteReference"/>
        </w:rPr>
        <w:footnoteReference w:id="99"/>
      </w:r>
      <w:r>
        <w:t xml:space="preserve"> </w:t>
      </w:r>
      <w:r>
        <w:t xml:space="preserve">[Entry 20]</w:t>
      </w:r>
    </w:p>
    <w:p>
      <w:pPr>
        <w:pStyle w:val="BodyText"/>
      </w:pPr>
      <w:r>
        <w:t xml:space="preserve">UID 281_NCI</w:t>
      </w:r>
    </w:p>
    <w:p>
      <w:pPr>
        <w:pStyle w:val="BodyText"/>
      </w:pPr>
      <w:r>
        <w:t xml:space="preserve">Treatment with a new drug combination may have a survival benefit in genetic subtypes of diffuse large B-cell lymphoma, a finding that emerged from an international phase III trial testing a therapeutic approach for patients with previously untreated disease. The trial, which added ibrutinib to standard R-CHOP therapy, demonstrated a 12 percent survival benefit in younger patients with a certain subtype called non-germinal B-cell like DLBCL. Led by NCI, with the Submitting ICO and Lead ICO being NCI, and no collaborating ICOs or agencies, this research has contributed to a potential shift in treatment protocols. The activity, named</w:t>
      </w:r>
      <w:r>
        <w:t xml:space="preserve"> </w:t>
      </w:r>
      <w:r>
        <w:t xml:space="preserve">“Treatment with new drug combination may have survival benefit in genetic subtypes of diffuse large B-cell lymphoma,”</w:t>
      </w:r>
      <w:r>
        <w:t xml:space="preserve"> </w:t>
      </w:r>
      <w:r>
        <w:t xml:space="preserve">has informed considerations by the National Comprehensive Cancer Network to recommend adding ibrutinib to R-CHOP in newly diagnosed non-GCB DLBCL patients. This development underscores the importance of continued research into targeted therapies for specific cancer subtypes.</w:t>
      </w:r>
      <w:r>
        <w:rPr>
          <w:rStyle w:val="FootnoteReference"/>
        </w:rPr>
        <w:footnoteReference w:id="101"/>
      </w:r>
      <w:r>
        <w:t xml:space="preserve"> </w:t>
      </w:r>
      <w:r>
        <w:t xml:space="preserve">[Entry 21]</w:t>
      </w:r>
    </w:p>
    <w:p>
      <w:pPr>
        <w:pStyle w:val="BodyText"/>
      </w:pPr>
      <w:r>
        <w:t xml:space="preserve">UID 282_NCI</w:t>
      </w:r>
    </w:p>
    <w:p>
      <w:pPr>
        <w:pStyle w:val="BodyText"/>
      </w:pPr>
      <w:r>
        <w:t xml:space="preserve">The activation of CD8+ T cells, which can identify and kill cancer cells, is regulated by cytokines, proteins that can either stimulate or slow down immune system responses. By combining a robotic platform with machine learning, a method was developed to experimentally measure and theoretically model the activation of these immune cells, capturing time-dependent dynamics of immune responses that existing methods cannot. This approach was generalized to multiple immune processes, including responses to drug treatments and activation of patient-derived immune cells engineered to attack cancer cells, such as chimeric antigen receptor T cells. NCI, led by NCI, with no collaborating ICOs or agencies, conducted this research as part of the activity named</w:t>
      </w:r>
      <w:r>
        <w:t xml:space="preserve"> </w:t>
      </w:r>
      <w:r>
        <w:t xml:space="preserve">“Universal antigen encoding of T cell activation”</w:t>
      </w:r>
      <w:r>
        <w:t xml:space="preserve">. This universal antigen encoding for T cell activation may enable further modeling of immune responses to optimize immunotherapies and eventually enable prediction of T cell responses to tumors.</w:t>
      </w:r>
      <w:r>
        <w:rPr>
          <w:rStyle w:val="FootnoteReference"/>
        </w:rPr>
        <w:footnoteReference w:id="103"/>
      </w:r>
      <w:r>
        <w:t xml:space="preserve"> </w:t>
      </w:r>
      <w:r>
        <w:t xml:space="preserve">[Entry 22]</w:t>
      </w:r>
    </w:p>
    <w:p>
      <w:pPr>
        <w:pStyle w:val="BodyText"/>
      </w:pPr>
      <w:r>
        <w:t xml:space="preserve">UID 482_NIEHS</w:t>
      </w:r>
    </w:p>
    <w:p>
      <w:pPr>
        <w:pStyle w:val="BodyText"/>
      </w:pPr>
      <w:r>
        <w:t xml:space="preserve">The use of in vitro screening approaches, including bacterial mutagenicity tests and assays in human TK6 cells, has shed light on the potential genotoxic effects of glyphosate and its formulations. This investigation, led by NIEHS, examined the effects of glyphosate, glyphosate isopropylamine, and other related compounds, as well as various glyphosate-based formulations and additional herbicides. The results of this study indicate that glyphosate itself does not exhibit genotoxic effects, a finding consistent with previous observations. The activity, titled</w:t>
      </w:r>
      <w:r>
        <w:t xml:space="preserve"> </w:t>
      </w:r>
      <w:r>
        <w:t xml:space="preserve">“Glyphosate and glyphosate formulations,”</w:t>
      </w:r>
      <w:r>
        <w:t xml:space="preserve"> </w:t>
      </w:r>
      <w:r>
        <w:t xml:space="preserve">suggests that the toxicity associated with some glyphosate-based formulations may be attributed to components other than glyphosate. NIEHS, as the submitting and lead ICO, conducted this research without collaborating ICOs or agencies, yielding valuable insights into the genotoxic potential of these substances.</w:t>
      </w:r>
      <w:r>
        <w:rPr>
          <w:rStyle w:val="FootnoteReference"/>
        </w:rPr>
        <w:footnoteReference w:id="105"/>
      </w:r>
      <w:r>
        <w:t xml:space="preserve"> </w:t>
      </w:r>
      <w:r>
        <w:t xml:space="preserve">[Entry 23]</w:t>
      </w:r>
    </w:p>
    <w:p>
      <w:pPr>
        <w:pStyle w:val="BodyText"/>
      </w:pPr>
      <w:r>
        <w:t xml:space="preserve">UID 493_NIEHS</w:t>
      </w:r>
    </w:p>
    <w:p>
      <w:pPr>
        <w:pStyle w:val="BodyText"/>
      </w:pPr>
      <w:r>
        <w:t xml:space="preserve">The development of innovative scientific assays is revolutionizing the field of precision medicine, enabling the identification of toxic exposures and their impact on the body, such as the induction of genetic mutations. Through NIEHS/NCI Genome Integrity Consortium, a collaborative effort between NIEHS, as both the submitting and lead institute, and NCI as a collaborating agency, researchers are creating cutting-edge assays that can predict individual risk of lung cancer from tobacco smoke exposure with greater accuracy and speed than existing methods. These assays have already yielded significant insights, including the identification of mutations among smokers that can lead to increased cancer risk with age, as well as variations in mutation avoidance selection among individuals. The consortium’s work is paving the way for a better understanding of the complex relationships between environmental exposures and genetic mutations, ultimately informing the development of more effective prevention and treatment strategies. This groundbreaking research is contributing to a deeper understanding of cancer risk and prevention.</w:t>
      </w:r>
      <w:r>
        <w:rPr>
          <w:rStyle w:val="FootnoteReference"/>
        </w:rPr>
        <w:footnoteReference w:id="106"/>
      </w:r>
      <w:r>
        <w:t xml:space="preserve"> </w:t>
      </w:r>
      <w:r>
        <w:t xml:space="preserve">[Entry 24]</w:t>
      </w:r>
    </w:p>
    <w:p>
      <w:pPr>
        <w:pStyle w:val="BodyText"/>
      </w:pPr>
      <w:r>
        <w:t xml:space="preserve">UID 519_NHGRI</w:t>
      </w:r>
    </w:p>
    <w:p>
      <w:pPr>
        <w:pStyle w:val="BodyText"/>
      </w:pPr>
      <w:r>
        <w:t xml:space="preserve">The Clinical Genome Resource (ClinGen) provides critical information about the clinical relevance of genes and genomic variants for use in medicine and research, with a current focus on engaging patients, healthcare systems, and experts to expand its utility. This initiative, led by NHGRI, in collaboration with NCI, aims to increase the scale of its work and applications to a broader set of clinical specialties, while ensuring population databases reflect the patient population. The resource has informed the development of guidelines for hereditary cancer panels, with its expert panels’ evidence assessment guiding the selection of genes and recommendation strengths. By leveraging the expertise of genetics professionals and scientific experts, ClinGen is enhancing the use of genomic information in clinical practice. The ongoing efforts of ClinGen demonstrate the value of collaborative research in advancing the field of genomics, and its impact is evident in the guidance it provides for clinical decision-making.</w:t>
      </w:r>
      <w:r>
        <w:rPr>
          <w:rStyle w:val="FootnoteReference"/>
        </w:rPr>
        <w:footnoteReference w:id="108"/>
      </w:r>
      <w:r>
        <w:t xml:space="preserve"> </w:t>
      </w:r>
      <w:r>
        <w:t xml:space="preserve">[Entry 25]</w:t>
      </w:r>
    </w:p>
    <w:p>
      <w:pPr>
        <w:pStyle w:val="BodyText"/>
      </w:pPr>
      <w:r>
        <w:t xml:space="preserve">UID 640_OSC</w:t>
      </w:r>
    </w:p>
    <w:p>
      <w:pPr>
        <w:pStyle w:val="BodyText"/>
      </w:pPr>
      <w:r>
        <w:t xml:space="preserve">The development of a promising technology has the potential to accurately diagnose non-small cell lung cancer (NSCLC) with over 90 percent accuracy, using just a blood sample from a patient. This breakthrough also enables the prediction of a patient’s response to targeted immunotherapy treatment from the same blood sample. The technology was developed as part of NIH Fund Extracellular RNA Communication Program, led by the DPCPSI - OSC, with the OSC as the submitting ICO, and in collaboration with NCATS and NCI, under the activity named New Tool Predicts Response to Immunotherapy in Lung Cancer Patients. This innovative approach may significantly enhance the diagnosis and treatment of NSCLC, offering new hope for patients. The collaboration and technological advancement demonstrated in this project underscore the importance of interdisciplinary research,.</w:t>
      </w:r>
      <w:r>
        <w:rPr>
          <w:rStyle w:val="FootnoteReference"/>
        </w:rPr>
        <w:footnoteReference w:id="110"/>
      </w:r>
      <w:r>
        <w:t xml:space="preserve"> </w:t>
      </w:r>
      <w:r>
        <w:t xml:space="preserve">[Entry 26]</w:t>
      </w:r>
    </w:p>
    <w:p>
      <w:pPr>
        <w:pStyle w:val="BodyText"/>
      </w:pPr>
      <w:r>
        <w:t xml:space="preserve">UID 648_THRO</w:t>
      </w:r>
    </w:p>
    <w:p>
      <w:pPr>
        <w:pStyle w:val="BodyText"/>
      </w:pPr>
      <w:r>
        <w:t xml:space="preserve">Through tribal consultation, a crucial government-government interaction, NIH adheres to HHS policy, fostering trust, respect, and shared responsibility with Indian Tribes. This free exchange of information and opinions leads to mutual understanding and comprehension, ultimately informing NIH actions that significantly affect these communities. The Improving American Indian and Alaska Native Cancer Outcomes initiative exemplifies this approach, gathering input from Tribal leaders to understand research priorities and cultural approaches important to tribal communities, with the Department of Health and Human Services’ and NIH’s policies guiding the process. The Tribal Consultations activity, led by DPCPSI-THRO, with THRO as the submitting ICO, and collaborated on by NIMHD, plays a vital role in this endeavor. By engaging in open dialogue, NIH aims to better comprehend and address the unique needs of Indian Tribes, promoting health equity and improved outcomes.</w:t>
      </w:r>
      <w:r>
        <w:rPr>
          <w:rStyle w:val="FootnoteReference"/>
        </w:rPr>
        <w:footnoteReference w:id="112"/>
      </w:r>
      <w:r>
        <w:t xml:space="preserve"> </w:t>
      </w:r>
      <w:r>
        <w:t xml:space="preserve">[Entry 27]</w:t>
      </w:r>
    </w:p>
    <w:p>
      <w:pPr>
        <w:pStyle w:val="BodyText"/>
      </w:pPr>
      <w:r>
        <w:t xml:space="preserve">UID 684_NIMHD</w:t>
      </w:r>
    </w:p>
    <w:p>
      <w:pPr>
        <w:pStyle w:val="BodyText"/>
      </w:pPr>
      <w:r>
        <w:t xml:space="preserve">Improving cancer outcomes among American Indian and Alaska Native populations, particularly those in rural communities, is a critical goal of current research efforts, which involve enhancing screening, diagnosis, and treatment protocols in culturally sensitive and practical ways. The Initiative for Improving American Indian and Alaska Native Cancer Outcomes supports comprehensive approaches, including research, education, outreach, and clinical access improvements. Led by the National Institute on Minority Health and Health Disparities (NIMHD), with collaboration from NCI, this initiative encompasses projects that aim to address disparities in cancer care. Two NIMHD-funded projects, linked to NCI-designated cancer centers, will conduct research and related activities to improve cancer screening, diagnosis, and treatment among these populations. By focusing on respectful and community-oriented strategies, these efforts strive to reduce cancer-related health disparities, and such targeted initiatives are crucial for advancing health equity.</w:t>
      </w:r>
      <w:r>
        <w:rPr>
          <w:rStyle w:val="FootnoteReference"/>
        </w:rPr>
        <w:footnoteReference w:id="114"/>
      </w:r>
      <w:r>
        <w:t xml:space="preserve"> </w:t>
      </w:r>
      <w:r>
        <w:t xml:space="preserve">[Entry 28]</w:t>
      </w:r>
    </w:p>
    <w:p>
      <w:pPr>
        <w:pStyle w:val="BodyText"/>
      </w:pPr>
      <w:r>
        <w:t xml:space="preserve">UID 838_NINDS</w:t>
      </w:r>
    </w:p>
    <w:p>
      <w:pPr>
        <w:pStyle w:val="BodyText"/>
      </w:pPr>
      <w:r>
        <w:t xml:space="preserve">The discovery of glioblastoma cells acquiring mitochondria from healthy surrounding cells has shed light on the aggressive growth of this fast-growing, hard to treat brain cancer. This basic research study found that the acquired mitochondria boost energy production in cancer cells, fueling tumor growth, and that this mitochondrial transfer requires a protein called GAP43. The study, led by NINDS, with collaboration from NCI and NCATS, aimed to understand brain tumor growth. The findings of this study, titled</w:t>
      </w:r>
      <w:r>
        <w:t xml:space="preserve"> </w:t>
      </w:r>
      <w:r>
        <w:t xml:space="preserve">“Understanding brain tumor growth”</w:t>
      </w:r>
      <w:r>
        <w:t xml:space="preserve">, suggest a mechanism behind glioblastoma’s aggressive growth and highlight a potential target for developing new treatments. These insights have significant implications for the development of therapies to slow down or stop the aggressive growth of glioblastoma.</w:t>
      </w:r>
      <w:r>
        <w:rPr>
          <w:rStyle w:val="FootnoteReference"/>
        </w:rPr>
        <w:footnoteReference w:id="116"/>
      </w:r>
      <w:r>
        <w:t xml:space="preserve"> </w:t>
      </w:r>
      <w:r>
        <w:t xml:space="preserve">[Entry 29]</w:t>
      </w:r>
    </w:p>
    <w:p>
      <w:pPr>
        <w:pStyle w:val="BodyText"/>
      </w:pPr>
      <w:r>
        <w:t xml:space="preserve">UID 933_NIBIB</w:t>
      </w:r>
    </w:p>
    <w:p>
      <w:pPr>
        <w:pStyle w:val="BodyText"/>
      </w:pPr>
      <w:r>
        <w:t xml:space="preserve">The development of a high-quality repository for medical images related to COVID-19 and associated clinical data has been a key focus of efforts to enhance the detection, diagnosis, prognosis, and monitoring of the disease. Through the Medical Imaging and Data Resource Center (MIDRC), a collaboration launched in response to the COVID-19 pandemic, significant progress has been made in developing and fostering medical image-based artificial intelligence (AI) tools. Led by NIBIB, with the support of leading medical imaging organizations, MIDRC has successfully ingested nearly 570,000 imaging studies and released almost 200,000 to the public, facilitating the development of AI resources for healthcare. The expansion of MIDRC to include more image types, anatomies, and disease types, with a particular focus on cancer, underscores its evolving role in advancing medical imaging and AI applications. As a result of these efforts, the potential for improved healthcare outcomes through enhanced AI tools and resources is substantial.</w:t>
      </w:r>
      <w:r>
        <w:rPr>
          <w:rStyle w:val="FootnoteReference"/>
        </w:rPr>
        <w:footnoteReference w:id="118"/>
      </w:r>
      <w:r>
        <w:t xml:space="preserve"> </w:t>
      </w:r>
      <w:r>
        <w:t xml:space="preserve">[Entry 30]</w:t>
      </w:r>
    </w:p>
    <w:p>
      <w:pPr>
        <w:pStyle w:val="BodyText"/>
      </w:pPr>
      <w:r>
        <w:t xml:space="preserve">UID 944_NIBIB</w:t>
      </w:r>
    </w:p>
    <w:p>
      <w:pPr>
        <w:pStyle w:val="BodyText"/>
      </w:pPr>
      <w:r>
        <w:t xml:space="preserve">The development of a novel method to obtain DNA shed from brain tumors using focused ultrasound has shown promise in improving brain tumor diagnosis. This approach, aimed at bypassing the blood-brain barrier, involves a collaborative team of researchers funded by NIBIB, with NIBIB leading the effort, and has yielded promising results in a first-in-human study. The study, which has been reported in a prestigious scientific journal, highlights the potential of this technique to enhance the diagnosis and treatment of brain tumors. By leveraging focused ultrasound, the team aims to provide a more effective and less invasive means of diagnosing brain tumors, which could significantly impact patient outcomes. The project, titled</w:t>
      </w:r>
      <w:r>
        <w:t xml:space="preserve"> </w:t>
      </w:r>
      <w:r>
        <w:t xml:space="preserve">“Bypassing the blood-brain barrier to improve brain tumor diagnosis”</w:t>
      </w:r>
      <w:r>
        <w:t xml:space="preserve">, demonstrates the innovative spirit of NIBIB-funded research, and its findings could pave the way for future breakthroughs in neuro-oncology.</w:t>
      </w:r>
      <w:r>
        <w:rPr>
          <w:rStyle w:val="FootnoteReference"/>
        </w:rPr>
        <w:footnoteReference w:id="119"/>
      </w:r>
      <w:r>
        <w:t xml:space="preserve"> </w:t>
      </w:r>
      <w:r>
        <w:t xml:space="preserve">[Entry 31]</w:t>
      </w:r>
    </w:p>
    <w:bookmarkEnd w:id="120"/>
    <w:bookmarkStart w:id="127" w:name="combination-targeted-therapies"/>
    <w:p>
      <w:pPr>
        <w:pStyle w:val="Heading2"/>
      </w:pPr>
      <w:r>
        <w:t xml:space="preserve">Combination &amp; Targeted Therapies</w:t>
      </w:r>
    </w:p>
    <w:p>
      <w:pPr>
        <w:pStyle w:val="FirstParagraph"/>
      </w:pPr>
      <w:r>
        <w:t xml:space="preserve">268_NCI, 275_NCI, 277_NCI</w:t>
      </w:r>
    </w:p>
    <w:p>
      <w:pPr>
        <w:pStyle w:val="BodyText"/>
      </w:pPr>
      <w:r>
        <w:t xml:space="preserve">UID 268_NCI</w:t>
      </w:r>
    </w:p>
    <w:p>
      <w:pPr>
        <w:pStyle w:val="BodyText"/>
      </w:pPr>
      <w:r>
        <w:t xml:space="preserve">The development of a combination targeted treatment, known as ViPOR, has shown significant promise in achieving full remission for patients with aggressive B-cell lymphoma that has become resistant to standard therapies. This treatment approach, which avoids chemotherapy, targets multiple molecular pathways that B-cell lymphomas use to survive, and has been found to substantially shrink tumors in a notable proportion of patients. The collaboration between NCI, as the lead and submitting ICO, and NCATS, as a collaborating ICO, has been instrumental in the advancement of this research. The ViPOR treatment has demonstrated considerable efficacy, with tumors disappearing entirely in a substantial percentage of clinical trial patients. The emergence of this treatment option addresses the critical need for alternative therapies that are both tolerable to patients and effective against aggressive B-cell lymphoma.</w:t>
      </w:r>
      <w:r>
        <w:rPr>
          <w:rStyle w:val="FootnoteReference"/>
        </w:rPr>
        <w:footnoteReference w:id="121"/>
      </w:r>
      <w:r>
        <w:t xml:space="preserve"> </w:t>
      </w:r>
      <w:r>
        <w:t xml:space="preserve">[Entry 32]</w:t>
      </w:r>
    </w:p>
    <w:p>
      <w:pPr>
        <w:pStyle w:val="BodyText"/>
      </w:pPr>
      <w:r>
        <w:t xml:space="preserve">UID 275_NCI</w:t>
      </w:r>
    </w:p>
    <w:p>
      <w:pPr>
        <w:pStyle w:val="BodyText"/>
      </w:pPr>
      <w:r>
        <w:t xml:space="preserve">The development of RAS inhibitors has marked a significant milestone with the granting of Investigational New Drug status by the FDA, enabling their use in clinical trials. Two compounds, BBIO-10203 and BBO-8520, have been approved, with BBIO-10203 inhibiting the interaction between RAS and another protein involved in cell growth and survival, and BBO-8520 targeting both active and inactive forms of the mutant KRAS G12C protein. NCI, in collaboration with the FDA, has driven this initiative forward, with the Lead ICO being NCI. The clinical trials for these molecules, including the treatment of patients with solid tumors and KRAS G12C-driven non-small cell lung cancer, underscore the potential of these compounds in addressing serious medical conditions. The FDA’s Fast Track designation for BBO-8520 further highlights its potential to fill an unmet medical need.</w:t>
      </w:r>
      <w:r>
        <w:rPr>
          <w:rStyle w:val="FootnoteReference"/>
        </w:rPr>
        <w:footnoteReference w:id="123"/>
      </w:r>
      <w:r>
        <w:t xml:space="preserve"> </w:t>
      </w:r>
      <w:r>
        <w:t xml:space="preserve">[Entry 33]</w:t>
      </w:r>
    </w:p>
    <w:p>
      <w:pPr>
        <w:pStyle w:val="BodyText"/>
      </w:pPr>
      <w:r>
        <w:t xml:space="preserve">UID 277_NCI</w:t>
      </w:r>
    </w:p>
    <w:p>
      <w:pPr>
        <w:pStyle w:val="BodyText"/>
      </w:pPr>
      <w:r>
        <w:t xml:space="preserve">The addition of a PARP-inhibitor to standard therapy for patients with BRCA1/2-associated breast cancer led to a significant benefit in invasive disease-free survival time and a 38 percent reduction in the risk of death, as demonstrated by an NCI-supported clinical trial. This study, known as the OlympiA trial, resulted in the U.S. Food and Drug Administration approval of the PARP-inhibitor as an additional treatment following primary standard therapy for patients with high-risk, BRCA-associated breast cancer. The trial was conducted under the leadership of NCI, with collaboration from the Breast International Group, Astra Zeneca, and Frontier Science. The findings of this trial have important implications for the treatment of patients with BRCA-mutated breast cancer, and the study’s results were significant enough to lead to a change in treatment guidelines. The targeted treatment approach, as investigated in the activity named</w:t>
      </w:r>
      <w:r>
        <w:t xml:space="preserve"> </w:t>
      </w:r>
      <w:r>
        <w:t xml:space="preserve">“Targeted treatment for patients with BRCA-mutated breast cancer after standard treatment led to improved survival”</w:t>
      </w:r>
      <w:r>
        <w:t xml:space="preserve">, has shown promise in improving patient outcomes.</w:t>
      </w:r>
      <w:r>
        <w:rPr>
          <w:rStyle w:val="FootnoteReference"/>
        </w:rPr>
        <w:footnoteReference w:id="125"/>
      </w:r>
      <w:r>
        <w:t xml:space="preserve"> </w:t>
      </w:r>
      <w:r>
        <w:t xml:space="preserve">[Entry 34]</w:t>
      </w:r>
    </w:p>
    <w:bookmarkEnd w:id="127"/>
    <w:bookmarkStart w:id="130" w:name="data-commons-and-computational-resources"/>
    <w:p>
      <w:pPr>
        <w:pStyle w:val="Heading2"/>
      </w:pPr>
      <w:r>
        <w:t xml:space="preserve">Data Commons and Computational Resources</w:t>
      </w:r>
    </w:p>
    <w:p>
      <w:pPr>
        <w:pStyle w:val="FirstParagraph"/>
      </w:pPr>
      <w:r>
        <w:t xml:space="preserve">642_OSC</w:t>
      </w:r>
    </w:p>
    <w:p>
      <w:pPr>
        <w:pStyle w:val="BodyText"/>
      </w:pPr>
      <w:r>
        <w:t xml:space="preserve">UID 642_OSC</w:t>
      </w:r>
    </w:p>
    <w:p>
      <w:pPr>
        <w:pStyle w:val="BodyText"/>
      </w:pPr>
      <w:r>
        <w:t xml:space="preserve">The discovery of shared genetic pathways between childhood cancer and structural birth defects has been a key focus of recent research efforts, aiming to uncover new insights into the biology of these disorders. Through NIH Gabriella Miller Kids First Pediatric Research Program, a comprehensive data portal has been developed, featuring 10 childhood cancer datasets, 20 birth defect data sets, and 2 datasets that include both cancer and birth defects. This initiative, led by the DPCPSI - OSC, with the OSC as the submitting ICO, and in collaboration with NICHD and NCI, has enabled researchers to combine these datasets with additional research data, thereby gaining a deeper understanding of pediatric conditions. The Kids First Publication, highlighting program contributions to childhood cancer and birth defects research, serves as a pivotal outlet for showcasing these findings. By facilitating the integration of diverse research datasets, this program has paved the way for a more nuanced comprehension of the complex relationships between these conditions.</w:t>
      </w:r>
      <w:r>
        <w:rPr>
          <w:rStyle w:val="FootnoteReference"/>
        </w:rPr>
        <w:footnoteReference w:id="128"/>
      </w:r>
      <w:r>
        <w:t xml:space="preserve"> </w:t>
      </w:r>
      <w:r>
        <w:t xml:space="preserve">[Entry 35]</w:t>
      </w:r>
    </w:p>
    <w:bookmarkEnd w:id="130"/>
    <w:bookmarkStart w:id="140" w:name="epidemiology-surveillance"/>
    <w:p>
      <w:pPr>
        <w:pStyle w:val="Heading2"/>
      </w:pPr>
      <w:r>
        <w:t xml:space="preserve">Epidemiology &amp; Surveillance</w:t>
      </w:r>
    </w:p>
    <w:p>
      <w:pPr>
        <w:pStyle w:val="FirstParagraph"/>
      </w:pPr>
      <w:r>
        <w:t xml:space="preserve">5_CC, 170_ORWH, 260_NCI, 273_NCI, 274_NCI</w:t>
      </w:r>
    </w:p>
    <w:p>
      <w:pPr>
        <w:pStyle w:val="BodyText"/>
      </w:pPr>
      <w:r>
        <w:t xml:space="preserve">UID 5_CC</w:t>
      </w:r>
    </w:p>
    <w:p>
      <w:pPr>
        <w:pStyle w:val="BodyText"/>
      </w:pPr>
      <w:r>
        <w:t xml:space="preserve">The investigation of mismatch repair deficiency in urothelial carcinoma has yielded significant insights, particularly in the context of a 2024 study. This research endeavor, titled</w:t>
      </w:r>
      <w:r>
        <w:t xml:space="preserve"> </w:t>
      </w:r>
      <w:r>
        <w:t xml:space="preserve">“Study in Cancer”</w:t>
      </w:r>
      <w:r>
        <w:t xml:space="preserve">, was led by NCI, with the submission and collaboration efforts facilitated by the CC, in conjunction with the CC Biostatistics &amp; Clinical Epidemiology Services (CC-BCES). The focus on urothelial carcinoma highlights the complexities of cancer research, necessitating a multidisciplinary approach to understand the underlying mechanisms. By examining the role of mismatch repair deficiency, this study aims to contribute to the ongoing efforts in cancer research, ultimately informing the development of targeted therapeutic strategies. The collaborative framework of this project underscores the importance of interdisciplinary research in advancing our understanding of cancer biology.</w:t>
      </w:r>
      <w:r>
        <w:rPr>
          <w:rStyle w:val="FootnoteReference"/>
        </w:rPr>
        <w:footnoteReference w:id="131"/>
      </w:r>
      <w:r>
        <w:t xml:space="preserve"> </w:t>
      </w:r>
      <w:r>
        <w:t xml:space="preserve">[Entry 36]</w:t>
      </w:r>
    </w:p>
    <w:p>
      <w:pPr>
        <w:pStyle w:val="BodyText"/>
      </w:pPr>
      <w:r>
        <w:t xml:space="preserve">UID 170_ORWH</w:t>
      </w:r>
    </w:p>
    <w:p>
      <w:pPr>
        <w:pStyle w:val="BodyText"/>
      </w:pPr>
      <w:r>
        <w:t xml:space="preserve">Accelerating control of cervical cancer within safety-net settings of care is the primary objective of the Federal Cervical Cancer Collaborative, an interagency partnership that works to reduce disparities in cervical cancer care. This collaborative effort, led by DPCPSI -ORWH, with ORWH as the submitting ICO, brings together HRSA, CDC, NCI, and ORWH to address the needs of populations that are geographically isolated, economically challenged, and medically underserved. By working in close collaboration, the partnership aims to improve cervical cancer outcomes in these vulnerable populations. The Federal Cervical Cancer Collaborative’s efforts are focused on reducing disparities and improving access to care, ultimately accelerating control of cervical cancer. This initiative demonstrates a commitment to addressing health disparities and improving health outcomes for underserved populations.</w:t>
      </w:r>
      <w:r>
        <w:rPr>
          <w:rStyle w:val="FootnoteReference"/>
        </w:rPr>
        <w:footnoteReference w:id="133"/>
      </w:r>
      <w:r>
        <w:t xml:space="preserve"> </w:t>
      </w:r>
      <w:r>
        <w:t xml:space="preserve">[Entry 37]</w:t>
      </w:r>
    </w:p>
    <w:p>
      <w:pPr>
        <w:pStyle w:val="BodyText"/>
      </w:pPr>
      <w:r>
        <w:t xml:space="preserve">UID 260_NCI</w:t>
      </w:r>
    </w:p>
    <w:p>
      <w:pPr>
        <w:pStyle w:val="BodyText"/>
      </w:pPr>
      <w:r>
        <w:t xml:space="preserve">The presence of antibodies to specific stomach cells, an indication of autoimmune gastritis, has been found to be associated with an elevated risk of gastric cancer in young women lacking Helicobacter pylori infection. This association supports a new model of autoimmune gastritis as a driving factor in recent trends for gastric cancer incidence rates, particularly in the context of declining H. pylori prevalence. The study, titled</w:t>
      </w:r>
      <w:r>
        <w:t xml:space="preserve"> </w:t>
      </w:r>
      <w:r>
        <w:t xml:space="preserve">“Gastric cancer risk in young women associated with autoimmune gastritis”</w:t>
      </w:r>
      <w:r>
        <w:t xml:space="preserve">, was conducted by NCI, with NCI serving as both the submitting and lead Institute, and no additional collaborating ICOs or agencies. The findings suggest a shift in the underlying causes of gastric cancer, with autoimmune gastritis potentially replacing H. pylori as a primary risk factor. This discovery has significant implications for our understanding of gastric cancer development, particularly in younger populations.</w:t>
      </w:r>
      <w:r>
        <w:rPr>
          <w:rStyle w:val="FootnoteReference"/>
        </w:rPr>
        <w:footnoteReference w:id="134"/>
      </w:r>
      <w:r>
        <w:t xml:space="preserve"> </w:t>
      </w:r>
      <w:r>
        <w:t xml:space="preserve">[Entry 38]</w:t>
      </w:r>
    </w:p>
    <w:p>
      <w:pPr>
        <w:pStyle w:val="BodyText"/>
      </w:pPr>
      <w:r>
        <w:t xml:space="preserve">UID 273_NCI</w:t>
      </w:r>
    </w:p>
    <w:p>
      <w:pPr>
        <w:pStyle w:val="BodyText"/>
      </w:pPr>
      <w:r>
        <w:t xml:space="preserve">The pooled analysis of meningioma risk following treatment for childhood cancer has yielded critical insights, suggesting that exposure to radiation before the age of 10 significantly increases the risk of developing meningioma, a risk that persists for 30 years. This study, undertaken by NCI as the lead and submitting ICO, with no collaborating ICOs or agencies, has far-reaching implications for the treatment of childhood cancer, particularly in regards to the use of radiation therapy. The findings of the</w:t>
      </w:r>
      <w:r>
        <w:t xml:space="preserve"> </w:t>
      </w:r>
      <w:r>
        <w:t xml:space="preserve">“Pooled analysis of meningioma risk following treatment for childhood cancer supports reduced use of radiation at an early age”</w:t>
      </w:r>
      <w:r>
        <w:t xml:space="preserve"> </w:t>
      </w:r>
      <w:r>
        <w:t xml:space="preserve">activity indicate that limiting radiation exposure to healthy tissue in children is crucial, and that certain chemotherapy agents may also contribute to an increased risk of meningioma. These results support recent shifts towards reducing whole-brain radiation in childhood cancer treatment and highlight the need for long-term surveillance guidelines for survivors of childhood cancers. The study’s outcomes underscore the importance of tailored treatment approaches to minimize late effects, such as meningioma development, in this vulnerable population.</w:t>
      </w:r>
      <w:r>
        <w:rPr>
          <w:rStyle w:val="FootnoteReference"/>
        </w:rPr>
        <w:footnoteReference w:id="136"/>
      </w:r>
      <w:r>
        <w:t xml:space="preserve"> </w:t>
      </w:r>
      <w:r>
        <w:t xml:space="preserve">[Entry 39]</w:t>
      </w:r>
    </w:p>
    <w:p>
      <w:pPr>
        <w:pStyle w:val="BodyText"/>
      </w:pPr>
      <w:r>
        <w:t xml:space="preserve">UID 274_NCI</w:t>
      </w:r>
    </w:p>
    <w:p>
      <w:pPr>
        <w:pStyle w:val="BodyText"/>
      </w:pPr>
      <w:r>
        <w:t xml:space="preserve">Estimating the prevalence of cancer survivors is crucial for understanding and supporting this growing population, driven by advancements in diagnosis, treatment, and supportive care, as well as the increasing aging population. The activity, Prevalence of cancer survivors in the United States, led by NCI, with NCI as the submitting ICO, and no collaborating ICOs or agencies, has yielded significant insights, revealing an estimated 18.1 million U.S. cancer survivors as of January 1, 2022. Furthermore, projections indicate a substantial increase in the number of survivors, reaching 21.6 million by 2030 and 26 million by 2040. Notably, long-term survivors are highly prevalent, with 70 percent of cancer survivors having lived 5 years or more after diagnosis, and 11 percent having lived 25 years or more after diagnosis, underscoring the importance of continued support and research in this area.</w:t>
      </w:r>
      <w:r>
        <w:rPr>
          <w:rStyle w:val="FootnoteReference"/>
        </w:rPr>
        <w:footnoteReference w:id="138"/>
      </w:r>
      <w:r>
        <w:t xml:space="preserve"> </w:t>
      </w:r>
      <w:r>
        <w:t xml:space="preserve">[Entry 40]</w:t>
      </w:r>
    </w:p>
    <w:bookmarkEnd w:id="140"/>
    <w:bookmarkStart w:id="152" w:name="genetics-cell-biology-and--omics"/>
    <w:p>
      <w:pPr>
        <w:pStyle w:val="Heading2"/>
      </w:pPr>
      <w:r>
        <w:t xml:space="preserve">Genetics, Cell Biology, and -Omics</w:t>
      </w:r>
    </w:p>
    <w:p>
      <w:pPr>
        <w:pStyle w:val="FirstParagraph"/>
      </w:pPr>
      <w:r>
        <w:t xml:space="preserve">109_NIAMS, 211_NCATS, 212_NCATS, 250_NCI, 254_NCI, 256_NCI, 495_NIEHS, 622_OSC</w:t>
      </w:r>
    </w:p>
    <w:p>
      <w:pPr>
        <w:pStyle w:val="BodyText"/>
      </w:pPr>
      <w:r>
        <w:t xml:space="preserve">UID 109_NIAMS</w:t>
      </w:r>
    </w:p>
    <w:p>
      <w:pPr>
        <w:pStyle w:val="BodyText"/>
      </w:pPr>
      <w:r>
        <w:t xml:space="preserve">Breakthroughs in understanding the roles of micro-RNAs and specific proteins in muscle wasting, also known as cachexia, have been achieved through the use of human cells and animal models. The discovery that muscle weakness precedes the loss of muscle mass supports the idea that mitochondrial damage contributes to the development of cachexia, although differing mitochondrial responses suggest that the effects of cancer may vary across muscle types. The National Institute of Arthritis and Musculoskeletal and Skin Diseases (NIAMS), as the lead and submitting institute, collaborated with NCI and NICHD on the</w:t>
      </w:r>
      <w:r>
        <w:t xml:space="preserve"> </w:t>
      </w:r>
      <w:r>
        <w:t xml:space="preserve">“Researchers Studying Muscle Wasting in Cancer Make Many Breakthroughs that Could Lead to Treatments”</w:t>
      </w:r>
      <w:r>
        <w:t xml:space="preserve"> </w:t>
      </w:r>
      <w:r>
        <w:t xml:space="preserve">activity. This research aims to identify mechanisms that predict whether a given muscle might be sensitive or resistant to cachexia, potentially leading to treatments that improve muscle health. By elucidating the complex cellular and molecular responses underlying cachexia, this work may ultimately inform the development of targeted therapies.</w:t>
      </w:r>
      <w:r>
        <w:rPr>
          <w:rStyle w:val="FootnoteReference"/>
        </w:rPr>
        <w:footnoteReference w:id="141"/>
      </w:r>
      <w:r>
        <w:t xml:space="preserve"> </w:t>
      </w:r>
      <w:r>
        <w:t xml:space="preserve">[Entry 41]</w:t>
      </w:r>
    </w:p>
    <w:p>
      <w:pPr>
        <w:pStyle w:val="BodyText"/>
      </w:pPr>
      <w:r>
        <w:t xml:space="preserve">UID 211_NCATS</w:t>
      </w:r>
    </w:p>
    <w:p>
      <w:pPr>
        <w:pStyle w:val="BodyText"/>
      </w:pPr>
      <w:r>
        <w:t xml:space="preserve">The identification and characterization of tumor cells have been significantly advanced through the development of 3-D models of ovarian cancer tumors, which have demonstrated that a cell’s location and environment within a cancerous tumor can strongly influence its genetic activity and role in the tumor. By combining a technology to reveal the genetic activity of single cells within a tumor with fluorescent dyes, the team, co-led by researchers at NCATS, found that gene activity in cells at or near a tumor’s surface differed from that of cells closer to the tumor center. This research, conducted in collaboration with NCI and CC, has led to the development of a new system, called Segmentation by Exogenous Perfusion, or SEEP, which revealed that tumor cells near the tumor surface were more likely to undergo cell division and were able to turn on genes to protect them from immune system response, as seen in the activity named</w:t>
      </w:r>
      <w:r>
        <w:t xml:space="preserve"> </w:t>
      </w:r>
      <w:r>
        <w:t xml:space="preserve">“Researchers show how a tumor cell’s location and environment affect its identity”</w:t>
      </w:r>
      <w:r>
        <w:t xml:space="preserve">. The SEEP system has the potential to allow researchers to study how the same diseases can vary in people and progress differently. This breakthrough was achieved through the collaborative efforts of NCATS, as the submitting and lead ICO, and its partners, NCI and CC.</w:t>
      </w:r>
      <w:r>
        <w:rPr>
          <w:rStyle w:val="FootnoteReference"/>
        </w:rPr>
        <w:footnoteReference w:id="142"/>
      </w:r>
      <w:r>
        <w:t xml:space="preserve"> </w:t>
      </w:r>
      <w:r>
        <w:t xml:space="preserve">[Entry 42]</w:t>
      </w:r>
    </w:p>
    <w:p>
      <w:pPr>
        <w:pStyle w:val="BodyText"/>
      </w:pPr>
      <w:r>
        <w:t xml:space="preserve">UID 212_NCATS</w:t>
      </w:r>
    </w:p>
    <w:p>
      <w:pPr>
        <w:pStyle w:val="BodyText"/>
      </w:pPr>
      <w:r>
        <w:t xml:space="preserve">The discovery of a potential new approach to treating liver cancer, particularly cholangiocarcinoma, a type of liver cancer affecting the bile duct, has been made through the identification of mutations in the IDH1 enzyme. By rapidly testing thousands of approved drugs and experimental cancer agents that target IDH1, scientists have found potential leads for killing cholangiocarcinoma cells, with the goal of developing a new class of anticancer drugs. This breakthrough was achieved through the efforts of NIH, with NCATS serving as both the submitting and lead Institute, and in collaboration with Massachusetts General Hospital in Boston, as part of the activity named</w:t>
      </w:r>
      <w:r>
        <w:t xml:space="preserve"> </w:t>
      </w:r>
      <w:r>
        <w:t xml:space="preserve">“Scientists reveal a potential new approach to treating liver cancer”</w:t>
      </w:r>
      <w:r>
        <w:t xml:space="preserve">. The essence of this approach lies in modifying molecules to target specific proteins on the outsides of cells, potentially creating a</w:t>
      </w:r>
      <w:r>
        <w:t xml:space="preserve"> </w:t>
      </w:r>
      <w:r>
        <w:t xml:space="preserve">“toolkit”</w:t>
      </w:r>
      <w:r>
        <w:t xml:space="preserve"> </w:t>
      </w:r>
      <w:r>
        <w:t xml:space="preserve">that could affect many different targets, and the IDH1 enzyme is suggested as a potential target for the development of new drugs against liver cancers, and perhaps other cancers and diseases as well. This innovative strategy could pave the way for the development of more effective treatments against liver cancer, as outlined in the activity description.</w:t>
      </w:r>
      <w:r>
        <w:rPr>
          <w:rStyle w:val="FootnoteReference"/>
        </w:rPr>
        <w:footnoteReference w:id="143"/>
      </w:r>
      <w:r>
        <w:t xml:space="preserve"> </w:t>
      </w:r>
      <w:r>
        <w:t xml:space="preserve">[Entry 43]</w:t>
      </w:r>
    </w:p>
    <w:p>
      <w:pPr>
        <w:pStyle w:val="BodyText"/>
      </w:pPr>
      <w:r>
        <w:t xml:space="preserve">UID 250_NCI</w:t>
      </w:r>
    </w:p>
    <w:p>
      <w:pPr>
        <w:pStyle w:val="BodyText"/>
      </w:pPr>
      <w:r>
        <w:t xml:space="preserve">The reversal of cell division, a process once thought to be irreversible, has been observed when interrupted early enough, challenging long-held beliefs about cell biology. This phenomenon occurs when growth-promoting signals are removed, allowing cells to halt the division process and return to a resting state. The discovery, made through research led by NCI, with NCI serving as both the submitting and lead Institute, and no additional collaborating ICOs or agencies, has significant implications for the development of treatments targeting rapidly dividing cancer cells, as described in the activity</w:t>
      </w:r>
      <w:r>
        <w:t xml:space="preserve"> </w:t>
      </w:r>
      <w:r>
        <w:t xml:space="preserve">“Cell division can be reversed if interrupted early enough in the process”</w:t>
      </w:r>
      <w:r>
        <w:t xml:space="preserve">. This finding could ultimately lead to more effective interventions aimed at interrupting the growth process of cancer cells. The potential for this research to inform new therapeutic strategies is substantial.</w:t>
      </w:r>
      <w:r>
        <w:rPr>
          <w:rStyle w:val="FootnoteReference"/>
        </w:rPr>
        <w:footnoteReference w:id="144"/>
      </w:r>
      <w:r>
        <w:t xml:space="preserve"> </w:t>
      </w:r>
      <w:r>
        <w:t xml:space="preserve">[Entry 44]</w:t>
      </w:r>
    </w:p>
    <w:p>
      <w:pPr>
        <w:pStyle w:val="BodyText"/>
      </w:pPr>
      <w:r>
        <w:t xml:space="preserve">UID 254_NCI</w:t>
      </w:r>
    </w:p>
    <w:p>
      <w:pPr>
        <w:pStyle w:val="BodyText"/>
      </w:pPr>
      <w:r>
        <w:t xml:space="preserve">Notable differences in serum metabolites related to three specific pathways have been identified in breast cancer survivors, particularly African American survivors, who may face longer-term sequelae compared to the general population. These sequelae, or long-term complications, can be linked to side effects from cancer therapies, genetic susceptibility, and/or risk factors including biological changes induced by breast cancer. The study, conducted under the auspices of NCI, found elevated metabolite levels in two pathways related to inflammatory reactions and decreased levels in a lipid metabolism pathway in African American survivors. This research, part of the activity entitled</w:t>
      </w:r>
      <w:r>
        <w:t xml:space="preserve"> </w:t>
      </w:r>
      <w:r>
        <w:t xml:space="preserve">“Differences in metabolic pathway activity in African American breast cancer patients”</w:t>
      </w:r>
      <w:r>
        <w:t xml:space="preserve">, was led by NCI, with NCI also serving as the submitting ICO, and may provide potential clinical targets to reduce long-term sequelae among breast cancer patients, with collaborators noting the significance of these findings. NCI’s work in this area highlights the importance of understanding the complex interplay between metabolic pathways and breast cancer outcomes.</w:t>
      </w:r>
      <w:r>
        <w:rPr>
          <w:rStyle w:val="FootnoteReference"/>
        </w:rPr>
        <w:footnoteReference w:id="145"/>
      </w:r>
      <w:r>
        <w:t xml:space="preserve"> </w:t>
      </w:r>
      <w:r>
        <w:t xml:space="preserve">[Entry 45]</w:t>
      </w:r>
    </w:p>
    <w:p>
      <w:pPr>
        <w:pStyle w:val="BodyText"/>
      </w:pPr>
      <w:r>
        <w:t xml:space="preserve">UID 256_NCI</w:t>
      </w:r>
    </w:p>
    <w:p>
      <w:pPr>
        <w:pStyle w:val="BodyText"/>
      </w:pPr>
      <w:r>
        <w:t xml:space="preserve">The analysis of cell-free microRNA (cfmiRNA) is a promising avenue for less invasive cancer diagnostic procedures, as these RNAs circulate through the body and often have altered expression levels in cancer patients. Harmonized biospecimen procedures for cfmiRNA can increase research reproducibility and accelerate progress in cancer diagnosis. The Evidence-based practices for blood collection and processing for cell-free microRNA analysis activity aims to provide guidance on appropriate procedures for collection and processing of blood for miRNA extraction, storage, and analysis, as outlined in the Biospecimen Evidence-Based Practice (BEBP) document published by NCI in 2023. This document, developed with input from experts in the research community, supports the development of evidence-based standard operating procedures for biobanks, organizations, and institutions, with NCI serving as both the submitting and lead Institute, and no additional collaborating Institutes or agencies. The establishment of these standardized procedures is expected to enhance the reliability and consistency of cfmiRNA analysis, ultimately contributing to improved cancer diagnosis and treatment outcomes.</w:t>
      </w:r>
      <w:r>
        <w:rPr>
          <w:rStyle w:val="FootnoteReference"/>
        </w:rPr>
        <w:footnoteReference w:id="147"/>
      </w:r>
      <w:r>
        <w:t xml:space="preserve"> </w:t>
      </w:r>
      <w:r>
        <w:t xml:space="preserve">[Entry 46]</w:t>
      </w:r>
    </w:p>
    <w:p>
      <w:pPr>
        <w:pStyle w:val="BodyText"/>
      </w:pPr>
      <w:r>
        <w:t xml:space="preserve">UID 495_NIEHS</w:t>
      </w:r>
    </w:p>
    <w:p>
      <w:pPr>
        <w:pStyle w:val="BodyText"/>
      </w:pPr>
      <w:r>
        <w:t xml:space="preserve">The accumulation of senescent cells, which have lost the ability to divide, is a key driver of age-related diseases, including cancer, dementia, and cardiovascular disease. A newly uncovered pathway has shed light on the mechanisms underlying the accumulation of these age-promoting</w:t>
      </w:r>
      <w:r>
        <w:t xml:space="preserve"> </w:t>
      </w:r>
      <w:r>
        <w:t xml:space="preserve">“zombie cells”</w:t>
      </w:r>
      <w:r>
        <w:t xml:space="preserve">. This breakthrough was achieved through the collaborative efforts of NIEHS, led by NIEHS, with contributions from NCI, in an activity titled</w:t>
      </w:r>
      <w:r>
        <w:t xml:space="preserve"> </w:t>
      </w:r>
      <w:r>
        <w:t xml:space="preserve">“Researchers Uncover New Pathway for Accumulation of Age-promoting</w:t>
      </w:r>
      <w:r>
        <w:t xml:space="preserve"> </w:t>
      </w:r>
      <w:r>
        <w:t xml:space="preserve">‘Zombie Cells’</w:t>
      </w:r>
      <w:r>
        <w:t xml:space="preserve">”</w:t>
      </w:r>
      <w:r>
        <w:t xml:space="preserve">. The findings of this activity have significant implications for our understanding of the role of senescent cells in age-related diseases. By elucidating the pathways involved in the accumulation of these cells, researchers may be able to develop new therapeutic strategies to target age-related diseases.</w:t>
      </w:r>
      <w:r>
        <w:rPr>
          <w:rStyle w:val="FootnoteReference"/>
        </w:rPr>
        <w:footnoteReference w:id="149"/>
      </w:r>
      <w:r>
        <w:t xml:space="preserve"> </w:t>
      </w:r>
      <w:r>
        <w:t xml:space="preserve">[Entry 47]</w:t>
      </w:r>
    </w:p>
    <w:p>
      <w:pPr>
        <w:pStyle w:val="BodyText"/>
      </w:pPr>
      <w:r>
        <w:t xml:space="preserve">UID 622_OSC</w:t>
      </w:r>
    </w:p>
    <w:p>
      <w:pPr>
        <w:pStyle w:val="BodyText"/>
      </w:pPr>
      <w:r>
        <w:t xml:space="preserve">The diagnosis of kidney and renal pelvis cancer, a disease with significant variability in survival rates based on stage at diagnosis, has been enhanced through the examination of metabolites in urine. By leveraging artificial intelligence, a panel of 24 metabolites was identified that can differentiate between early and late-stage renal cell carcinoma with 87 percent accuracy, offering a potential alternative to expensive computerized tomography scans or magnetic resonance imaging. This breakthrough was achieved through the collaborative efforts of the OSC, led by DPCPSI - OSC, in partnership with NIDDK, NCI, and NIEHS, as part of the activity</w:t>
      </w:r>
      <w:r>
        <w:t xml:space="preserve"> </w:t>
      </w:r>
      <w:r>
        <w:t xml:space="preserve">“Using Metabolites in Kidney Cancer Diagnosis”</w:t>
      </w:r>
      <w:r>
        <w:t xml:space="preserve">. The study’s findings have significant implications for the early detection and staging of renal cell carcinoma, and may pave the way for the development of more accurate and cost-effective diagnostic tools. The activity’s focus on metabolomics and artificial intelligence has yielded promising results, with the potential to improve patient outcomes.</w:t>
      </w:r>
      <w:r>
        <w:rPr>
          <w:rStyle w:val="FootnoteReference"/>
        </w:rPr>
        <w:footnoteReference w:id="150"/>
      </w:r>
      <w:r>
        <w:t xml:space="preserve"> </w:t>
      </w:r>
      <w:r>
        <w:t xml:space="preserve">[Entry 48]</w:t>
      </w:r>
    </w:p>
    <w:bookmarkEnd w:id="152"/>
    <w:bookmarkStart w:id="156" w:name="immunotherapy"/>
    <w:p>
      <w:pPr>
        <w:pStyle w:val="Heading2"/>
      </w:pPr>
      <w:r>
        <w:t xml:space="preserve">Immunotherapy</w:t>
      </w:r>
    </w:p>
    <w:p>
      <w:pPr>
        <w:pStyle w:val="FirstParagraph"/>
      </w:pPr>
      <w:r>
        <w:t xml:space="preserve">262_NCI, 280_NCI</w:t>
      </w:r>
    </w:p>
    <w:p>
      <w:pPr>
        <w:pStyle w:val="BodyText"/>
      </w:pPr>
      <w:r>
        <w:t xml:space="preserve">UID 262_NCI</w:t>
      </w:r>
    </w:p>
    <w:p>
      <w:pPr>
        <w:pStyle w:val="BodyText"/>
      </w:pPr>
      <w:r>
        <w:t xml:space="preserve">The identification of a tumor escape mechanism has led to the development of a new approach to engineering immunotherapy cells, enhancing anti-tumor activity. By recognizing the role of chimeric antigen receptor (CAR) activation in promoting trogocytosis, a process that transfers surface material between cells, researchers have been able to modify CAR natural killer (NK) cells to overcome this limitation. NCI, as the submitting and lead ICO, has supported this work, which has resulted in the creation of engineered CAR-NK cells with an additional CAR that prevents them from attacking each other, even in the presence of tumor antigens. This innovative approach, as outlined in the activity</w:t>
      </w:r>
      <w:r>
        <w:t xml:space="preserve"> </w:t>
      </w:r>
      <w:r>
        <w:t xml:space="preserve">“Identification of a tumor escape mechanism and new approach to engineering immunotherapy cells for improving anti-tumor activity”</w:t>
      </w:r>
      <w:r>
        <w:t xml:space="preserve">, has shown improved anti-tumor activity in preclinical models, with the CAR NK cells better able to target tumor cells specifically. The collaboration has yielded a promising new strategy for improving immunotherapy outcomes.</w:t>
      </w:r>
      <w:r>
        <w:rPr>
          <w:rStyle w:val="FootnoteReference"/>
        </w:rPr>
        <w:footnoteReference w:id="153"/>
      </w:r>
      <w:r>
        <w:t xml:space="preserve"> </w:t>
      </w:r>
      <w:r>
        <w:t xml:space="preserve">[Entry 49]</w:t>
      </w:r>
    </w:p>
    <w:p>
      <w:pPr>
        <w:pStyle w:val="BodyText"/>
      </w:pPr>
      <w:r>
        <w:t xml:space="preserve">UID 280_NCI</w:t>
      </w:r>
    </w:p>
    <w:p>
      <w:pPr>
        <w:pStyle w:val="BodyText"/>
      </w:pPr>
      <w:r>
        <w:t xml:space="preserve">The development of neoantigen DNA vaccines has been advanced through the creation of a suite of tools, called pVACTools, which helps identify neoantigen candidates for immunotherapy, specifically targeting unique proteins on the surface of cancer cells that arise from mutations in the cancer cell’s DNA. This approach has been utilized to design anti-cancer vaccines for a phase I clinical trial, demonstrating the safety and effectiveness of these vaccines in generating immune responses in patients with triple-negative breast cancer, an especially aggressive and difficult to treat form of the disease. NCI, as the submitting and lead ICO, has supported the development of pVACTools, with no collaborating ICOs or agencies listed. The tool’s application in a clinical trial setting underscores its potential in contributing to the development of novel immunotherapies. The project, known as the Tool to advance development of neoantigen DNA vaccines, highlights the progress being made in this area, and its outcomes are noteworthy.</w:t>
      </w:r>
      <w:r>
        <w:rPr>
          <w:rStyle w:val="FootnoteReference"/>
        </w:rPr>
        <w:footnoteReference w:id="154"/>
      </w:r>
      <w:r>
        <w:t xml:space="preserve"> </w:t>
      </w:r>
      <w:r>
        <w:t xml:space="preserve">[Entry 50]</w:t>
      </w:r>
    </w:p>
    <w:bookmarkEnd w:id="156"/>
    <w:bookmarkStart w:id="161" w:name="nutrition-symptom-management"/>
    <w:p>
      <w:pPr>
        <w:pStyle w:val="Heading2"/>
      </w:pPr>
      <w:r>
        <w:t xml:space="preserve">Nutrition &amp; Symptom Management</w:t>
      </w:r>
    </w:p>
    <w:p>
      <w:pPr>
        <w:pStyle w:val="FirstParagraph"/>
      </w:pPr>
      <w:r>
        <w:t xml:space="preserve">34_CC, 70_ONR</w:t>
      </w:r>
    </w:p>
    <w:p>
      <w:pPr>
        <w:pStyle w:val="BodyText"/>
      </w:pPr>
      <w:r>
        <w:t xml:space="preserve">UID 34_CC</w:t>
      </w:r>
    </w:p>
    <w:p>
      <w:pPr>
        <w:pStyle w:val="BodyText"/>
      </w:pPr>
      <w:r>
        <w:t xml:space="preserve">Comprehensive online resources for nutrition management of Hereditary Diffuse Gastric Cancer and post-gastrectomy care were developed through collaboration, resulting in a widely accessed website with over 28,000 views in 2024, and ranking fourth among more than 2,800 NCI websites. This endeavor involved the creation of authoritative materials for individuals affected by this rare condition, as well as those undergoing diet and nutrition adjustments following gastrectomy. The activity, titled</w:t>
      </w:r>
      <w:r>
        <w:t xml:space="preserve"> </w:t>
      </w:r>
      <w:r>
        <w:t xml:space="preserve">“Diet and Nutrition for Hereditary Diffuse Gastric Cancer and Post-Gastrectomy Care”</w:t>
      </w:r>
      <w:r>
        <w:t xml:space="preserve">, was led by the CC, with collaboration from CC/NUTR and NCI, underscoring the importance of interdisciplinary approaches in addressing complex health issues. By co-authoring publications related to risk-reducing and prophylactic total gastrectomy, stemming from NCI intramural protocols, the team contributed meaningfully to the field. The outcome of this collaborative effort demonstrates the value of coordinated research and knowledge sharing, ultimately enhancing patient care and outcomes.</w:t>
      </w:r>
      <w:r>
        <w:rPr>
          <w:rStyle w:val="FootnoteReference"/>
        </w:rPr>
        <w:footnoteReference w:id="157"/>
      </w:r>
      <w:r>
        <w:t xml:space="preserve"> </w:t>
      </w:r>
      <w:r>
        <w:t xml:space="preserve">[Entry 51]</w:t>
      </w:r>
    </w:p>
    <w:p>
      <w:pPr>
        <w:pStyle w:val="BodyText"/>
      </w:pPr>
      <w:r>
        <w:t xml:space="preserve">UID 70_ONR</w:t>
      </w:r>
    </w:p>
    <w:p>
      <w:pPr>
        <w:pStyle w:val="BodyText"/>
      </w:pPr>
      <w:r>
        <w:t xml:space="preserve">The integration of nutrition as a preventative measure for improved cancer health outcomes has been a focal point of discussion, highlighting the significant impact of malnutrition on cancer treatment and patient outcomes. Through NIH Pathways to Prevention Workshop, a comprehensive examination of the relationship between nutrition and cancer health has been undertaken, with a particular emphasis on the nutrition-related side effects of cancer treatment, such as nausea, appetite and taste changes, and fatigue. The workshop, led by the DPCPSI -ODP, in collaboration with NCI, NIA, NICHD, and DPCPSI – ONR, and submitted by the ONR, aims to address the pressing issue of cancer-associated malnutrition, which can be preventable through interventions like medical nutrition therapy. By exploring the complex interplay between nutrition, cancer treatment, and patient outcomes, the workshop seeks to inform strategies for improving the quality of life for individuals with cancer. The workshop’s findings underscore the importance of nutrition in cancer prevention and treatment, and its recommendations have the potential to mitigate the risks associated with malnutrition in cancer patients.</w:t>
      </w:r>
      <w:r>
        <w:rPr>
          <w:rStyle w:val="FootnoteReference"/>
        </w:rPr>
        <w:footnoteReference w:id="159"/>
      </w:r>
      <w:r>
        <w:t xml:space="preserve"> </w:t>
      </w:r>
      <w:r>
        <w:t xml:space="preserve">[Entry 52]</w:t>
      </w:r>
    </w:p>
    <w:bookmarkEnd w:id="161"/>
    <w:bookmarkStart w:id="163" w:name="preventive-interventions"/>
    <w:p>
      <w:pPr>
        <w:pStyle w:val="Heading2"/>
      </w:pPr>
      <w:r>
        <w:t xml:space="preserve">Preventive Interventions</w:t>
      </w:r>
    </w:p>
    <w:p>
      <w:pPr>
        <w:pStyle w:val="FirstParagraph"/>
      </w:pPr>
      <w:r>
        <w:t xml:space="preserve">245_NCI</w:t>
      </w:r>
    </w:p>
    <w:p>
      <w:pPr>
        <w:pStyle w:val="BodyText"/>
      </w:pPr>
      <w:r>
        <w:t xml:space="preserve">UID 245_NCI</w:t>
      </w:r>
    </w:p>
    <w:p>
      <w:pPr>
        <w:pStyle w:val="BodyText"/>
      </w:pPr>
      <w:r>
        <w:t xml:space="preserve">The adoption of a healthy lifestyle, including regular physical activity, has been associated with a reduced risk of cancer mortality and premature death. Studies have shown that engaging in various leisure time activities on a weekly basis may lower the risk of death from all causes, as well as from cardiovascular disease and cancer, particularly among older adults. Furthermore, former smokers who maintain healthy habits have been found to have a lower risk of dying from all causes compared to those who do not adopt healthy lifestyles. NCI, led by NCI, has been at the forefront of this research, with collaborating efforts currently nonexistent, and their work has significant implications for the 52 million former smokers in the United States, as outlined in the activity named Benefits of a healthy lifestyle/physical activity on cancer mortality risk. This research underscores the importance of lifestyle interventions and has used activity monitor data to estimate the public health impact of small increases in physical activity, with NCI serving as both the submitting and lead ICO.</w:t>
      </w:r>
      <w:r>
        <w:rPr>
          <w:rStyle w:val="FootnoteReference"/>
        </w:rPr>
        <w:footnoteReference w:id="162"/>
      </w:r>
      <w:r>
        <w:t xml:space="preserve"> </w:t>
      </w:r>
      <w:r>
        <w:t xml:space="preserve">[Entry 53]</w:t>
      </w:r>
    </w:p>
    <w:bookmarkEnd w:id="163"/>
    <w:bookmarkStart w:id="173" w:name="screening-early-detection"/>
    <w:p>
      <w:pPr>
        <w:pStyle w:val="Heading2"/>
      </w:pPr>
      <w:r>
        <w:t xml:space="preserve">Screening &amp; Early Detection</w:t>
      </w:r>
    </w:p>
    <w:p>
      <w:pPr>
        <w:pStyle w:val="FirstParagraph"/>
      </w:pPr>
      <w:r>
        <w:t xml:space="preserve">251_NCI, 255_NCI, 259_NCI, 319_NIDCR, 332_NIDCR</w:t>
      </w:r>
    </w:p>
    <w:p>
      <w:pPr>
        <w:pStyle w:val="BodyText"/>
      </w:pPr>
      <w:r>
        <w:t xml:space="preserve">UID 251_NCI</w:t>
      </w:r>
    </w:p>
    <w:p>
      <w:pPr>
        <w:pStyle w:val="BodyText"/>
      </w:pPr>
      <w:r>
        <w:t xml:space="preserve">The implementation of self-collection methods for human papillomavirus (HPV) testing has shown promise in improving cervical cancer screening coverage, particularly for medically underserved women. Through the Cervical cancer</w:t>
      </w:r>
      <w:r>
        <w:t xml:space="preserve"> </w:t>
      </w:r>
      <w:r>
        <w:t xml:space="preserve">‘Last Mile’</w:t>
      </w:r>
      <w:r>
        <w:t xml:space="preserve"> </w:t>
      </w:r>
      <w:r>
        <w:t xml:space="preserve">Initiative, a comprehensive approach was undertaken to launch the Self-collection for HPV testing to Improve Cervical Cancer Prevention (SHIP) trial network, which aims to gather data on the viability of this method. Led by NCI, in collaboration with the FDA, BD, Roche, and Abbott, the SHIP trial network seeks to enhance cervical cancer prevention by potentially increasing screening uptake, especially in rural areas. The initiative’s focus on improving health outcomes for underserved populations underscores the commitment to addressing disparities in healthcare access. By exploring innovative methods for HPV testing, this effort contributes to the broader goal of reducing the burden of cervical cancer.</w:t>
      </w:r>
      <w:r>
        <w:rPr>
          <w:rStyle w:val="FootnoteReference"/>
        </w:rPr>
        <w:footnoteReference w:id="164"/>
      </w:r>
      <w:r>
        <w:t xml:space="preserve"> </w:t>
      </w:r>
      <w:r>
        <w:t xml:space="preserve">[Entry 54]</w:t>
      </w:r>
    </w:p>
    <w:p>
      <w:pPr>
        <w:pStyle w:val="BodyText"/>
      </w:pPr>
      <w:r>
        <w:t xml:space="preserve">UID 255_NCI</w:t>
      </w:r>
    </w:p>
    <w:p>
      <w:pPr>
        <w:pStyle w:val="BodyText"/>
      </w:pPr>
      <w:r>
        <w:t xml:space="preserve">Early interventions through recommended cancer screenings are a critical component of cancer prevention, enabling the detection and treatment of cancers at earlier stages. The Estimated U.S. cancer deaths prevented with increased use of lung, colorectal, breast, and cervical cancer screening activity, led by NCI, with NCI as the submitting institute, and no collaborating ICOs or agencies, has estimated that a modest increase in screening rates could have a significant impact on mortality rates. Specifically, a study from NCI Cancer Intervention and Surveillance Modeling Network found that over 15,000 deaths could be prevented if just 10 percent more of the eligible U.S. population underwent the recommended screenings for lung, colorectal, breast, and cervical cancers. This finding underscores the importance of screening in preventing cancer deaths, and highlights the potential benefits of increased screening rates. The activity’s focus on prevention and early intervention aligns with broader efforts to reduce cancer mortality, and its estimates provide valuable insights into the potential impact of screening on public health,.</w:t>
      </w:r>
      <w:r>
        <w:rPr>
          <w:rStyle w:val="FootnoteReference"/>
        </w:rPr>
        <w:footnoteReference w:id="166"/>
      </w:r>
      <w:r>
        <w:t xml:space="preserve"> </w:t>
      </w:r>
      <w:r>
        <w:t xml:space="preserve">[Entry 55]</w:t>
      </w:r>
    </w:p>
    <w:p>
      <w:pPr>
        <w:pStyle w:val="BodyText"/>
      </w:pPr>
      <w:r>
        <w:t xml:space="preserve">UID 259_NCI</w:t>
      </w:r>
    </w:p>
    <w:p>
      <w:pPr>
        <w:pStyle w:val="BodyText"/>
      </w:pPr>
      <w:r>
        <w:t xml:space="preserve">The development of national and international guidelines for anal cancer screening in people with HIV has significantly advanced the field of cancer prevention, with results from a study leading to the establishment of a screening program aimed at detecting and treating precancerous growths in the anus. This program has been shown to greatly reduce the risk of developing anal cancer, and its implementation could potentially prevent most cases of the disease. The effort was led by NCI, with collaboration from NIH Office of AIDS Research (OAR), and built upon NCI-supported ANCHOR study, which provided critical insights into the effectiveness of early detection and treatment of precancerous lesions. The new guidelines, titled</w:t>
      </w:r>
      <w:r>
        <w:t xml:space="preserve"> </w:t>
      </w:r>
      <w:r>
        <w:t xml:space="preserve">“First recommendations for anal cancer screening for people with HIV,”</w:t>
      </w:r>
      <w:r>
        <w:t xml:space="preserve"> </w:t>
      </w:r>
      <w:r>
        <w:t xml:space="preserve">mark a significant step forward in addressing the heightened risk of anal cancer in individuals with HIV. The screening program’s potential to prevent most cases of anal cancer underscores the importance of this research, led by NCI, in collaboration with NIH Office of AIDS Research (OAR).</w:t>
      </w:r>
      <w:r>
        <w:rPr>
          <w:rStyle w:val="FootnoteReference"/>
        </w:rPr>
        <w:footnoteReference w:id="168"/>
      </w:r>
      <w:r>
        <w:t xml:space="preserve"> </w:t>
      </w:r>
      <w:r>
        <w:t xml:space="preserve">[Entry 56]</w:t>
      </w:r>
    </w:p>
    <w:p>
      <w:pPr>
        <w:pStyle w:val="BodyText"/>
      </w:pPr>
      <w:r>
        <w:t xml:space="preserve">UID 319_NIDCR</w:t>
      </w:r>
    </w:p>
    <w:p>
      <w:pPr>
        <w:pStyle w:val="BodyText"/>
      </w:pPr>
      <w:r>
        <w:t xml:space="preserve">Enhanced early detection of head and neck cancers is the primary goal of the Advancing Head and Neck Cancer Early Detection Research (AHEAD) initiative, which supports studies applying molecular, cellular, and multi-omics signatures to clinical studies. This research focuses on distinguishing benign from premalignant lesions and identifying predictive markers of the switch from premalignant to malignant lesions. The AHEAD initiative is led by the NIDCR, with collaboration from NCI, allowing investigators to leverage valuable resources, including NCI’s Early Detection Research Network. By combining the expertise and resources of both the NIDCR and NCI, AHEAD investigators can enhance their research capabilities and contribute to the development of innovative early detection methods. The partnership between these institutes enables access to a national hub for biomarker discovery and validation, ultimately aiming to improve early cancer detection.</w:t>
      </w:r>
      <w:r>
        <w:rPr>
          <w:rStyle w:val="FootnoteReference"/>
        </w:rPr>
        <w:footnoteReference w:id="170"/>
      </w:r>
      <w:r>
        <w:t xml:space="preserve"> </w:t>
      </w:r>
      <w:r>
        <w:t xml:space="preserve">[Entry 57]</w:t>
      </w:r>
    </w:p>
    <w:p>
      <w:pPr>
        <w:pStyle w:val="BodyText"/>
      </w:pPr>
      <w:r>
        <w:t xml:space="preserve">UID 332_NIDCR</w:t>
      </w:r>
    </w:p>
    <w:p>
      <w:pPr>
        <w:pStyle w:val="BodyText"/>
      </w:pPr>
      <w:r>
        <w:t xml:space="preserve">The development of real-time clinical imaging technology has significantly enhanced the early detection of oral cancers, with a notable improvement in patient outcomes when intervention occurs promptly. Detecting oral cancer at an early stage can increase the five-year survival rate to up to 80 percent, a substantial difference from the approximately 20 percent survival rate for late-stage disease. The portable imaging system, designed to create an oral cancer risk and biopsy guidance map based on images of a patient’s oral tissues, projects a visualization onto the patient’s mouth, thereby assisting clinicians in identifying key areas for tissue sampling. This innovative approach, led by the NIDCR, with the submitting ICO being NIDCR and no collaborating ICOs or agencies, is part of the</w:t>
      </w:r>
      <w:r>
        <w:t xml:space="preserve"> </w:t>
      </w:r>
      <w:r>
        <w:t xml:space="preserve">“Real-time clinical imaging technology to improve early detection of oral cancers”</w:t>
      </w:r>
      <w:r>
        <w:t xml:space="preserve"> </w:t>
      </w:r>
      <w:r>
        <w:t xml:space="preserve">activity, which aims to improve the accuracy of oral cancer screening by providing clinicians with a valuable tool to guide their decisions. The application of this technology has the potential to revolutionize the field of oral cancer detection, and its development is a testament to the power of innovative thinking in improving patient care.</w:t>
      </w:r>
      <w:r>
        <w:rPr>
          <w:rStyle w:val="FootnoteReference"/>
        </w:rPr>
        <w:footnoteReference w:id="171"/>
      </w:r>
      <w:r>
        <w:t xml:space="preserve"> </w:t>
      </w:r>
      <w:r>
        <w:t xml:space="preserve">[Entry 58]</w:t>
      </w:r>
    </w:p>
    <w:bookmarkEnd w:id="173"/>
    <w:bookmarkStart w:id="174" w:name="acronyms"/>
    <w:p>
      <w:pPr>
        <w:pStyle w:val="Heading2"/>
      </w:pPr>
      <w:r>
        <w:t xml:space="preserve">Acronyms</w:t>
      </w:r>
    </w:p>
    <w:p>
      <w:pPr>
        <w:pStyle w:val="FirstParagraph"/>
      </w:pPr>
      <w:r>
        <w:rPr>
          <w:b/>
          <w:bCs/>
        </w:rPr>
        <w:t xml:space="preserve">AHEAD</w:t>
      </w:r>
      <w:r>
        <w:t xml:space="preserve"> </w:t>
      </w:r>
      <w:r>
        <w:t xml:space="preserve">— Expansion not specified</w:t>
      </w:r>
    </w:p>
    <w:p>
      <w:pPr>
        <w:pStyle w:val="BodyText"/>
      </w:pPr>
      <w:r>
        <w:rPr>
          <w:b/>
          <w:bCs/>
        </w:rPr>
        <w:t xml:space="preserve">AI</w:t>
      </w:r>
      <w:r>
        <w:t xml:space="preserve"> </w:t>
      </w:r>
      <w:r>
        <w:t xml:space="preserve">— Artificial intelligence</w:t>
      </w:r>
    </w:p>
    <w:p>
      <w:pPr>
        <w:pStyle w:val="BodyText"/>
      </w:pPr>
      <w:r>
        <w:rPr>
          <w:b/>
          <w:bCs/>
        </w:rPr>
        <w:t xml:space="preserve">AIDS</w:t>
      </w:r>
      <w:r>
        <w:t xml:space="preserve"> </w:t>
      </w:r>
      <w:r>
        <w:t xml:space="preserve">— Expansion not specified</w:t>
      </w:r>
    </w:p>
    <w:p>
      <w:pPr>
        <w:pStyle w:val="BodyText"/>
      </w:pPr>
      <w:r>
        <w:rPr>
          <w:b/>
          <w:bCs/>
        </w:rPr>
        <w:t xml:space="preserve">ANCHOR</w:t>
      </w:r>
      <w:r>
        <w:t xml:space="preserve"> </w:t>
      </w:r>
      <w:r>
        <w:t xml:space="preserve">— Expansion not specified</w:t>
      </w:r>
    </w:p>
    <w:p>
      <w:pPr>
        <w:pStyle w:val="BodyText"/>
      </w:pPr>
      <w:r>
        <w:rPr>
          <w:b/>
          <w:bCs/>
        </w:rPr>
        <w:t xml:space="preserve">BAP1</w:t>
      </w:r>
      <w:r>
        <w:t xml:space="preserve"> </w:t>
      </w:r>
      <w:r>
        <w:t xml:space="preserve">— Expansion not specified</w:t>
      </w:r>
    </w:p>
    <w:p>
      <w:pPr>
        <w:pStyle w:val="BodyText"/>
      </w:pPr>
      <w:r>
        <w:rPr>
          <w:b/>
          <w:bCs/>
        </w:rPr>
        <w:t xml:space="preserve">BBIO-10203</w:t>
      </w:r>
      <w:r>
        <w:t xml:space="preserve"> </w:t>
      </w:r>
      <w:r>
        <w:t xml:space="preserve">— Expansion not specified</w:t>
      </w:r>
    </w:p>
    <w:p>
      <w:pPr>
        <w:pStyle w:val="BodyText"/>
      </w:pPr>
      <w:r>
        <w:rPr>
          <w:b/>
          <w:bCs/>
        </w:rPr>
        <w:t xml:space="preserve">BBO-8520</w:t>
      </w:r>
      <w:r>
        <w:t xml:space="preserve"> </w:t>
      </w:r>
      <w:r>
        <w:t xml:space="preserve">— Expansion not specified</w:t>
      </w:r>
    </w:p>
    <w:p>
      <w:pPr>
        <w:pStyle w:val="BodyText"/>
      </w:pPr>
      <w:r>
        <w:rPr>
          <w:b/>
          <w:bCs/>
        </w:rPr>
        <w:t xml:space="preserve">BD</w:t>
      </w:r>
      <w:r>
        <w:t xml:space="preserve"> </w:t>
      </w:r>
      <w:r>
        <w:t xml:space="preserve">— Expansion not specified</w:t>
      </w:r>
    </w:p>
    <w:p>
      <w:pPr>
        <w:pStyle w:val="BodyText"/>
      </w:pPr>
      <w:r>
        <w:rPr>
          <w:b/>
          <w:bCs/>
        </w:rPr>
        <w:t xml:space="preserve">BE</w:t>
      </w:r>
      <w:r>
        <w:t xml:space="preserve"> </w:t>
      </w:r>
      <w:r>
        <w:t xml:space="preserve">— Expansion not specified</w:t>
      </w:r>
    </w:p>
    <w:p>
      <w:pPr>
        <w:pStyle w:val="BodyText"/>
      </w:pPr>
      <w:r>
        <w:rPr>
          <w:b/>
          <w:bCs/>
        </w:rPr>
        <w:t xml:space="preserve">BEBP</w:t>
      </w:r>
      <w:r>
        <w:t xml:space="preserve"> </w:t>
      </w:r>
      <w:r>
        <w:t xml:space="preserve">— Expansion not specified</w:t>
      </w:r>
    </w:p>
    <w:p>
      <w:pPr>
        <w:pStyle w:val="BodyText"/>
      </w:pPr>
      <w:r>
        <w:rPr>
          <w:b/>
          <w:bCs/>
        </w:rPr>
        <w:t xml:space="preserve">BRCA</w:t>
      </w:r>
      <w:r>
        <w:t xml:space="preserve"> </w:t>
      </w:r>
      <w:r>
        <w:t xml:space="preserve">— Expansion not specified</w:t>
      </w:r>
    </w:p>
    <w:p>
      <w:pPr>
        <w:pStyle w:val="BodyText"/>
      </w:pPr>
      <w:r>
        <w:rPr>
          <w:b/>
          <w:bCs/>
        </w:rPr>
        <w:t xml:space="preserve">BRCA1</w:t>
      </w:r>
      <w:r>
        <w:t xml:space="preserve"> </w:t>
      </w:r>
      <w:r>
        <w:t xml:space="preserve">— Expansion not specified</w:t>
      </w:r>
    </w:p>
    <w:p>
      <w:pPr>
        <w:pStyle w:val="BodyText"/>
      </w:pPr>
      <w:r>
        <w:rPr>
          <w:b/>
          <w:bCs/>
        </w:rPr>
        <w:t xml:space="preserve">CAF</w:t>
      </w:r>
      <w:r>
        <w:t xml:space="preserve"> </w:t>
      </w:r>
      <w:r>
        <w:t xml:space="preserve">— Expansion not specified</w:t>
      </w:r>
    </w:p>
    <w:p>
      <w:pPr>
        <w:pStyle w:val="BodyText"/>
      </w:pPr>
      <w:r>
        <w:rPr>
          <w:b/>
          <w:bCs/>
        </w:rPr>
        <w:t xml:space="preserve">CAR</w:t>
      </w:r>
      <w:r>
        <w:t xml:space="preserve"> </w:t>
      </w:r>
      <w:r>
        <w:t xml:space="preserve">— Expansion not specified</w:t>
      </w:r>
    </w:p>
    <w:p>
      <w:pPr>
        <w:pStyle w:val="BodyText"/>
      </w:pPr>
      <w:r>
        <w:rPr>
          <w:b/>
          <w:bCs/>
        </w:rPr>
        <w:t xml:space="preserve">CAR-NK</w:t>
      </w:r>
      <w:r>
        <w:t xml:space="preserve"> </w:t>
      </w:r>
      <w:r>
        <w:t xml:space="preserve">— Expansion not specified</w:t>
      </w:r>
    </w:p>
    <w:p>
      <w:pPr>
        <w:pStyle w:val="BodyText"/>
      </w:pPr>
      <w:r>
        <w:rPr>
          <w:b/>
          <w:bCs/>
        </w:rPr>
        <w:t xml:space="preserve">CC</w:t>
      </w:r>
      <w:r>
        <w:t xml:space="preserve"> </w:t>
      </w:r>
      <w:r>
        <w:t xml:space="preserve">— Expansion not specified</w:t>
      </w:r>
    </w:p>
    <w:p>
      <w:pPr>
        <w:pStyle w:val="BodyText"/>
      </w:pPr>
      <w:r>
        <w:rPr>
          <w:b/>
          <w:bCs/>
        </w:rPr>
        <w:t xml:space="preserve">CC-BCES</w:t>
      </w:r>
      <w:r>
        <w:t xml:space="preserve"> </w:t>
      </w:r>
      <w:r>
        <w:t xml:space="preserve">— Expansion not specified</w:t>
      </w:r>
    </w:p>
    <w:p>
      <w:pPr>
        <w:pStyle w:val="BodyText"/>
      </w:pPr>
      <w:r>
        <w:rPr>
          <w:b/>
          <w:bCs/>
        </w:rPr>
        <w:t xml:space="preserve">CCDI</w:t>
      </w:r>
      <w:r>
        <w:t xml:space="preserve"> </w:t>
      </w:r>
      <w:r>
        <w:t xml:space="preserve">— Expansion not specified</w:t>
      </w:r>
    </w:p>
    <w:p>
      <w:pPr>
        <w:pStyle w:val="BodyText"/>
      </w:pPr>
      <w:r>
        <w:rPr>
          <w:b/>
          <w:bCs/>
        </w:rPr>
        <w:t xml:space="preserve">CD8</w:t>
      </w:r>
      <w:r>
        <w:t xml:space="preserve"> </w:t>
      </w:r>
      <w:r>
        <w:t xml:space="preserve">— Expansion not specified</w:t>
      </w:r>
    </w:p>
    <w:p>
      <w:pPr>
        <w:pStyle w:val="BodyText"/>
      </w:pPr>
      <w:r>
        <w:rPr>
          <w:b/>
          <w:bCs/>
        </w:rPr>
        <w:t xml:space="preserve">CDC</w:t>
      </w:r>
      <w:r>
        <w:t xml:space="preserve"> </w:t>
      </w:r>
      <w:r>
        <w:t xml:space="preserve">— Expansion not specified</w:t>
      </w:r>
    </w:p>
    <w:p>
      <w:pPr>
        <w:pStyle w:val="BodyText"/>
      </w:pPr>
      <w:r>
        <w:rPr>
          <w:b/>
          <w:bCs/>
        </w:rPr>
        <w:t xml:space="preserve">CHOP</w:t>
      </w:r>
      <w:r>
        <w:t xml:space="preserve"> </w:t>
      </w:r>
      <w:r>
        <w:t xml:space="preserve">— Expansion not specified</w:t>
      </w:r>
    </w:p>
    <w:p>
      <w:pPr>
        <w:pStyle w:val="BodyText"/>
      </w:pPr>
      <w:r>
        <w:rPr>
          <w:b/>
          <w:bCs/>
        </w:rPr>
        <w:t xml:space="preserve">COVID-19</w:t>
      </w:r>
      <w:r>
        <w:t xml:space="preserve"> </w:t>
      </w:r>
      <w:r>
        <w:t xml:space="preserve">— Expansion not specified</w:t>
      </w:r>
    </w:p>
    <w:p>
      <w:pPr>
        <w:pStyle w:val="BodyText"/>
      </w:pPr>
      <w:r>
        <w:rPr>
          <w:b/>
          <w:bCs/>
        </w:rPr>
        <w:t xml:space="preserve">CT</w:t>
      </w:r>
      <w:r>
        <w:t xml:space="preserve"> </w:t>
      </w:r>
      <w:r>
        <w:t xml:space="preserve">— Expansion not specified</w:t>
      </w:r>
    </w:p>
    <w:p>
      <w:pPr>
        <w:pStyle w:val="BodyText"/>
      </w:pPr>
      <w:r>
        <w:rPr>
          <w:b/>
          <w:bCs/>
        </w:rPr>
        <w:t xml:space="preserve">CYTALUX</w:t>
      </w:r>
      <w:r>
        <w:t xml:space="preserve"> </w:t>
      </w:r>
      <w:r>
        <w:t xml:space="preserve">— Expansion not specified</w:t>
      </w:r>
    </w:p>
    <w:p>
      <w:pPr>
        <w:pStyle w:val="BodyText"/>
      </w:pPr>
      <w:r>
        <w:rPr>
          <w:b/>
          <w:bCs/>
        </w:rPr>
        <w:t xml:space="preserve">DLBCL</w:t>
      </w:r>
      <w:r>
        <w:t xml:space="preserve"> </w:t>
      </w:r>
      <w:r>
        <w:t xml:space="preserve">— Expansion not specified</w:t>
      </w:r>
    </w:p>
    <w:p>
      <w:pPr>
        <w:pStyle w:val="BodyText"/>
      </w:pPr>
      <w:r>
        <w:rPr>
          <w:b/>
          <w:bCs/>
        </w:rPr>
        <w:t xml:space="preserve">DNA</w:t>
      </w:r>
      <w:r>
        <w:t xml:space="preserve"> </w:t>
      </w:r>
      <w:r>
        <w:t xml:space="preserve">— Expansion not specified</w:t>
      </w:r>
    </w:p>
    <w:p>
      <w:pPr>
        <w:pStyle w:val="BodyText"/>
      </w:pPr>
      <w:r>
        <w:rPr>
          <w:b/>
          <w:bCs/>
        </w:rPr>
        <w:t xml:space="preserve">DPCPSI</w:t>
      </w:r>
      <w:r>
        <w:t xml:space="preserve"> </w:t>
      </w:r>
      <w:r>
        <w:t xml:space="preserve">— Expansion not specified</w:t>
      </w:r>
    </w:p>
    <w:p>
      <w:pPr>
        <w:pStyle w:val="BodyText"/>
      </w:pPr>
      <w:r>
        <w:rPr>
          <w:b/>
          <w:bCs/>
        </w:rPr>
        <w:t xml:space="preserve">DPCPSI-THRO</w:t>
      </w:r>
      <w:r>
        <w:t xml:space="preserve"> </w:t>
      </w:r>
      <w:r>
        <w:t xml:space="preserve">— Expansion not specified</w:t>
      </w:r>
    </w:p>
    <w:p>
      <w:pPr>
        <w:pStyle w:val="BodyText"/>
      </w:pPr>
      <w:r>
        <w:rPr>
          <w:b/>
          <w:bCs/>
        </w:rPr>
        <w:t xml:space="preserve">EAC</w:t>
      </w:r>
      <w:r>
        <w:t xml:space="preserve"> </w:t>
      </w:r>
      <w:r>
        <w:t xml:space="preserve">— Expansion not specified</w:t>
      </w:r>
    </w:p>
    <w:p>
      <w:pPr>
        <w:pStyle w:val="BodyText"/>
      </w:pPr>
      <w:r>
        <w:rPr>
          <w:b/>
          <w:bCs/>
        </w:rPr>
        <w:t xml:space="preserve">ERK</w:t>
      </w:r>
      <w:r>
        <w:t xml:space="preserve"> </w:t>
      </w:r>
      <w:r>
        <w:t xml:space="preserve">— Expansion not specified</w:t>
      </w:r>
    </w:p>
    <w:p>
      <w:pPr>
        <w:pStyle w:val="BodyText"/>
      </w:pPr>
      <w:r>
        <w:rPr>
          <w:b/>
          <w:bCs/>
        </w:rPr>
        <w:t xml:space="preserve">ETV6</w:t>
      </w:r>
      <w:r>
        <w:t xml:space="preserve"> </w:t>
      </w:r>
      <w:r>
        <w:t xml:space="preserve">— Expansion not specified</w:t>
      </w:r>
    </w:p>
    <w:p>
      <w:pPr>
        <w:pStyle w:val="BodyText"/>
      </w:pPr>
      <w:r>
        <w:rPr>
          <w:b/>
          <w:bCs/>
        </w:rPr>
        <w:t xml:space="preserve">FDA</w:t>
      </w:r>
      <w:r>
        <w:t xml:space="preserve"> </w:t>
      </w:r>
      <w:r>
        <w:t xml:space="preserve">— Expansion not specified</w:t>
      </w:r>
    </w:p>
    <w:p>
      <w:pPr>
        <w:pStyle w:val="BodyText"/>
      </w:pPr>
      <w:r>
        <w:rPr>
          <w:b/>
          <w:bCs/>
        </w:rPr>
        <w:t xml:space="preserve">G12C</w:t>
      </w:r>
      <w:r>
        <w:t xml:space="preserve"> </w:t>
      </w:r>
      <w:r>
        <w:t xml:space="preserve">— Expansion not specified</w:t>
      </w:r>
    </w:p>
    <w:p>
      <w:pPr>
        <w:pStyle w:val="BodyText"/>
      </w:pPr>
      <w:r>
        <w:rPr>
          <w:b/>
          <w:bCs/>
        </w:rPr>
        <w:t xml:space="preserve">GAP43</w:t>
      </w:r>
      <w:r>
        <w:t xml:space="preserve"> </w:t>
      </w:r>
      <w:r>
        <w:t xml:space="preserve">— Expansion not specified</w:t>
      </w:r>
    </w:p>
    <w:p>
      <w:pPr>
        <w:pStyle w:val="BodyText"/>
      </w:pPr>
      <w:r>
        <w:rPr>
          <w:b/>
          <w:bCs/>
        </w:rPr>
        <w:t xml:space="preserve">GCB</w:t>
      </w:r>
      <w:r>
        <w:t xml:space="preserve"> </w:t>
      </w:r>
      <w:r>
        <w:t xml:space="preserve">— Expansion not specified</w:t>
      </w:r>
    </w:p>
    <w:p>
      <w:pPr>
        <w:pStyle w:val="BodyText"/>
      </w:pPr>
      <w:r>
        <w:rPr>
          <w:b/>
          <w:bCs/>
        </w:rPr>
        <w:t xml:space="preserve">HHS</w:t>
      </w:r>
      <w:r>
        <w:t xml:space="preserve"> </w:t>
      </w:r>
      <w:r>
        <w:t xml:space="preserve">— Expansion not specified</w:t>
      </w:r>
    </w:p>
    <w:p>
      <w:pPr>
        <w:pStyle w:val="BodyText"/>
      </w:pPr>
      <w:r>
        <w:rPr>
          <w:b/>
          <w:bCs/>
        </w:rPr>
        <w:t xml:space="preserve">HIV</w:t>
      </w:r>
      <w:r>
        <w:t xml:space="preserve"> </w:t>
      </w:r>
      <w:r>
        <w:t xml:space="preserve">— Expansion not specified</w:t>
      </w:r>
    </w:p>
    <w:p>
      <w:pPr>
        <w:pStyle w:val="BodyText"/>
      </w:pPr>
      <w:r>
        <w:rPr>
          <w:b/>
          <w:bCs/>
        </w:rPr>
        <w:t xml:space="preserve">HPV</w:t>
      </w:r>
      <w:r>
        <w:t xml:space="preserve"> </w:t>
      </w:r>
      <w:r>
        <w:t xml:space="preserve">— Expansion not specified</w:t>
      </w:r>
    </w:p>
    <w:p>
      <w:pPr>
        <w:pStyle w:val="BodyText"/>
      </w:pPr>
      <w:r>
        <w:rPr>
          <w:b/>
          <w:bCs/>
        </w:rPr>
        <w:t xml:space="preserve">HRSA</w:t>
      </w:r>
      <w:r>
        <w:t xml:space="preserve"> </w:t>
      </w:r>
      <w:r>
        <w:t xml:space="preserve">— Expansion not specified</w:t>
      </w:r>
    </w:p>
    <w:p>
      <w:pPr>
        <w:pStyle w:val="BodyText"/>
      </w:pPr>
      <w:r>
        <w:rPr>
          <w:b/>
          <w:bCs/>
        </w:rPr>
        <w:t xml:space="preserve">IDH1</w:t>
      </w:r>
      <w:r>
        <w:t xml:space="preserve"> </w:t>
      </w:r>
      <w:r>
        <w:t xml:space="preserve">— Expansion not specified</w:t>
      </w:r>
    </w:p>
    <w:p>
      <w:pPr>
        <w:pStyle w:val="BodyText"/>
      </w:pPr>
      <w:r>
        <w:rPr>
          <w:b/>
          <w:bCs/>
        </w:rPr>
        <w:t xml:space="preserve">III</w:t>
      </w:r>
      <w:r>
        <w:t xml:space="preserve"> </w:t>
      </w:r>
      <w:r>
        <w:t xml:space="preserve">— Expansion not specified</w:t>
      </w:r>
    </w:p>
    <w:p>
      <w:pPr>
        <w:pStyle w:val="BodyText"/>
      </w:pPr>
      <w:r>
        <w:rPr>
          <w:b/>
          <w:bCs/>
        </w:rPr>
        <w:t xml:space="preserve">KRAS</w:t>
      </w:r>
      <w:r>
        <w:t xml:space="preserve"> </w:t>
      </w:r>
      <w:r>
        <w:t xml:space="preserve">— Expansion not specified</w:t>
      </w:r>
    </w:p>
    <w:p>
      <w:pPr>
        <w:pStyle w:val="BodyText"/>
      </w:pPr>
      <w:r>
        <w:rPr>
          <w:b/>
          <w:bCs/>
        </w:rPr>
        <w:t xml:space="preserve">MIDRC</w:t>
      </w:r>
      <w:r>
        <w:t xml:space="preserve"> </w:t>
      </w:r>
      <w:r>
        <w:t xml:space="preserve">— Expansion not specified</w:t>
      </w:r>
    </w:p>
    <w:p>
      <w:pPr>
        <w:pStyle w:val="BodyText"/>
      </w:pPr>
      <w:r>
        <w:rPr>
          <w:b/>
          <w:bCs/>
        </w:rPr>
        <w:t xml:space="preserve">MRI</w:t>
      </w:r>
      <w:r>
        <w:t xml:space="preserve"> </w:t>
      </w:r>
      <w:r>
        <w:t xml:space="preserve">— Expansion not specified</w:t>
      </w:r>
    </w:p>
    <w:p>
      <w:pPr>
        <w:pStyle w:val="BodyText"/>
      </w:pPr>
      <w:r>
        <w:rPr>
          <w:b/>
          <w:bCs/>
        </w:rPr>
        <w:t xml:space="preserve">NIDCR</w:t>
      </w:r>
      <w:r>
        <w:t xml:space="preserve"> </w:t>
      </w:r>
      <w:r>
        <w:t xml:space="preserve">— Expansion not specified</w:t>
      </w:r>
    </w:p>
    <w:p>
      <w:pPr>
        <w:pStyle w:val="BodyText"/>
      </w:pPr>
      <w:r>
        <w:rPr>
          <w:b/>
          <w:bCs/>
        </w:rPr>
        <w:t xml:space="preserve">NIMHD</w:t>
      </w:r>
      <w:r>
        <w:t xml:space="preserve"> </w:t>
      </w:r>
      <w:r>
        <w:t xml:space="preserve">— Expansion not specified</w:t>
      </w:r>
    </w:p>
    <w:p>
      <w:pPr>
        <w:pStyle w:val="BodyText"/>
      </w:pPr>
      <w:r>
        <w:rPr>
          <w:b/>
          <w:bCs/>
        </w:rPr>
        <w:t xml:space="preserve">NK</w:t>
      </w:r>
      <w:r>
        <w:t xml:space="preserve"> </w:t>
      </w:r>
      <w:r>
        <w:t xml:space="preserve">— Expansion not specified</w:t>
      </w:r>
    </w:p>
    <w:p>
      <w:pPr>
        <w:pStyle w:val="BodyText"/>
      </w:pPr>
      <w:r>
        <w:rPr>
          <w:b/>
          <w:bCs/>
        </w:rPr>
        <w:t xml:space="preserve">NSCLC</w:t>
      </w:r>
      <w:r>
        <w:t xml:space="preserve"> </w:t>
      </w:r>
      <w:r>
        <w:t xml:space="preserve">— Expansion not specified</w:t>
      </w:r>
    </w:p>
    <w:p>
      <w:pPr>
        <w:pStyle w:val="BodyText"/>
      </w:pPr>
      <w:r>
        <w:rPr>
          <w:b/>
          <w:bCs/>
        </w:rPr>
        <w:t xml:space="preserve">NUTR</w:t>
      </w:r>
      <w:r>
        <w:t xml:space="preserve"> </w:t>
      </w:r>
      <w:r>
        <w:t xml:space="preserve">— Expansion not specified</w:t>
      </w:r>
    </w:p>
    <w:p>
      <w:pPr>
        <w:pStyle w:val="BodyText"/>
      </w:pPr>
      <w:r>
        <w:rPr>
          <w:b/>
          <w:bCs/>
        </w:rPr>
        <w:t xml:space="preserve">OAR</w:t>
      </w:r>
      <w:r>
        <w:t xml:space="preserve"> </w:t>
      </w:r>
      <w:r>
        <w:t xml:space="preserve">— Expansion not specified</w:t>
      </w:r>
    </w:p>
    <w:p>
      <w:pPr>
        <w:pStyle w:val="BodyText"/>
      </w:pPr>
      <w:r>
        <w:rPr>
          <w:b/>
          <w:bCs/>
        </w:rPr>
        <w:t xml:space="preserve">ODP</w:t>
      </w:r>
      <w:r>
        <w:t xml:space="preserve"> </w:t>
      </w:r>
      <w:r>
        <w:t xml:space="preserve">— Expansion not specified</w:t>
      </w:r>
    </w:p>
    <w:p>
      <w:pPr>
        <w:pStyle w:val="BodyText"/>
      </w:pPr>
      <w:r>
        <w:rPr>
          <w:b/>
          <w:bCs/>
        </w:rPr>
        <w:t xml:space="preserve">ONR</w:t>
      </w:r>
      <w:r>
        <w:t xml:space="preserve"> </w:t>
      </w:r>
      <w:r>
        <w:t xml:space="preserve">— Expansion not specified</w:t>
      </w:r>
    </w:p>
    <w:p>
      <w:pPr>
        <w:pStyle w:val="BodyText"/>
      </w:pPr>
      <w:r>
        <w:rPr>
          <w:b/>
          <w:bCs/>
        </w:rPr>
        <w:t xml:space="preserve">ORWH</w:t>
      </w:r>
      <w:r>
        <w:t xml:space="preserve"> </w:t>
      </w:r>
      <w:r>
        <w:t xml:space="preserve">— Expansion not specified</w:t>
      </w:r>
    </w:p>
    <w:p>
      <w:pPr>
        <w:pStyle w:val="BodyText"/>
      </w:pPr>
      <w:r>
        <w:rPr>
          <w:b/>
          <w:bCs/>
        </w:rPr>
        <w:t xml:space="preserve">OSC</w:t>
      </w:r>
      <w:r>
        <w:t xml:space="preserve"> </w:t>
      </w:r>
      <w:r>
        <w:t xml:space="preserve">— Office of Strategic Coordination</w:t>
      </w:r>
    </w:p>
    <w:p>
      <w:pPr>
        <w:pStyle w:val="BodyText"/>
      </w:pPr>
      <w:r>
        <w:rPr>
          <w:b/>
          <w:bCs/>
        </w:rPr>
        <w:t xml:space="preserve">PARP</w:t>
      </w:r>
      <w:r>
        <w:t xml:space="preserve"> </w:t>
      </w:r>
      <w:r>
        <w:t xml:space="preserve">— Expansion not specified</w:t>
      </w:r>
    </w:p>
    <w:p>
      <w:pPr>
        <w:pStyle w:val="BodyText"/>
      </w:pPr>
      <w:r>
        <w:rPr>
          <w:b/>
          <w:bCs/>
        </w:rPr>
        <w:t xml:space="preserve">PB</w:t>
      </w:r>
      <w:r>
        <w:t xml:space="preserve"> </w:t>
      </w:r>
      <w:r>
        <w:t xml:space="preserve">— Expansion not specified</w:t>
      </w:r>
    </w:p>
    <w:p>
      <w:pPr>
        <w:pStyle w:val="BodyText"/>
      </w:pPr>
      <w:r>
        <w:rPr>
          <w:b/>
          <w:bCs/>
        </w:rPr>
        <w:t xml:space="preserve">PDAC</w:t>
      </w:r>
      <w:r>
        <w:t xml:space="preserve"> </w:t>
      </w:r>
      <w:r>
        <w:t xml:space="preserve">— Expansion not specified</w:t>
      </w:r>
    </w:p>
    <w:p>
      <w:pPr>
        <w:pStyle w:val="BodyText"/>
      </w:pPr>
      <w:r>
        <w:rPr>
          <w:b/>
          <w:bCs/>
        </w:rPr>
        <w:t xml:space="preserve">PET</w:t>
      </w:r>
      <w:r>
        <w:t xml:space="preserve"> </w:t>
      </w:r>
      <w:r>
        <w:t xml:space="preserve">— Expansion not specified</w:t>
      </w:r>
    </w:p>
    <w:p>
      <w:pPr>
        <w:pStyle w:val="BodyText"/>
      </w:pPr>
      <w:r>
        <w:rPr>
          <w:b/>
          <w:bCs/>
        </w:rPr>
        <w:t xml:space="preserve">PROSPECT</w:t>
      </w:r>
      <w:r>
        <w:t xml:space="preserve"> </w:t>
      </w:r>
      <w:r>
        <w:t xml:space="preserve">— Expansion not specified</w:t>
      </w:r>
    </w:p>
    <w:p>
      <w:pPr>
        <w:pStyle w:val="BodyText"/>
      </w:pPr>
      <w:r>
        <w:rPr>
          <w:b/>
          <w:bCs/>
        </w:rPr>
        <w:t xml:space="preserve">RAS</w:t>
      </w:r>
      <w:r>
        <w:t xml:space="preserve"> </w:t>
      </w:r>
      <w:r>
        <w:t xml:space="preserve">— Expansion not specified</w:t>
      </w:r>
    </w:p>
    <w:p>
      <w:pPr>
        <w:pStyle w:val="BodyText"/>
      </w:pPr>
      <w:r>
        <w:rPr>
          <w:b/>
          <w:bCs/>
        </w:rPr>
        <w:t xml:space="preserve">RNA</w:t>
      </w:r>
      <w:r>
        <w:t xml:space="preserve"> </w:t>
      </w:r>
      <w:r>
        <w:t xml:space="preserve">— Expansion not specified</w:t>
      </w:r>
    </w:p>
    <w:p>
      <w:pPr>
        <w:pStyle w:val="BodyText"/>
      </w:pPr>
      <w:r>
        <w:rPr>
          <w:b/>
          <w:bCs/>
        </w:rPr>
        <w:t xml:space="preserve">SBIR</w:t>
      </w:r>
      <w:r>
        <w:t xml:space="preserve"> </w:t>
      </w:r>
      <w:r>
        <w:t xml:space="preserve">— Expansion not specified</w:t>
      </w:r>
    </w:p>
    <w:p>
      <w:pPr>
        <w:pStyle w:val="BodyText"/>
      </w:pPr>
      <w:r>
        <w:rPr>
          <w:b/>
          <w:bCs/>
        </w:rPr>
        <w:t xml:space="preserve">SEEP</w:t>
      </w:r>
      <w:r>
        <w:t xml:space="preserve"> </w:t>
      </w:r>
      <w:r>
        <w:t xml:space="preserve">— Expansion not specified</w:t>
      </w:r>
    </w:p>
    <w:p>
      <w:pPr>
        <w:pStyle w:val="BodyText"/>
      </w:pPr>
      <w:r>
        <w:rPr>
          <w:b/>
          <w:bCs/>
        </w:rPr>
        <w:t xml:space="preserve">SHIP</w:t>
      </w:r>
      <w:r>
        <w:t xml:space="preserve"> </w:t>
      </w:r>
      <w:r>
        <w:t xml:space="preserve">— Expansion not specified</w:t>
      </w:r>
    </w:p>
    <w:p>
      <w:pPr>
        <w:pStyle w:val="BodyText"/>
      </w:pPr>
      <w:r>
        <w:rPr>
          <w:b/>
          <w:bCs/>
        </w:rPr>
        <w:t xml:space="preserve">THRO</w:t>
      </w:r>
      <w:r>
        <w:t xml:space="preserve"> </w:t>
      </w:r>
      <w:r>
        <w:t xml:space="preserve">— Expansion not specified</w:t>
      </w:r>
    </w:p>
    <w:p>
      <w:pPr>
        <w:pStyle w:val="BodyText"/>
      </w:pPr>
      <w:r>
        <w:rPr>
          <w:b/>
          <w:bCs/>
        </w:rPr>
        <w:t xml:space="preserve">TIL</w:t>
      </w:r>
      <w:r>
        <w:t xml:space="preserve"> </w:t>
      </w:r>
      <w:r>
        <w:t xml:space="preserve">— Expansion not specified</w:t>
      </w:r>
    </w:p>
    <w:p>
      <w:pPr>
        <w:pStyle w:val="BodyText"/>
      </w:pPr>
      <w:r>
        <w:rPr>
          <w:b/>
          <w:bCs/>
        </w:rPr>
        <w:t xml:space="preserve">TK6</w:t>
      </w:r>
      <w:r>
        <w:t xml:space="preserve"> </w:t>
      </w:r>
      <w:r>
        <w:t xml:space="preserve">— Human TK6 lymphoblastoid cell line</w:t>
      </w:r>
    </w:p>
    <w:p>
      <w:pPr>
        <w:pStyle w:val="BodyText"/>
      </w:pPr>
      <w:r>
        <w:rPr>
          <w:b/>
          <w:bCs/>
        </w:rPr>
        <w:t xml:space="preserve">TPDS</w:t>
      </w:r>
      <w:r>
        <w:t xml:space="preserve"> </w:t>
      </w:r>
      <w:r>
        <w:t xml:space="preserve">— Expansion not specified</w:t>
      </w:r>
    </w:p>
    <w:bookmarkEnd w:id="174"/>
    <w:bookmarkStart w:id="175" w:name="references"/>
    <w:p>
      <w:pPr>
        <w:pStyle w:val="Heading2"/>
      </w:pPr>
      <w:r>
        <w:t xml:space="preserve">References</w:t>
      </w:r>
    </w:p>
    <w:p>
      <w:pPr>
        <w:pStyle w:val="FirstParagraph"/>
      </w:pPr>
      <w:r>
        <w:t xml:space="preserve">1 PMID 37659676 —</w:t>
      </w:r>
      <w:r>
        <w:t xml:space="preserve"> </w:t>
      </w:r>
      <w:hyperlink r:id="rId21">
        <w:r>
          <w:rPr>
            <w:rStyle w:val="Hyperlink"/>
          </w:rPr>
          <w:t xml:space="preserve">https://pubmed.ncbi.nlm.nih.gov/37659676</w:t>
        </w:r>
      </w:hyperlink>
    </w:p>
    <w:p>
      <w:pPr>
        <w:pStyle w:val="BodyText"/>
      </w:pPr>
      <w:r>
        <w:t xml:space="preserve">2 PMID 36001316 —</w:t>
      </w:r>
      <w:r>
        <w:t xml:space="preserve"> </w:t>
      </w:r>
      <w:hyperlink r:id="rId23">
        <w:r>
          <w:rPr>
            <w:rStyle w:val="Hyperlink"/>
          </w:rPr>
          <w:t xml:space="preserve">https://pubmed.ncbi.nlm.nih.gov/36001316</w:t>
        </w:r>
      </w:hyperlink>
    </w:p>
    <w:p>
      <w:pPr>
        <w:pStyle w:val="BodyText"/>
      </w:pPr>
      <w:r>
        <w:t xml:space="preserve">3 PMID 35355015 —</w:t>
      </w:r>
      <w:r>
        <w:t xml:space="preserve"> </w:t>
      </w:r>
      <w:hyperlink r:id="rId25">
        <w:r>
          <w:rPr>
            <w:rStyle w:val="Hyperlink"/>
          </w:rPr>
          <w:t xml:space="preserve">https://pubmed.ncbi.nlm.nih.gov/35355015</w:t>
        </w:r>
      </w:hyperlink>
    </w:p>
    <w:p>
      <w:pPr>
        <w:pStyle w:val="BodyText"/>
      </w:pPr>
      <w:r>
        <w:t xml:space="preserve">4 PMID 37140427 —</w:t>
      </w:r>
      <w:r>
        <w:t xml:space="preserve"> </w:t>
      </w:r>
      <w:hyperlink r:id="rId27">
        <w:r>
          <w:rPr>
            <w:rStyle w:val="Hyperlink"/>
          </w:rPr>
          <w:t xml:space="preserve">https://pubmed.ncbi.nlm.nih.gov/37140427</w:t>
        </w:r>
      </w:hyperlink>
    </w:p>
    <w:p>
      <w:pPr>
        <w:pStyle w:val="BodyText"/>
      </w:pPr>
      <w:r>
        <w:t xml:space="preserve">5</w:t>
      </w:r>
      <w:r>
        <w:t xml:space="preserve"> </w:t>
      </w:r>
      <w:hyperlink r:id="rId29">
        <w:r>
          <w:rPr>
            <w:rStyle w:val="Hyperlink"/>
          </w:rPr>
          <w:t xml:space="preserve">https://onlinelibrary.wiley.com/doi/10.1002/em.22534</w:t>
        </w:r>
      </w:hyperlink>
    </w:p>
    <w:p>
      <w:pPr>
        <w:pStyle w:val="BodyText"/>
      </w:pPr>
      <w:r>
        <w:t xml:space="preserve">6 PMID 35469018 —</w:t>
      </w:r>
      <w:r>
        <w:t xml:space="preserve"> </w:t>
      </w:r>
      <w:hyperlink r:id="rId31">
        <w:r>
          <w:rPr>
            <w:rStyle w:val="Hyperlink"/>
          </w:rPr>
          <w:t xml:space="preserve">https://pubmed.ncbi.nlm.nih.gov/35469018</w:t>
        </w:r>
      </w:hyperlink>
    </w:p>
    <w:p>
      <w:pPr>
        <w:pStyle w:val="BodyText"/>
      </w:pPr>
      <w:r>
        <w:t xml:space="preserve">7 PMID 39660744 —</w:t>
      </w:r>
      <w:r>
        <w:t xml:space="preserve"> </w:t>
      </w:r>
      <w:hyperlink r:id="rId33">
        <w:r>
          <w:rPr>
            <w:rStyle w:val="Hyperlink"/>
          </w:rPr>
          <w:t xml:space="preserve">https://pubmed.ncbi.nlm.nih.gov/39660744</w:t>
        </w:r>
      </w:hyperlink>
    </w:p>
    <w:p>
      <w:pPr>
        <w:pStyle w:val="BodyText"/>
      </w:pPr>
      <w:r>
        <w:t xml:space="preserve">8</w:t>
      </w:r>
      <w:r>
        <w:t xml:space="preserve"> </w:t>
      </w:r>
      <w:hyperlink r:id="rId35">
        <w:r>
          <w:rPr>
            <w:rStyle w:val="Hyperlink"/>
          </w:rPr>
          <w:t xml:space="preserve">https://datacommons.cancer.gov/cloud-resources</w:t>
        </w:r>
      </w:hyperlink>
    </w:p>
    <w:p>
      <w:pPr>
        <w:pStyle w:val="BodyText"/>
      </w:pPr>
      <w:r>
        <w:t xml:space="preserve">9</w:t>
      </w:r>
      <w:r>
        <w:t xml:space="preserve"> </w:t>
      </w:r>
      <w:hyperlink r:id="rId37">
        <w:r>
          <w:rPr>
            <w:rStyle w:val="Hyperlink"/>
          </w:rPr>
          <w:t xml:space="preserve">https://progressreport.cancer.gov</w:t>
        </w:r>
      </w:hyperlink>
    </w:p>
    <w:p>
      <w:pPr>
        <w:pStyle w:val="BodyText"/>
      </w:pPr>
      <w:r>
        <w:t xml:space="preserve">10 PMID 37407814 —</w:t>
      </w:r>
      <w:r>
        <w:t xml:space="preserve"> </w:t>
      </w:r>
      <w:hyperlink r:id="rId39">
        <w:r>
          <w:rPr>
            <w:rStyle w:val="Hyperlink"/>
          </w:rPr>
          <w:t xml:space="preserve">https://pubmed.ncbi.nlm.nih.gov/37407814</w:t>
        </w:r>
      </w:hyperlink>
    </w:p>
    <w:p>
      <w:pPr>
        <w:pStyle w:val="BodyText"/>
      </w:pPr>
      <w:r>
        <w:t xml:space="preserve">11 PMID 37348462 —</w:t>
      </w:r>
      <w:r>
        <w:t xml:space="preserve"> </w:t>
      </w:r>
      <w:hyperlink r:id="rId41">
        <w:r>
          <w:rPr>
            <w:rStyle w:val="Hyperlink"/>
          </w:rPr>
          <w:t xml:space="preserve">https://pubmed.ncbi.nlm.nih.gov/37348462</w:t>
        </w:r>
      </w:hyperlink>
    </w:p>
    <w:p>
      <w:pPr>
        <w:pStyle w:val="BodyText"/>
      </w:pPr>
      <w:r>
        <w:t xml:space="preserve">12 PMID 36914816 —</w:t>
      </w:r>
      <w:r>
        <w:t xml:space="preserve"> </w:t>
      </w:r>
      <w:hyperlink r:id="rId43">
        <w:r>
          <w:rPr>
            <w:rStyle w:val="Hyperlink"/>
          </w:rPr>
          <w:t xml:space="preserve">https://pubmed.ncbi.nlm.nih.gov/36914816</w:t>
        </w:r>
      </w:hyperlink>
    </w:p>
    <w:p>
      <w:pPr>
        <w:pStyle w:val="BodyText"/>
      </w:pPr>
      <w:r>
        <w:t xml:space="preserve">13</w:t>
      </w:r>
      <w:r>
        <w:t xml:space="preserve"> </w:t>
      </w:r>
      <w:hyperlink r:id="rId45">
        <w:r>
          <w:rPr>
            <w:rStyle w:val="Hyperlink"/>
          </w:rPr>
          <w:t xml:space="preserve">https://www.nidcr.nih.gov/grants-funding/research-funded-by-nidcr-extramural/ahead</w:t>
        </w:r>
      </w:hyperlink>
    </w:p>
    <w:p>
      <w:pPr>
        <w:pStyle w:val="BodyText"/>
      </w:pPr>
      <w:r>
        <w:t xml:space="preserve">14</w:t>
      </w:r>
      <w:r>
        <w:t xml:space="preserve"> </w:t>
      </w:r>
      <w:hyperlink r:id="rId47">
        <w:r>
          <w:rPr>
            <w:rStyle w:val="Hyperlink"/>
          </w:rPr>
          <w:t xml:space="preserve">https://www.midrc.org</w:t>
        </w:r>
      </w:hyperlink>
    </w:p>
    <w:p>
      <w:pPr>
        <w:pStyle w:val="BodyText"/>
      </w:pPr>
      <w:r>
        <w:t xml:space="preserve">15 PMID 36175679 —</w:t>
      </w:r>
      <w:r>
        <w:t xml:space="preserve"> </w:t>
      </w:r>
      <w:hyperlink r:id="rId49">
        <w:r>
          <w:rPr>
            <w:rStyle w:val="Hyperlink"/>
          </w:rPr>
          <w:t xml:space="preserve">https://pubmed.ncbi.nlm.nih.gov/36175679</w:t>
        </w:r>
      </w:hyperlink>
    </w:p>
    <w:p>
      <w:pPr>
        <w:pStyle w:val="BodyText"/>
      </w:pPr>
      <w:r>
        <w:t xml:space="preserve">16 PMID 37659676 —</w:t>
      </w:r>
      <w:r>
        <w:t xml:space="preserve"> </w:t>
      </w:r>
      <w:hyperlink r:id="rId21">
        <w:r>
          <w:rPr>
            <w:rStyle w:val="Hyperlink"/>
          </w:rPr>
          <w:t xml:space="preserve">https://pubmed.ncbi.nlm.nih.gov/37659676</w:t>
        </w:r>
      </w:hyperlink>
    </w:p>
    <w:p>
      <w:pPr>
        <w:pStyle w:val="BodyText"/>
      </w:pPr>
      <w:r>
        <w:t xml:space="preserve">17 PMID 36001316 —</w:t>
      </w:r>
      <w:r>
        <w:t xml:space="preserve"> </w:t>
      </w:r>
      <w:hyperlink r:id="rId23">
        <w:r>
          <w:rPr>
            <w:rStyle w:val="Hyperlink"/>
          </w:rPr>
          <w:t xml:space="preserve">https://pubmed.ncbi.nlm.nih.gov/36001316</w:t>
        </w:r>
      </w:hyperlink>
    </w:p>
    <w:p>
      <w:pPr>
        <w:pStyle w:val="BodyText"/>
      </w:pPr>
      <w:r>
        <w:t xml:space="preserve">18 PMID 35355015 —</w:t>
      </w:r>
      <w:r>
        <w:t xml:space="preserve"> </w:t>
      </w:r>
      <w:hyperlink r:id="rId25">
        <w:r>
          <w:rPr>
            <w:rStyle w:val="Hyperlink"/>
          </w:rPr>
          <w:t xml:space="preserve">https://pubmed.ncbi.nlm.nih.gov/35355015</w:t>
        </w:r>
      </w:hyperlink>
    </w:p>
    <w:p>
      <w:pPr>
        <w:pStyle w:val="BodyText"/>
      </w:pPr>
      <w:r>
        <w:t xml:space="preserve">19 PMID 37140427 —</w:t>
      </w:r>
      <w:r>
        <w:t xml:space="preserve"> </w:t>
      </w:r>
      <w:hyperlink r:id="rId27">
        <w:r>
          <w:rPr>
            <w:rStyle w:val="Hyperlink"/>
          </w:rPr>
          <w:t xml:space="preserve">https://pubmed.ncbi.nlm.nih.gov/37140427</w:t>
        </w:r>
      </w:hyperlink>
    </w:p>
    <w:p>
      <w:pPr>
        <w:pStyle w:val="BodyText"/>
      </w:pPr>
      <w:r>
        <w:t xml:space="preserve">20</w:t>
      </w:r>
      <w:r>
        <w:t xml:space="preserve"> </w:t>
      </w:r>
      <w:hyperlink r:id="rId29">
        <w:r>
          <w:rPr>
            <w:rStyle w:val="Hyperlink"/>
          </w:rPr>
          <w:t xml:space="preserve">https://onlinelibrary.wiley.com/doi/10.1002/em.22534</w:t>
        </w:r>
      </w:hyperlink>
    </w:p>
    <w:p>
      <w:pPr>
        <w:pStyle w:val="BodyText"/>
      </w:pPr>
      <w:r>
        <w:t xml:space="preserve">21 PMID 35469018 —</w:t>
      </w:r>
      <w:r>
        <w:t xml:space="preserve"> </w:t>
      </w:r>
      <w:hyperlink r:id="rId31">
        <w:r>
          <w:rPr>
            <w:rStyle w:val="Hyperlink"/>
          </w:rPr>
          <w:t xml:space="preserve">https://pubmed.ncbi.nlm.nih.gov/35469018</w:t>
        </w:r>
      </w:hyperlink>
    </w:p>
    <w:p>
      <w:pPr>
        <w:pStyle w:val="BodyText"/>
      </w:pPr>
      <w:r>
        <w:t xml:space="preserve">22</w:t>
      </w:r>
      <w:r>
        <w:t xml:space="preserve"> </w:t>
      </w:r>
      <w:hyperlink r:id="rId45">
        <w:r>
          <w:rPr>
            <w:rStyle w:val="Hyperlink"/>
          </w:rPr>
          <w:t xml:space="preserve">https://www.nidcr.nih.gov/grants-funding/research-funded-by-nidcr-extramural/ahead</w:t>
        </w:r>
      </w:hyperlink>
    </w:p>
    <w:p>
      <w:pPr>
        <w:pStyle w:val="BodyText"/>
      </w:pPr>
      <w:r>
        <w:t xml:space="preserve">23</w:t>
      </w:r>
      <w:r>
        <w:t xml:space="preserve"> </w:t>
      </w:r>
      <w:hyperlink r:id="rId35">
        <w:r>
          <w:rPr>
            <w:rStyle w:val="Hyperlink"/>
          </w:rPr>
          <w:t xml:space="preserve">https://datacommons.cancer.gov/cloud-resources</w:t>
        </w:r>
      </w:hyperlink>
    </w:p>
    <w:p>
      <w:pPr>
        <w:pStyle w:val="BodyText"/>
      </w:pPr>
      <w:r>
        <w:t xml:space="preserve">24</w:t>
      </w:r>
      <w:r>
        <w:t xml:space="preserve"> </w:t>
      </w:r>
      <w:hyperlink r:id="rId37">
        <w:r>
          <w:rPr>
            <w:rStyle w:val="Hyperlink"/>
          </w:rPr>
          <w:t xml:space="preserve">https://progressreport.cancer.gov</w:t>
        </w:r>
      </w:hyperlink>
    </w:p>
    <w:p>
      <w:pPr>
        <w:pStyle w:val="BodyText"/>
      </w:pPr>
      <w:r>
        <w:t xml:space="preserve">25 PMID 36175679 —</w:t>
      </w:r>
      <w:r>
        <w:t xml:space="preserve"> </w:t>
      </w:r>
      <w:hyperlink r:id="rId49">
        <w:r>
          <w:rPr>
            <w:rStyle w:val="Hyperlink"/>
          </w:rPr>
          <w:t xml:space="preserve">https://pubmed.ncbi.nlm.nih.gov/36175679</w:t>
        </w:r>
      </w:hyperlink>
    </w:p>
    <w:p>
      <w:pPr>
        <w:pStyle w:val="BodyText"/>
      </w:pPr>
      <w:r>
        <w:t xml:space="preserve">26 PMID 36658220 —</w:t>
      </w:r>
      <w:r>
        <w:t xml:space="preserve"> </w:t>
      </w:r>
      <w:hyperlink r:id="rId62">
        <w:r>
          <w:rPr>
            <w:rStyle w:val="Hyperlink"/>
          </w:rPr>
          <w:t xml:space="preserve">https://pubmed.ncbi.nlm.nih.gov/36658220</w:t>
        </w:r>
      </w:hyperlink>
    </w:p>
    <w:p>
      <w:pPr>
        <w:pStyle w:val="BodyText"/>
      </w:pPr>
      <w:r>
        <w:t xml:space="preserve">27 PMID 37348462 —</w:t>
      </w:r>
      <w:r>
        <w:t xml:space="preserve"> </w:t>
      </w:r>
      <w:hyperlink r:id="rId41">
        <w:r>
          <w:rPr>
            <w:rStyle w:val="Hyperlink"/>
          </w:rPr>
          <w:t xml:space="preserve">https://pubmed.ncbi.nlm.nih.gov/37348462</w:t>
        </w:r>
      </w:hyperlink>
    </w:p>
    <w:p>
      <w:pPr>
        <w:pStyle w:val="BodyText"/>
      </w:pPr>
      <w:r>
        <w:t xml:space="preserve">28 PMID 35773409 —</w:t>
      </w:r>
      <w:r>
        <w:t xml:space="preserve"> </w:t>
      </w:r>
      <w:hyperlink r:id="rId65">
        <w:r>
          <w:rPr>
            <w:rStyle w:val="Hyperlink"/>
          </w:rPr>
          <w:t xml:space="preserve">https://pubmed.ncbi.nlm.nih.gov/35773409</w:t>
        </w:r>
      </w:hyperlink>
    </w:p>
    <w:p>
      <w:pPr>
        <w:pStyle w:val="BodyText"/>
      </w:pPr>
      <w:r>
        <w:t xml:space="preserve">29 PMID 38625612 —</w:t>
      </w:r>
      <w:r>
        <w:t xml:space="preserve"> </w:t>
      </w:r>
      <w:hyperlink r:id="rId68">
        <w:r>
          <w:rPr>
            <w:rStyle w:val="Hyperlink"/>
          </w:rPr>
          <w:t xml:space="preserve">https://pubmed.ncbi.nlm.nih.gov/38625612</w:t>
        </w:r>
      </w:hyperlink>
    </w:p>
    <w:p>
      <w:pPr>
        <w:pStyle w:val="BodyText"/>
      </w:pPr>
      <w:r>
        <w:t xml:space="preserve">30 PMID 38759225 —</w:t>
      </w:r>
      <w:r>
        <w:t xml:space="preserve"> </w:t>
      </w:r>
      <w:hyperlink r:id="rId70">
        <w:r>
          <w:rPr>
            <w:rStyle w:val="Hyperlink"/>
          </w:rPr>
          <w:t xml:space="preserve">https://pubmed.ncbi.nlm.nih.gov/38759225</w:t>
        </w:r>
      </w:hyperlink>
    </w:p>
    <w:p>
      <w:pPr>
        <w:pStyle w:val="BodyText"/>
      </w:pPr>
      <w:r>
        <w:t xml:space="preserve">31 PMID 37140427 —</w:t>
      </w:r>
      <w:r>
        <w:t xml:space="preserve"> </w:t>
      </w:r>
      <w:hyperlink r:id="rId27">
        <w:r>
          <w:rPr>
            <w:rStyle w:val="Hyperlink"/>
          </w:rPr>
          <w:t xml:space="preserve">https://pubmed.ncbi.nlm.nih.gov/37140427</w:t>
        </w:r>
      </w:hyperlink>
    </w:p>
    <w:p>
      <w:pPr>
        <w:pStyle w:val="BodyText"/>
      </w:pPr>
      <w:r>
        <w:t xml:space="preserve">32 PMID 37659676 —</w:t>
      </w:r>
      <w:r>
        <w:t xml:space="preserve"> </w:t>
      </w:r>
      <w:hyperlink r:id="rId21">
        <w:r>
          <w:rPr>
            <w:rStyle w:val="Hyperlink"/>
          </w:rPr>
          <w:t xml:space="preserve">https://pubmed.ncbi.nlm.nih.gov/37659676</w:t>
        </w:r>
      </w:hyperlink>
    </w:p>
    <w:p>
      <w:pPr>
        <w:pStyle w:val="BodyText"/>
      </w:pPr>
      <w:r>
        <w:t xml:space="preserve">33 PMID 35355015 —</w:t>
      </w:r>
      <w:r>
        <w:t xml:space="preserve"> </w:t>
      </w:r>
      <w:hyperlink r:id="rId25">
        <w:r>
          <w:rPr>
            <w:rStyle w:val="Hyperlink"/>
          </w:rPr>
          <w:t xml:space="preserve">https://pubmed.ncbi.nlm.nih.gov/35355015</w:t>
        </w:r>
      </w:hyperlink>
    </w:p>
    <w:p>
      <w:pPr>
        <w:pStyle w:val="BodyText"/>
      </w:pPr>
      <w:r>
        <w:t xml:space="preserve">34</w:t>
      </w:r>
      <w:r>
        <w:t xml:space="preserve"> </w:t>
      </w:r>
      <w:hyperlink r:id="rId35">
        <w:r>
          <w:rPr>
            <w:rStyle w:val="Hyperlink"/>
          </w:rPr>
          <w:t xml:space="preserve">https://datacommons.cancer.gov/cloud-resources</w:t>
        </w:r>
      </w:hyperlink>
    </w:p>
    <w:p>
      <w:pPr>
        <w:pStyle w:val="BodyText"/>
      </w:pPr>
      <w:r>
        <w:t xml:space="preserve">35</w:t>
      </w:r>
      <w:r>
        <w:t xml:space="preserve"> </w:t>
      </w:r>
      <w:hyperlink r:id="rId37">
        <w:r>
          <w:rPr>
            <w:rStyle w:val="Hyperlink"/>
          </w:rPr>
          <w:t xml:space="preserve">https://progressreport.cancer.gov</w:t>
        </w:r>
      </w:hyperlink>
    </w:p>
    <w:p>
      <w:pPr>
        <w:pStyle w:val="BodyText"/>
      </w:pPr>
      <w:r>
        <w:t xml:space="preserve">36</w:t>
      </w:r>
      <w:r>
        <w:t xml:space="preserve"> </w:t>
      </w:r>
      <w:hyperlink r:id="rId77">
        <w:r>
          <w:rPr>
            <w:rStyle w:val="Hyperlink"/>
          </w:rPr>
          <w:t xml:space="preserve">https://www.cancer.gov/research/infrastructure/clinical-trials/ctiu</w:t>
        </w:r>
      </w:hyperlink>
    </w:p>
    <w:p>
      <w:pPr>
        <w:pStyle w:val="BodyText"/>
      </w:pPr>
      <w:r>
        <w:t xml:space="preserve">37 PMID 38843329 —</w:t>
      </w:r>
      <w:r>
        <w:t xml:space="preserve"> </w:t>
      </w:r>
      <w:hyperlink r:id="rId79">
        <w:r>
          <w:rPr>
            <w:rStyle w:val="Hyperlink"/>
          </w:rPr>
          <w:t xml:space="preserve">https://pubmed.ncbi.nlm.nih.gov/38843329</w:t>
        </w:r>
      </w:hyperlink>
    </w:p>
    <w:p>
      <w:pPr>
        <w:pStyle w:val="BodyText"/>
      </w:pPr>
      <w:r>
        <w:t xml:space="preserve">38</w:t>
      </w:r>
      <w:r>
        <w:t xml:space="preserve"> </w:t>
      </w:r>
      <w:hyperlink r:id="rId81">
        <w:r>
          <w:rPr>
            <w:rStyle w:val="Hyperlink"/>
          </w:rPr>
          <w:t xml:space="preserve">https://www.cancer.gov/research/leading-progress/stories/cytalux</w:t>
        </w:r>
      </w:hyperlink>
    </w:p>
    <w:p>
      <w:pPr>
        <w:pStyle w:val="BodyText"/>
      </w:pPr>
      <w:r>
        <w:t xml:space="preserve">39 PMID 35648703 —</w:t>
      </w:r>
      <w:r>
        <w:t xml:space="preserve"> </w:t>
      </w:r>
      <w:hyperlink r:id="rId83">
        <w:r>
          <w:rPr>
            <w:rStyle w:val="Hyperlink"/>
          </w:rPr>
          <w:t xml:space="preserve">https://pubmed.ncbi.nlm.nih.gov/35648703</w:t>
        </w:r>
      </w:hyperlink>
    </w:p>
    <w:p>
      <w:pPr>
        <w:pStyle w:val="BodyText"/>
      </w:pPr>
      <w:r>
        <w:t xml:space="preserve">40 PMID 36658220 —</w:t>
      </w:r>
      <w:r>
        <w:t xml:space="preserve"> </w:t>
      </w:r>
      <w:hyperlink r:id="rId62">
        <w:r>
          <w:rPr>
            <w:rStyle w:val="Hyperlink"/>
          </w:rPr>
          <w:t xml:space="preserve">https://pubmed.ncbi.nlm.nih.gov/36658220</w:t>
        </w:r>
      </w:hyperlink>
    </w:p>
    <w:p>
      <w:pPr>
        <w:pStyle w:val="BodyText"/>
      </w:pPr>
      <w:r>
        <w:t xml:space="preserve">41 PMID 37419119 —</w:t>
      </w:r>
      <w:r>
        <w:t xml:space="preserve"> </w:t>
      </w:r>
      <w:hyperlink r:id="rId86">
        <w:r>
          <w:rPr>
            <w:rStyle w:val="Hyperlink"/>
          </w:rPr>
          <w:t xml:space="preserve">https://pubmed.ncbi.nlm.nih.gov/37419119</w:t>
        </w:r>
      </w:hyperlink>
    </w:p>
    <w:p>
      <w:pPr>
        <w:pStyle w:val="BodyText"/>
      </w:pPr>
      <w:r>
        <w:t xml:space="preserve">42 PMID 38815010 —</w:t>
      </w:r>
      <w:r>
        <w:t xml:space="preserve"> </w:t>
      </w:r>
      <w:hyperlink r:id="rId88">
        <w:r>
          <w:rPr>
            <w:rStyle w:val="Hyperlink"/>
          </w:rPr>
          <w:t xml:space="preserve">https://pubmed.ncbi.nlm.nih.gov/38815010</w:t>
        </w:r>
      </w:hyperlink>
    </w:p>
    <w:p>
      <w:pPr>
        <w:pStyle w:val="BodyText"/>
      </w:pPr>
      <w:r>
        <w:t xml:space="preserve">43</w:t>
      </w:r>
      <w:r>
        <w:t xml:space="preserve"> </w:t>
      </w:r>
      <w:hyperlink r:id="rId90">
        <w:r>
          <w:rPr>
            <w:rStyle w:val="Hyperlink"/>
          </w:rPr>
          <w:t xml:space="preserve">https://prevention.cancer.gov/major-programs/cancer-screening-research-network-csrn</w:t>
        </w:r>
      </w:hyperlink>
    </w:p>
    <w:p>
      <w:pPr>
        <w:pStyle w:val="BodyText"/>
      </w:pPr>
      <w:r>
        <w:t xml:space="preserve">44 PMID 37198494 —</w:t>
      </w:r>
      <w:r>
        <w:t xml:space="preserve"> </w:t>
      </w:r>
      <w:hyperlink r:id="rId92">
        <w:r>
          <w:rPr>
            <w:rStyle w:val="Hyperlink"/>
          </w:rPr>
          <w:t xml:space="preserve">https://pubmed.ncbi.nlm.nih.gov/37198494</w:t>
        </w:r>
      </w:hyperlink>
    </w:p>
    <w:p>
      <w:pPr>
        <w:pStyle w:val="BodyText"/>
      </w:pPr>
      <w:r>
        <w:t xml:space="preserve">45 PMID 38546644 —</w:t>
      </w:r>
      <w:r>
        <w:t xml:space="preserve"> </w:t>
      </w:r>
      <w:hyperlink r:id="rId94">
        <w:r>
          <w:rPr>
            <w:rStyle w:val="Hyperlink"/>
          </w:rPr>
          <w:t xml:space="preserve">https://pubmed.ncbi.nlm.nih.gov/38546644</w:t>
        </w:r>
      </w:hyperlink>
    </w:p>
    <w:p>
      <w:pPr>
        <w:pStyle w:val="BodyText"/>
      </w:pPr>
      <w:r>
        <w:t xml:space="preserve">46 PMID 34548310 —</w:t>
      </w:r>
      <w:r>
        <w:t xml:space="preserve"> </w:t>
      </w:r>
      <w:hyperlink r:id="rId96">
        <w:r>
          <w:rPr>
            <w:rStyle w:val="Hyperlink"/>
          </w:rPr>
          <w:t xml:space="preserve">https://pubmed.ncbi.nlm.nih.gov/34548310</w:t>
        </w:r>
      </w:hyperlink>
    </w:p>
    <w:p>
      <w:pPr>
        <w:pStyle w:val="BodyText"/>
      </w:pPr>
      <w:r>
        <w:t xml:space="preserve">47 PMID 39102723 —</w:t>
      </w:r>
      <w:r>
        <w:t xml:space="preserve"> </w:t>
      </w:r>
      <w:hyperlink r:id="rId98">
        <w:r>
          <w:rPr>
            <w:rStyle w:val="Hyperlink"/>
          </w:rPr>
          <w:t xml:space="preserve">https://pubmed.ncbi.nlm.nih.gov/39102723</w:t>
        </w:r>
      </w:hyperlink>
    </w:p>
    <w:p>
      <w:pPr>
        <w:pStyle w:val="BodyText"/>
      </w:pPr>
      <w:r>
        <w:t xml:space="preserve">48 PMID 37267580 —</w:t>
      </w:r>
      <w:r>
        <w:t xml:space="preserve"> </w:t>
      </w:r>
      <w:hyperlink r:id="rId100">
        <w:r>
          <w:rPr>
            <w:rStyle w:val="Hyperlink"/>
          </w:rPr>
          <w:t xml:space="preserve">https://pubmed.ncbi.nlm.nih.gov/37267580</w:t>
        </w:r>
      </w:hyperlink>
    </w:p>
    <w:p>
      <w:pPr>
        <w:pStyle w:val="BodyText"/>
      </w:pPr>
      <w:r>
        <w:t xml:space="preserve">49 PMID 34739844 —</w:t>
      </w:r>
      <w:r>
        <w:t xml:space="preserve"> </w:t>
      </w:r>
      <w:hyperlink r:id="rId102">
        <w:r>
          <w:rPr>
            <w:rStyle w:val="Hyperlink"/>
          </w:rPr>
          <w:t xml:space="preserve">https://pubmed.ncbi.nlm.nih.gov/34739844</w:t>
        </w:r>
      </w:hyperlink>
    </w:p>
    <w:p>
      <w:pPr>
        <w:pStyle w:val="BodyText"/>
      </w:pPr>
      <w:r>
        <w:t xml:space="preserve">50 PMID 35587980 —</w:t>
      </w:r>
      <w:r>
        <w:t xml:space="preserve"> </w:t>
      </w:r>
      <w:hyperlink r:id="rId104">
        <w:r>
          <w:rPr>
            <w:rStyle w:val="Hyperlink"/>
          </w:rPr>
          <w:t xml:space="preserve">https://pubmed.ncbi.nlm.nih.gov/35587980</w:t>
        </w:r>
      </w:hyperlink>
    </w:p>
    <w:p>
      <w:pPr>
        <w:pStyle w:val="BodyText"/>
      </w:pPr>
      <w:r>
        <w:t xml:space="preserve">51</w:t>
      </w:r>
      <w:r>
        <w:t xml:space="preserve"> </w:t>
      </w:r>
      <w:hyperlink r:id="rId29">
        <w:r>
          <w:rPr>
            <w:rStyle w:val="Hyperlink"/>
          </w:rPr>
          <w:t xml:space="preserve">https://onlinelibrary.wiley.com/doi/10.1002/em.22534</w:t>
        </w:r>
      </w:hyperlink>
    </w:p>
    <w:p>
      <w:pPr>
        <w:pStyle w:val="BodyText"/>
      </w:pPr>
      <w:r>
        <w:t xml:space="preserve">52 PMID 35410377 —</w:t>
      </w:r>
      <w:r>
        <w:t xml:space="preserve"> </w:t>
      </w:r>
      <w:hyperlink r:id="rId107">
        <w:r>
          <w:rPr>
            <w:rStyle w:val="Hyperlink"/>
          </w:rPr>
          <w:t xml:space="preserve">https://pubmed.ncbi.nlm.nih.gov/35410377</w:t>
        </w:r>
      </w:hyperlink>
    </w:p>
    <w:p>
      <w:pPr>
        <w:pStyle w:val="BodyText"/>
      </w:pPr>
      <w:r>
        <w:t xml:space="preserve">53 PMID 39443743 —</w:t>
      </w:r>
      <w:r>
        <w:t xml:space="preserve"> </w:t>
      </w:r>
      <w:hyperlink r:id="rId109">
        <w:r>
          <w:rPr>
            <w:rStyle w:val="Hyperlink"/>
          </w:rPr>
          <w:t xml:space="preserve">https://pubmed.ncbi.nlm.nih.gov/39443743</w:t>
        </w:r>
      </w:hyperlink>
    </w:p>
    <w:p>
      <w:pPr>
        <w:pStyle w:val="BodyText"/>
      </w:pPr>
      <w:r>
        <w:t xml:space="preserve">54 PMID 36093740 —</w:t>
      </w:r>
      <w:r>
        <w:t xml:space="preserve"> </w:t>
      </w:r>
      <w:hyperlink r:id="rId111">
        <w:r>
          <w:rPr>
            <w:rStyle w:val="Hyperlink"/>
          </w:rPr>
          <w:t xml:space="preserve">https://pubmed.ncbi.nlm.nih.gov/36093740</w:t>
        </w:r>
      </w:hyperlink>
    </w:p>
    <w:p>
      <w:pPr>
        <w:pStyle w:val="BodyText"/>
      </w:pPr>
      <w:r>
        <w:t xml:space="preserve">55</w:t>
      </w:r>
      <w:r>
        <w:t xml:space="preserve"> </w:t>
      </w:r>
      <w:hyperlink r:id="rId113">
        <w:r>
          <w:rPr>
            <w:rStyle w:val="Hyperlink"/>
          </w:rPr>
          <w:t xml:space="preserve">https://dpcpsi.nih.gov/thro/tribal-consultations/national-institute-minority-health-and-health-disparities-nimhd-initiative-improving-american</w:t>
        </w:r>
      </w:hyperlink>
    </w:p>
    <w:p>
      <w:pPr>
        <w:pStyle w:val="BodyText"/>
      </w:pPr>
      <w:r>
        <w:t xml:space="preserve">56</w:t>
      </w:r>
      <w:r>
        <w:t xml:space="preserve"> </w:t>
      </w:r>
      <w:hyperlink r:id="rId115">
        <w:r>
          <w:rPr>
            <w:rStyle w:val="Hyperlink"/>
          </w:rPr>
          <w:t xml:space="preserve">https://grants.nih.gov/grants/guide/notice-files/NOT-MD-24-015.html</w:t>
        </w:r>
      </w:hyperlink>
    </w:p>
    <w:p>
      <w:pPr>
        <w:pStyle w:val="BodyText"/>
      </w:pPr>
      <w:r>
        <w:t xml:space="preserve">57 PMID 37169842 —</w:t>
      </w:r>
      <w:r>
        <w:t xml:space="preserve"> </w:t>
      </w:r>
      <w:hyperlink r:id="rId117">
        <w:r>
          <w:rPr>
            <w:rStyle w:val="Hyperlink"/>
          </w:rPr>
          <w:t xml:space="preserve">https://pubmed.ncbi.nlm.nih.gov/37169842</w:t>
        </w:r>
      </w:hyperlink>
    </w:p>
    <w:p>
      <w:pPr>
        <w:pStyle w:val="BodyText"/>
      </w:pPr>
      <w:r>
        <w:t xml:space="preserve">58</w:t>
      </w:r>
      <w:r>
        <w:t xml:space="preserve"> </w:t>
      </w:r>
      <w:hyperlink r:id="rId47">
        <w:r>
          <w:rPr>
            <w:rStyle w:val="Hyperlink"/>
          </w:rPr>
          <w:t xml:space="preserve">https://www.midrc.org</w:t>
        </w:r>
      </w:hyperlink>
    </w:p>
    <w:p>
      <w:pPr>
        <w:pStyle w:val="BodyText"/>
      </w:pPr>
      <w:r>
        <w:t xml:space="preserve">59 Source unavailable</w:t>
      </w:r>
    </w:p>
    <w:p>
      <w:pPr>
        <w:pStyle w:val="BodyText"/>
      </w:pPr>
      <w:r>
        <w:t xml:space="preserve">60 PMID 38899693 —</w:t>
      </w:r>
      <w:r>
        <w:t xml:space="preserve"> </w:t>
      </w:r>
      <w:hyperlink r:id="rId122">
        <w:r>
          <w:rPr>
            <w:rStyle w:val="Hyperlink"/>
          </w:rPr>
          <w:t xml:space="preserve">https://pubmed.ncbi.nlm.nih.gov/38899693</w:t>
        </w:r>
      </w:hyperlink>
    </w:p>
    <w:p>
      <w:pPr>
        <w:pStyle w:val="BodyText"/>
      </w:pPr>
      <w:r>
        <w:t xml:space="preserve">61</w:t>
      </w:r>
      <w:r>
        <w:t xml:space="preserve"> </w:t>
      </w:r>
      <w:hyperlink r:id="rId124">
        <w:r>
          <w:rPr>
            <w:rStyle w:val="Hyperlink"/>
          </w:rPr>
          <w:t xml:space="preserve">https://clinicaltrials.gov/study/NCT06625775</w:t>
        </w:r>
      </w:hyperlink>
    </w:p>
    <w:p>
      <w:pPr>
        <w:pStyle w:val="BodyText"/>
      </w:pPr>
      <w:r>
        <w:t xml:space="preserve">62 PMID 34081848 —</w:t>
      </w:r>
      <w:r>
        <w:t xml:space="preserve"> </w:t>
      </w:r>
      <w:hyperlink r:id="rId126">
        <w:r>
          <w:rPr>
            <w:rStyle w:val="Hyperlink"/>
          </w:rPr>
          <w:t xml:space="preserve">https://pubmed.ncbi.nlm.nih.gov/34081848</w:t>
        </w:r>
      </w:hyperlink>
    </w:p>
    <w:p>
      <w:pPr>
        <w:pStyle w:val="BodyText"/>
      </w:pPr>
      <w:r>
        <w:t xml:space="preserve">63 PMID 37788089 —</w:t>
      </w:r>
      <w:r>
        <w:t xml:space="preserve"> </w:t>
      </w:r>
      <w:hyperlink r:id="rId129">
        <w:r>
          <w:rPr>
            <w:rStyle w:val="Hyperlink"/>
          </w:rPr>
          <w:t xml:space="preserve">https://pubmed.ncbi.nlm.nih.gov/37788089</w:t>
        </w:r>
      </w:hyperlink>
    </w:p>
    <w:p>
      <w:pPr>
        <w:pStyle w:val="BodyText"/>
      </w:pPr>
      <w:r>
        <w:t xml:space="preserve">64 PMID 39086924 —</w:t>
      </w:r>
      <w:r>
        <w:t xml:space="preserve"> </w:t>
      </w:r>
      <w:hyperlink r:id="rId132">
        <w:r>
          <w:rPr>
            <w:rStyle w:val="Hyperlink"/>
          </w:rPr>
          <w:t xml:space="preserve">https://pubmed.ncbi.nlm.nih.gov/39086924</w:t>
        </w:r>
      </w:hyperlink>
    </w:p>
    <w:p>
      <w:pPr>
        <w:pStyle w:val="BodyText"/>
      </w:pPr>
      <w:r>
        <w:t xml:space="preserve">65 PMID 39660744 —</w:t>
      </w:r>
      <w:r>
        <w:t xml:space="preserve"> </w:t>
      </w:r>
      <w:hyperlink r:id="rId33">
        <w:r>
          <w:rPr>
            <w:rStyle w:val="Hyperlink"/>
          </w:rPr>
          <w:t xml:space="preserve">https://pubmed.ncbi.nlm.nih.gov/39660744</w:t>
        </w:r>
      </w:hyperlink>
    </w:p>
    <w:p>
      <w:pPr>
        <w:pStyle w:val="BodyText"/>
      </w:pPr>
      <w:r>
        <w:t xml:space="preserve">66 PMID 34913949 —</w:t>
      </w:r>
      <w:r>
        <w:t xml:space="preserve"> </w:t>
      </w:r>
      <w:hyperlink r:id="rId135">
        <w:r>
          <w:rPr>
            <w:rStyle w:val="Hyperlink"/>
          </w:rPr>
          <w:t xml:space="preserve">https://pubmed.ncbi.nlm.nih.gov/34913949</w:t>
        </w:r>
      </w:hyperlink>
    </w:p>
    <w:p>
      <w:pPr>
        <w:pStyle w:val="BodyText"/>
      </w:pPr>
      <w:r>
        <w:t xml:space="preserve">67 PMID 36201196 —</w:t>
      </w:r>
      <w:r>
        <w:t xml:space="preserve"> </w:t>
      </w:r>
      <w:hyperlink r:id="rId137">
        <w:r>
          <w:rPr>
            <w:rStyle w:val="Hyperlink"/>
          </w:rPr>
          <w:t xml:space="preserve">https://pubmed.ncbi.nlm.nih.gov/36201196</w:t>
        </w:r>
      </w:hyperlink>
    </w:p>
    <w:p>
      <w:pPr>
        <w:pStyle w:val="BodyText"/>
      </w:pPr>
      <w:r>
        <w:t xml:space="preserve">68 PMID 39002121 —</w:t>
      </w:r>
      <w:r>
        <w:t xml:space="preserve"> </w:t>
      </w:r>
      <w:hyperlink r:id="rId139">
        <w:r>
          <w:rPr>
            <w:rStyle w:val="Hyperlink"/>
          </w:rPr>
          <w:t xml:space="preserve">https://pubmed.ncbi.nlm.nih.gov/39002121</w:t>
        </w:r>
      </w:hyperlink>
    </w:p>
    <w:p>
      <w:pPr>
        <w:pStyle w:val="BodyText"/>
      </w:pPr>
      <w:r>
        <w:t xml:space="preserve">69 PMID 35469018 —</w:t>
      </w:r>
      <w:r>
        <w:t xml:space="preserve"> </w:t>
      </w:r>
      <w:hyperlink r:id="rId31">
        <w:r>
          <w:rPr>
            <w:rStyle w:val="Hyperlink"/>
          </w:rPr>
          <w:t xml:space="preserve">https://pubmed.ncbi.nlm.nih.gov/35469018</w:t>
        </w:r>
      </w:hyperlink>
    </w:p>
    <w:p>
      <w:pPr>
        <w:pStyle w:val="BodyText"/>
      </w:pPr>
      <w:r>
        <w:t xml:space="preserve">70 PMID 37348462 —</w:t>
      </w:r>
      <w:r>
        <w:t xml:space="preserve"> </w:t>
      </w:r>
      <w:hyperlink r:id="rId41">
        <w:r>
          <w:rPr>
            <w:rStyle w:val="Hyperlink"/>
          </w:rPr>
          <w:t xml:space="preserve">https://pubmed.ncbi.nlm.nih.gov/37348462</w:t>
        </w:r>
      </w:hyperlink>
    </w:p>
    <w:p>
      <w:pPr>
        <w:pStyle w:val="BodyText"/>
      </w:pPr>
      <w:r>
        <w:t xml:space="preserve">71 PMID 36914816 —</w:t>
      </w:r>
      <w:r>
        <w:t xml:space="preserve"> </w:t>
      </w:r>
      <w:hyperlink r:id="rId43">
        <w:r>
          <w:rPr>
            <w:rStyle w:val="Hyperlink"/>
          </w:rPr>
          <w:t xml:space="preserve">https://pubmed.ncbi.nlm.nih.gov/36914816</w:t>
        </w:r>
      </w:hyperlink>
    </w:p>
    <w:p>
      <w:pPr>
        <w:pStyle w:val="BodyText"/>
      </w:pPr>
      <w:r>
        <w:t xml:space="preserve">72 PMID 37407814 —</w:t>
      </w:r>
      <w:r>
        <w:t xml:space="preserve"> </w:t>
      </w:r>
      <w:hyperlink r:id="rId39">
        <w:r>
          <w:rPr>
            <w:rStyle w:val="Hyperlink"/>
          </w:rPr>
          <w:t xml:space="preserve">https://pubmed.ncbi.nlm.nih.gov/37407814</w:t>
        </w:r>
      </w:hyperlink>
    </w:p>
    <w:p>
      <w:pPr>
        <w:pStyle w:val="BodyText"/>
      </w:pPr>
      <w:r>
        <w:t xml:space="preserve">73 PMID 36823587 —</w:t>
      </w:r>
      <w:r>
        <w:t xml:space="preserve"> </w:t>
      </w:r>
      <w:hyperlink r:id="rId146">
        <w:r>
          <w:rPr>
            <w:rStyle w:val="Hyperlink"/>
          </w:rPr>
          <w:t xml:space="preserve">https://pubmed.ncbi.nlm.nih.gov/36823587</w:t>
        </w:r>
      </w:hyperlink>
    </w:p>
    <w:p>
      <w:pPr>
        <w:pStyle w:val="BodyText"/>
      </w:pPr>
      <w:r>
        <w:t xml:space="preserve">74 PMID 37129007 —</w:t>
      </w:r>
      <w:r>
        <w:t xml:space="preserve"> </w:t>
      </w:r>
      <w:hyperlink r:id="rId148">
        <w:r>
          <w:rPr>
            <w:rStyle w:val="Hyperlink"/>
          </w:rPr>
          <w:t xml:space="preserve">https://pubmed.ncbi.nlm.nih.gov/37129007</w:t>
        </w:r>
      </w:hyperlink>
    </w:p>
    <w:p>
      <w:pPr>
        <w:pStyle w:val="BodyText"/>
      </w:pPr>
      <w:r>
        <w:t xml:space="preserve">75 PMID 35773409 —</w:t>
      </w:r>
      <w:r>
        <w:t xml:space="preserve"> </w:t>
      </w:r>
      <w:hyperlink r:id="rId65">
        <w:r>
          <w:rPr>
            <w:rStyle w:val="Hyperlink"/>
          </w:rPr>
          <w:t xml:space="preserve">https://pubmed.ncbi.nlm.nih.gov/35773409</w:t>
        </w:r>
      </w:hyperlink>
    </w:p>
    <w:p>
      <w:pPr>
        <w:pStyle w:val="BodyText"/>
      </w:pPr>
      <w:r>
        <w:t xml:space="preserve">76 PMID 34944874 —</w:t>
      </w:r>
      <w:r>
        <w:t xml:space="preserve"> </w:t>
      </w:r>
      <w:hyperlink r:id="rId151">
        <w:r>
          <w:rPr>
            <w:rStyle w:val="Hyperlink"/>
          </w:rPr>
          <w:t xml:space="preserve">https://pubmed.ncbi.nlm.nih.gov/34944874</w:t>
        </w:r>
      </w:hyperlink>
    </w:p>
    <w:p>
      <w:pPr>
        <w:pStyle w:val="BodyText"/>
      </w:pPr>
      <w:r>
        <w:t xml:space="preserve">77 PMID 36175679 —</w:t>
      </w:r>
      <w:r>
        <w:t xml:space="preserve"> </w:t>
      </w:r>
      <w:hyperlink r:id="rId49">
        <w:r>
          <w:rPr>
            <w:rStyle w:val="Hyperlink"/>
          </w:rPr>
          <w:t xml:space="preserve">https://pubmed.ncbi.nlm.nih.gov/36175679</w:t>
        </w:r>
      </w:hyperlink>
    </w:p>
    <w:p>
      <w:pPr>
        <w:pStyle w:val="BodyText"/>
      </w:pPr>
      <w:r>
        <w:t xml:space="preserve">78 PMID 39538339 —</w:t>
      </w:r>
      <w:r>
        <w:t xml:space="preserve"> </w:t>
      </w:r>
      <w:hyperlink r:id="rId155">
        <w:r>
          <w:rPr>
            <w:rStyle w:val="Hyperlink"/>
          </w:rPr>
          <w:t xml:space="preserve">https://pubmed.ncbi.nlm.nih.gov/39538339</w:t>
        </w:r>
      </w:hyperlink>
    </w:p>
    <w:p>
      <w:pPr>
        <w:pStyle w:val="BodyText"/>
      </w:pPr>
      <w:r>
        <w:t xml:space="preserve">79 PMID 37903316 —</w:t>
      </w:r>
      <w:r>
        <w:t xml:space="preserve"> </w:t>
      </w:r>
      <w:hyperlink r:id="rId158">
        <w:r>
          <w:rPr>
            <w:rStyle w:val="Hyperlink"/>
          </w:rPr>
          <w:t xml:space="preserve">https://pubmed.ncbi.nlm.nih.gov/37903316</w:t>
        </w:r>
      </w:hyperlink>
    </w:p>
    <w:p>
      <w:pPr>
        <w:pStyle w:val="BodyText"/>
      </w:pPr>
      <w:r>
        <w:t xml:space="preserve">80 PMID 37289928 —</w:t>
      </w:r>
      <w:r>
        <w:t xml:space="preserve"> </w:t>
      </w:r>
      <w:hyperlink r:id="rId160">
        <w:r>
          <w:rPr>
            <w:rStyle w:val="Hyperlink"/>
          </w:rPr>
          <w:t xml:space="preserve">https://pubmed.ncbi.nlm.nih.gov/37289928</w:t>
        </w:r>
      </w:hyperlink>
    </w:p>
    <w:p>
      <w:pPr>
        <w:pStyle w:val="BodyText"/>
      </w:pPr>
      <w:r>
        <w:t xml:space="preserve">81 PMID 36001316 —</w:t>
      </w:r>
      <w:r>
        <w:t xml:space="preserve"> </w:t>
      </w:r>
      <w:hyperlink r:id="rId23">
        <w:r>
          <w:rPr>
            <w:rStyle w:val="Hyperlink"/>
          </w:rPr>
          <w:t xml:space="preserve">https://pubmed.ncbi.nlm.nih.gov/36001316</w:t>
        </w:r>
      </w:hyperlink>
    </w:p>
    <w:p>
      <w:pPr>
        <w:pStyle w:val="BodyText"/>
      </w:pPr>
      <w:r>
        <w:t xml:space="preserve">82 PMID 37708516 —</w:t>
      </w:r>
      <w:r>
        <w:t xml:space="preserve"> </w:t>
      </w:r>
      <w:hyperlink r:id="rId165">
        <w:r>
          <w:rPr>
            <w:rStyle w:val="Hyperlink"/>
          </w:rPr>
          <w:t xml:space="preserve">https://pubmed.ncbi.nlm.nih.gov/37708516</w:t>
        </w:r>
      </w:hyperlink>
    </w:p>
    <w:p>
      <w:pPr>
        <w:pStyle w:val="BodyText"/>
      </w:pPr>
      <w:r>
        <w:t xml:space="preserve">83 PMID 37991759 —</w:t>
      </w:r>
      <w:r>
        <w:t xml:space="preserve"> </w:t>
      </w:r>
      <w:hyperlink r:id="rId167">
        <w:r>
          <w:rPr>
            <w:rStyle w:val="Hyperlink"/>
          </w:rPr>
          <w:t xml:space="preserve">https://pubmed.ncbi.nlm.nih.gov/37991759</w:t>
        </w:r>
      </w:hyperlink>
    </w:p>
    <w:p>
      <w:pPr>
        <w:pStyle w:val="BodyText"/>
      </w:pPr>
      <w:r>
        <w:t xml:space="preserve">84 PMID 35704479 —</w:t>
      </w:r>
      <w:r>
        <w:t xml:space="preserve"> </w:t>
      </w:r>
      <w:hyperlink r:id="rId169">
        <w:r>
          <w:rPr>
            <w:rStyle w:val="Hyperlink"/>
          </w:rPr>
          <w:t xml:space="preserve">https://pubmed.ncbi.nlm.nih.gov/35704479</w:t>
        </w:r>
      </w:hyperlink>
    </w:p>
    <w:p>
      <w:pPr>
        <w:pStyle w:val="BodyText"/>
      </w:pPr>
      <w:r>
        <w:t xml:space="preserve">85</w:t>
      </w:r>
      <w:r>
        <w:t xml:space="preserve"> </w:t>
      </w:r>
      <w:hyperlink r:id="rId45">
        <w:r>
          <w:rPr>
            <w:rStyle w:val="Hyperlink"/>
          </w:rPr>
          <w:t xml:space="preserve">https://www.nidcr.nih.gov/grants-funding/research-funded-by-nidcr-extramural/ahead</w:t>
        </w:r>
      </w:hyperlink>
    </w:p>
    <w:p>
      <w:pPr>
        <w:pStyle w:val="BodyText"/>
      </w:pPr>
      <w:r>
        <w:t xml:space="preserve">86 PMID 36654656 —</w:t>
      </w:r>
      <w:r>
        <w:t xml:space="preserve"> </w:t>
      </w:r>
      <w:hyperlink r:id="rId172">
        <w:r>
          <w:rPr>
            <w:rStyle w:val="Hyperlink"/>
          </w:rPr>
          <w:t xml:space="preserve">https://pubmed.ncbi.nlm.nih.gov/36654656</w:t>
        </w:r>
      </w:hyperlink>
    </w:p>
    <w:bookmarkEnd w:id="175"/>
    <w:sectPr w:rsidR="00FD562E" w:rsidRPr="00317DEA">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PMID 37659676 —</w:t>
      </w:r>
      <w:r>
        <w:t xml:space="preserve"> </w:t>
      </w:r>
      <w:hyperlink r:id="rId21">
        <w:r>
          <w:rPr>
            <w:rStyle w:val="Hyperlink"/>
          </w:rPr>
          <w:t xml:space="preserve">https://pubmed.ncbi.nlm.nih.gov/37659676</w:t>
        </w:r>
      </w:hyperlink>
    </w:p>
  </w:footnote>
  <w:footnote w:id="22">
    <w:p>
      <w:pPr>
        <w:pStyle w:val="FootnoteText"/>
      </w:pPr>
      <w:r>
        <w:rPr>
          <w:rStyle w:val="FootnoteReference"/>
        </w:rPr>
        <w:footnoteRef/>
      </w:r>
      <w:r>
        <w:t xml:space="preserve"> </w:t>
      </w:r>
      <w:r>
        <w:t xml:space="preserve">PMID 36001316 —</w:t>
      </w:r>
      <w:r>
        <w:t xml:space="preserve"> </w:t>
      </w:r>
      <w:hyperlink r:id="rId23">
        <w:r>
          <w:rPr>
            <w:rStyle w:val="Hyperlink"/>
          </w:rPr>
          <w:t xml:space="preserve">https://pubmed.ncbi.nlm.nih.gov/36001316</w:t>
        </w:r>
      </w:hyperlink>
    </w:p>
  </w:footnote>
  <w:footnote w:id="24">
    <w:p>
      <w:pPr>
        <w:pStyle w:val="FootnoteText"/>
      </w:pPr>
      <w:r>
        <w:rPr>
          <w:rStyle w:val="FootnoteReference"/>
        </w:rPr>
        <w:footnoteRef/>
      </w:r>
      <w:r>
        <w:t xml:space="preserve"> </w:t>
      </w:r>
      <w:r>
        <w:t xml:space="preserve">PMID 35355015 —</w:t>
      </w:r>
      <w:r>
        <w:t xml:space="preserve"> </w:t>
      </w:r>
      <w:hyperlink r:id="rId25">
        <w:r>
          <w:rPr>
            <w:rStyle w:val="Hyperlink"/>
          </w:rPr>
          <w:t xml:space="preserve">https://pubmed.ncbi.nlm.nih.gov/35355015</w:t>
        </w:r>
      </w:hyperlink>
    </w:p>
  </w:footnote>
  <w:footnote w:id="26">
    <w:p>
      <w:pPr>
        <w:pStyle w:val="FootnoteText"/>
      </w:pPr>
      <w:r>
        <w:rPr>
          <w:rStyle w:val="FootnoteReference"/>
        </w:rPr>
        <w:footnoteRef/>
      </w:r>
      <w:r>
        <w:t xml:space="preserve"> </w:t>
      </w:r>
      <w:r>
        <w:t xml:space="preserve">PMID 37140427 —</w:t>
      </w:r>
      <w:r>
        <w:t xml:space="preserve"> </w:t>
      </w:r>
      <w:hyperlink r:id="rId27">
        <w:r>
          <w:rPr>
            <w:rStyle w:val="Hyperlink"/>
          </w:rPr>
          <w:t xml:space="preserve">https://pubmed.ncbi.nlm.nih.gov/37140427</w:t>
        </w:r>
      </w:hyperlink>
    </w:p>
  </w:footnote>
  <w:footnote w:id="28">
    <w:p>
      <w:pPr>
        <w:pStyle w:val="FootnoteText"/>
      </w:pPr>
      <w:r>
        <w:rPr>
          <w:rStyle w:val="FootnoteReference"/>
        </w:rPr>
        <w:footnoteRef/>
      </w:r>
      <w:r>
        <w:t xml:space="preserve"> </w:t>
      </w:r>
      <w:hyperlink r:id="rId29">
        <w:r>
          <w:rPr>
            <w:rStyle w:val="Hyperlink"/>
          </w:rPr>
          <w:t xml:space="preserve">https://onlinelibrary.wiley.com/doi/10.1002/em.22534</w:t>
        </w:r>
      </w:hyperlink>
    </w:p>
  </w:footnote>
  <w:footnote w:id="30">
    <w:p>
      <w:pPr>
        <w:pStyle w:val="FootnoteText"/>
      </w:pPr>
      <w:r>
        <w:rPr>
          <w:rStyle w:val="FootnoteReference"/>
        </w:rPr>
        <w:footnoteRef/>
      </w:r>
      <w:r>
        <w:t xml:space="preserve"> </w:t>
      </w:r>
      <w:r>
        <w:t xml:space="preserve">PMID 35469018 —</w:t>
      </w:r>
      <w:r>
        <w:t xml:space="preserve"> </w:t>
      </w:r>
      <w:hyperlink r:id="rId31">
        <w:r>
          <w:rPr>
            <w:rStyle w:val="Hyperlink"/>
          </w:rPr>
          <w:t xml:space="preserve">https://pubmed.ncbi.nlm.nih.gov/35469018</w:t>
        </w:r>
      </w:hyperlink>
    </w:p>
  </w:footnote>
  <w:footnote w:id="32">
    <w:p>
      <w:pPr>
        <w:pStyle w:val="FootnoteText"/>
      </w:pPr>
      <w:r>
        <w:rPr>
          <w:rStyle w:val="FootnoteReference"/>
        </w:rPr>
        <w:footnoteRef/>
      </w:r>
      <w:r>
        <w:t xml:space="preserve"> </w:t>
      </w:r>
      <w:r>
        <w:t xml:space="preserve">PMID 39660744 —</w:t>
      </w:r>
      <w:r>
        <w:t xml:space="preserve"> </w:t>
      </w:r>
      <w:hyperlink r:id="rId33">
        <w:r>
          <w:rPr>
            <w:rStyle w:val="Hyperlink"/>
          </w:rPr>
          <w:t xml:space="preserve">https://pubmed.ncbi.nlm.nih.gov/39660744</w:t>
        </w:r>
      </w:hyperlink>
    </w:p>
  </w:footnote>
  <w:footnote w:id="34">
    <w:p>
      <w:pPr>
        <w:pStyle w:val="FootnoteText"/>
      </w:pPr>
      <w:r>
        <w:rPr>
          <w:rStyle w:val="FootnoteReference"/>
        </w:rPr>
        <w:footnoteRef/>
      </w:r>
      <w:r>
        <w:t xml:space="preserve"> </w:t>
      </w:r>
      <w:hyperlink r:id="rId35">
        <w:r>
          <w:rPr>
            <w:rStyle w:val="Hyperlink"/>
          </w:rPr>
          <w:t xml:space="preserve">https://datacommons.cancer.gov/cloud-resources</w:t>
        </w:r>
      </w:hyperlink>
    </w:p>
  </w:footnote>
  <w:footnote w:id="36">
    <w:p>
      <w:pPr>
        <w:pStyle w:val="FootnoteText"/>
      </w:pPr>
      <w:r>
        <w:rPr>
          <w:rStyle w:val="FootnoteReference"/>
        </w:rPr>
        <w:footnoteRef/>
      </w:r>
      <w:r>
        <w:t xml:space="preserve"> </w:t>
      </w:r>
      <w:hyperlink r:id="rId37">
        <w:r>
          <w:rPr>
            <w:rStyle w:val="Hyperlink"/>
          </w:rPr>
          <w:t xml:space="preserve">https://progressreport.cancer.gov</w:t>
        </w:r>
      </w:hyperlink>
    </w:p>
  </w:footnote>
  <w:footnote w:id="38">
    <w:p>
      <w:pPr>
        <w:pStyle w:val="FootnoteText"/>
      </w:pPr>
      <w:r>
        <w:rPr>
          <w:rStyle w:val="FootnoteReference"/>
        </w:rPr>
        <w:footnoteRef/>
      </w:r>
      <w:r>
        <w:t xml:space="preserve"> </w:t>
      </w:r>
      <w:r>
        <w:t xml:space="preserve">PMID 37407814 —</w:t>
      </w:r>
      <w:r>
        <w:t xml:space="preserve"> </w:t>
      </w:r>
      <w:hyperlink r:id="rId39">
        <w:r>
          <w:rPr>
            <w:rStyle w:val="Hyperlink"/>
          </w:rPr>
          <w:t xml:space="preserve">https://pubmed.ncbi.nlm.nih.gov/37407814</w:t>
        </w:r>
      </w:hyperlink>
    </w:p>
  </w:footnote>
  <w:footnote w:id="40">
    <w:p>
      <w:pPr>
        <w:pStyle w:val="FootnoteText"/>
      </w:pPr>
      <w:r>
        <w:rPr>
          <w:rStyle w:val="FootnoteReference"/>
        </w:rPr>
        <w:footnoteRef/>
      </w:r>
      <w:r>
        <w:t xml:space="preserve"> </w:t>
      </w:r>
      <w:r>
        <w:t xml:space="preserve">PMID 37348462 —</w:t>
      </w:r>
      <w:r>
        <w:t xml:space="preserve"> </w:t>
      </w:r>
      <w:hyperlink r:id="rId41">
        <w:r>
          <w:rPr>
            <w:rStyle w:val="Hyperlink"/>
          </w:rPr>
          <w:t xml:space="preserve">https://pubmed.ncbi.nlm.nih.gov/37348462</w:t>
        </w:r>
      </w:hyperlink>
    </w:p>
  </w:footnote>
  <w:footnote w:id="42">
    <w:p>
      <w:pPr>
        <w:pStyle w:val="FootnoteText"/>
      </w:pPr>
      <w:r>
        <w:rPr>
          <w:rStyle w:val="FootnoteReference"/>
        </w:rPr>
        <w:footnoteRef/>
      </w:r>
      <w:r>
        <w:t xml:space="preserve"> </w:t>
      </w:r>
      <w:r>
        <w:t xml:space="preserve">PMID 36914816 —</w:t>
      </w:r>
      <w:r>
        <w:t xml:space="preserve"> </w:t>
      </w:r>
      <w:hyperlink r:id="rId43">
        <w:r>
          <w:rPr>
            <w:rStyle w:val="Hyperlink"/>
          </w:rPr>
          <w:t xml:space="preserve">https://pubmed.ncbi.nlm.nih.gov/36914816</w:t>
        </w:r>
      </w:hyperlink>
    </w:p>
  </w:footnote>
  <w:footnote w:id="44">
    <w:p>
      <w:pPr>
        <w:pStyle w:val="FootnoteText"/>
      </w:pPr>
      <w:r>
        <w:rPr>
          <w:rStyle w:val="FootnoteReference"/>
        </w:rPr>
        <w:footnoteRef/>
      </w:r>
      <w:r>
        <w:t xml:space="preserve"> </w:t>
      </w:r>
      <w:hyperlink r:id="rId45">
        <w:r>
          <w:rPr>
            <w:rStyle w:val="Hyperlink"/>
          </w:rPr>
          <w:t xml:space="preserve">https://www.nidcr.nih.gov/grants-funding/research-funded-by-nidcr-extramural/ahead</w:t>
        </w:r>
      </w:hyperlink>
    </w:p>
  </w:footnote>
  <w:footnote w:id="46">
    <w:p>
      <w:pPr>
        <w:pStyle w:val="FootnoteText"/>
      </w:pPr>
      <w:r>
        <w:rPr>
          <w:rStyle w:val="FootnoteReference"/>
        </w:rPr>
        <w:footnoteRef/>
      </w:r>
      <w:r>
        <w:t xml:space="preserve"> </w:t>
      </w:r>
      <w:hyperlink r:id="rId47">
        <w:r>
          <w:rPr>
            <w:rStyle w:val="Hyperlink"/>
          </w:rPr>
          <w:t xml:space="preserve">https://www.midrc.org</w:t>
        </w:r>
      </w:hyperlink>
    </w:p>
  </w:footnote>
  <w:footnote w:id="48">
    <w:p>
      <w:pPr>
        <w:pStyle w:val="FootnoteText"/>
      </w:pPr>
      <w:r>
        <w:rPr>
          <w:rStyle w:val="FootnoteReference"/>
        </w:rPr>
        <w:footnoteRef/>
      </w:r>
      <w:r>
        <w:t xml:space="preserve"> </w:t>
      </w:r>
      <w:r>
        <w:t xml:space="preserve">PMID 36175679 —</w:t>
      </w:r>
      <w:r>
        <w:t xml:space="preserve"> </w:t>
      </w:r>
      <w:hyperlink r:id="rId49">
        <w:r>
          <w:rPr>
            <w:rStyle w:val="Hyperlink"/>
          </w:rPr>
          <w:t xml:space="preserve">https://pubmed.ncbi.nlm.nih.gov/36175679</w:t>
        </w:r>
      </w:hyperlink>
    </w:p>
  </w:footnote>
  <w:footnote w:id="51">
    <w:p>
      <w:pPr>
        <w:pStyle w:val="FootnoteText"/>
      </w:pPr>
      <w:r>
        <w:rPr>
          <w:rStyle w:val="FootnoteReference"/>
        </w:rPr>
        <w:footnoteRef/>
      </w:r>
      <w:r>
        <w:t xml:space="preserve"> </w:t>
      </w:r>
      <w:r>
        <w:t xml:space="preserve">PMID 37659676 —</w:t>
      </w:r>
      <w:r>
        <w:t xml:space="preserve"> </w:t>
      </w:r>
      <w:hyperlink r:id="rId21">
        <w:r>
          <w:rPr>
            <w:rStyle w:val="Hyperlink"/>
          </w:rPr>
          <w:t xml:space="preserve">https://pubmed.ncbi.nlm.nih.gov/37659676</w:t>
        </w:r>
      </w:hyperlink>
    </w:p>
  </w:footnote>
  <w:footnote w:id="52">
    <w:p>
      <w:pPr>
        <w:pStyle w:val="FootnoteText"/>
      </w:pPr>
      <w:r>
        <w:rPr>
          <w:rStyle w:val="FootnoteReference"/>
        </w:rPr>
        <w:footnoteRef/>
      </w:r>
      <w:r>
        <w:t xml:space="preserve"> </w:t>
      </w:r>
      <w:r>
        <w:t xml:space="preserve">PMID 36001316 —</w:t>
      </w:r>
      <w:r>
        <w:t xml:space="preserve"> </w:t>
      </w:r>
      <w:hyperlink r:id="rId23">
        <w:r>
          <w:rPr>
            <w:rStyle w:val="Hyperlink"/>
          </w:rPr>
          <w:t xml:space="preserve">https://pubmed.ncbi.nlm.nih.gov/36001316</w:t>
        </w:r>
      </w:hyperlink>
    </w:p>
  </w:footnote>
  <w:footnote w:id="53">
    <w:p>
      <w:pPr>
        <w:pStyle w:val="FootnoteText"/>
      </w:pPr>
      <w:r>
        <w:rPr>
          <w:rStyle w:val="FootnoteReference"/>
        </w:rPr>
        <w:footnoteRef/>
      </w:r>
      <w:r>
        <w:t xml:space="preserve"> </w:t>
      </w:r>
      <w:r>
        <w:t xml:space="preserve">PMID 35355015 —</w:t>
      </w:r>
      <w:r>
        <w:t xml:space="preserve"> </w:t>
      </w:r>
      <w:hyperlink r:id="rId25">
        <w:r>
          <w:rPr>
            <w:rStyle w:val="Hyperlink"/>
          </w:rPr>
          <w:t xml:space="preserve">https://pubmed.ncbi.nlm.nih.gov/35355015</w:t>
        </w:r>
      </w:hyperlink>
    </w:p>
  </w:footnote>
  <w:footnote w:id="54">
    <w:p>
      <w:pPr>
        <w:pStyle w:val="FootnoteText"/>
      </w:pPr>
      <w:r>
        <w:rPr>
          <w:rStyle w:val="FootnoteReference"/>
        </w:rPr>
        <w:footnoteRef/>
      </w:r>
      <w:r>
        <w:t xml:space="preserve"> </w:t>
      </w:r>
      <w:r>
        <w:t xml:space="preserve">PMID 37140427 —</w:t>
      </w:r>
      <w:r>
        <w:t xml:space="preserve"> </w:t>
      </w:r>
      <w:hyperlink r:id="rId27">
        <w:r>
          <w:rPr>
            <w:rStyle w:val="Hyperlink"/>
          </w:rPr>
          <w:t xml:space="preserve">https://pubmed.ncbi.nlm.nih.gov/37140427</w:t>
        </w:r>
      </w:hyperlink>
    </w:p>
  </w:footnote>
  <w:footnote w:id="55">
    <w:p>
      <w:pPr>
        <w:pStyle w:val="FootnoteText"/>
      </w:pPr>
      <w:r>
        <w:rPr>
          <w:rStyle w:val="FootnoteReference"/>
        </w:rPr>
        <w:footnoteRef/>
      </w:r>
      <w:r>
        <w:t xml:space="preserve"> </w:t>
      </w:r>
      <w:hyperlink r:id="rId29">
        <w:r>
          <w:rPr>
            <w:rStyle w:val="Hyperlink"/>
          </w:rPr>
          <w:t xml:space="preserve">https://onlinelibrary.wiley.com/doi/10.1002/em.22534</w:t>
        </w:r>
      </w:hyperlink>
    </w:p>
  </w:footnote>
  <w:footnote w:id="56">
    <w:p>
      <w:pPr>
        <w:pStyle w:val="FootnoteText"/>
      </w:pPr>
      <w:r>
        <w:rPr>
          <w:rStyle w:val="FootnoteReference"/>
        </w:rPr>
        <w:footnoteRef/>
      </w:r>
      <w:r>
        <w:t xml:space="preserve"> </w:t>
      </w:r>
      <w:r>
        <w:t xml:space="preserve">PMID 35469018 —</w:t>
      </w:r>
      <w:r>
        <w:t xml:space="preserve"> </w:t>
      </w:r>
      <w:hyperlink r:id="rId31">
        <w:r>
          <w:rPr>
            <w:rStyle w:val="Hyperlink"/>
          </w:rPr>
          <w:t xml:space="preserve">https://pubmed.ncbi.nlm.nih.gov/35469018</w:t>
        </w:r>
      </w:hyperlink>
    </w:p>
  </w:footnote>
  <w:footnote w:id="57">
    <w:p>
      <w:pPr>
        <w:pStyle w:val="FootnoteText"/>
      </w:pPr>
      <w:r>
        <w:rPr>
          <w:rStyle w:val="FootnoteReference"/>
        </w:rPr>
        <w:footnoteRef/>
      </w:r>
      <w:r>
        <w:t xml:space="preserve"> </w:t>
      </w:r>
      <w:hyperlink r:id="rId45">
        <w:r>
          <w:rPr>
            <w:rStyle w:val="Hyperlink"/>
          </w:rPr>
          <w:t xml:space="preserve">https://www.nidcr.nih.gov/grants-funding/research-funded-by-nidcr-extramural/ahead</w:t>
        </w:r>
      </w:hyperlink>
    </w:p>
  </w:footnote>
  <w:footnote w:id="58">
    <w:p>
      <w:pPr>
        <w:pStyle w:val="FootnoteText"/>
      </w:pPr>
      <w:r>
        <w:rPr>
          <w:rStyle w:val="FootnoteReference"/>
        </w:rPr>
        <w:footnoteRef/>
      </w:r>
      <w:r>
        <w:t xml:space="preserve"> </w:t>
      </w:r>
      <w:hyperlink r:id="rId35">
        <w:r>
          <w:rPr>
            <w:rStyle w:val="Hyperlink"/>
          </w:rPr>
          <w:t xml:space="preserve">https://datacommons.cancer.gov/cloud-resources</w:t>
        </w:r>
      </w:hyperlink>
    </w:p>
  </w:footnote>
  <w:footnote w:id="59">
    <w:p>
      <w:pPr>
        <w:pStyle w:val="FootnoteText"/>
      </w:pPr>
      <w:r>
        <w:rPr>
          <w:rStyle w:val="FootnoteReference"/>
        </w:rPr>
        <w:footnoteRef/>
      </w:r>
      <w:r>
        <w:t xml:space="preserve"> </w:t>
      </w:r>
      <w:hyperlink r:id="rId37">
        <w:r>
          <w:rPr>
            <w:rStyle w:val="Hyperlink"/>
          </w:rPr>
          <w:t xml:space="preserve">https://progressreport.cancer.gov</w:t>
        </w:r>
      </w:hyperlink>
    </w:p>
  </w:footnote>
  <w:footnote w:id="60">
    <w:p>
      <w:pPr>
        <w:pStyle w:val="FootnoteText"/>
      </w:pPr>
      <w:r>
        <w:rPr>
          <w:rStyle w:val="FootnoteReference"/>
        </w:rPr>
        <w:footnoteRef/>
      </w:r>
      <w:r>
        <w:t xml:space="preserve"> </w:t>
      </w:r>
      <w:r>
        <w:t xml:space="preserve">PMID 36175679 —</w:t>
      </w:r>
      <w:r>
        <w:t xml:space="preserve"> </w:t>
      </w:r>
      <w:hyperlink r:id="rId49">
        <w:r>
          <w:rPr>
            <w:rStyle w:val="Hyperlink"/>
          </w:rPr>
          <w:t xml:space="preserve">https://pubmed.ncbi.nlm.nih.gov/36175679</w:t>
        </w:r>
      </w:hyperlink>
    </w:p>
  </w:footnote>
  <w:footnote w:id="61">
    <w:p>
      <w:pPr>
        <w:pStyle w:val="FootnoteText"/>
      </w:pPr>
      <w:r>
        <w:rPr>
          <w:rStyle w:val="FootnoteReference"/>
        </w:rPr>
        <w:footnoteRef/>
      </w:r>
      <w:r>
        <w:t xml:space="preserve"> </w:t>
      </w:r>
      <w:r>
        <w:t xml:space="preserve">PMID 36658220 —</w:t>
      </w:r>
      <w:r>
        <w:t xml:space="preserve"> </w:t>
      </w:r>
      <w:hyperlink r:id="rId62">
        <w:r>
          <w:rPr>
            <w:rStyle w:val="Hyperlink"/>
          </w:rPr>
          <w:t xml:space="preserve">https://pubmed.ncbi.nlm.nih.gov/36658220</w:t>
        </w:r>
      </w:hyperlink>
    </w:p>
  </w:footnote>
  <w:footnote w:id="63">
    <w:p>
      <w:pPr>
        <w:pStyle w:val="FootnoteText"/>
      </w:pPr>
      <w:r>
        <w:rPr>
          <w:rStyle w:val="FootnoteReference"/>
        </w:rPr>
        <w:footnoteRef/>
      </w:r>
      <w:r>
        <w:t xml:space="preserve"> </w:t>
      </w:r>
      <w:r>
        <w:t xml:space="preserve">PMID 37348462 —</w:t>
      </w:r>
      <w:r>
        <w:t xml:space="preserve"> </w:t>
      </w:r>
      <w:hyperlink r:id="rId41">
        <w:r>
          <w:rPr>
            <w:rStyle w:val="Hyperlink"/>
          </w:rPr>
          <w:t xml:space="preserve">https://pubmed.ncbi.nlm.nih.gov/37348462</w:t>
        </w:r>
      </w:hyperlink>
    </w:p>
  </w:footnote>
  <w:footnote w:id="64">
    <w:p>
      <w:pPr>
        <w:pStyle w:val="FootnoteText"/>
      </w:pPr>
      <w:r>
        <w:rPr>
          <w:rStyle w:val="FootnoteReference"/>
        </w:rPr>
        <w:footnoteRef/>
      </w:r>
      <w:r>
        <w:t xml:space="preserve"> </w:t>
      </w:r>
      <w:r>
        <w:t xml:space="preserve">PMID 35773409 —</w:t>
      </w:r>
      <w:r>
        <w:t xml:space="preserve"> </w:t>
      </w:r>
      <w:hyperlink r:id="rId65">
        <w:r>
          <w:rPr>
            <w:rStyle w:val="Hyperlink"/>
          </w:rPr>
          <w:t xml:space="preserve">https://pubmed.ncbi.nlm.nih.gov/35773409</w:t>
        </w:r>
      </w:hyperlink>
    </w:p>
  </w:footnote>
  <w:footnote w:id="67">
    <w:p>
      <w:pPr>
        <w:pStyle w:val="FootnoteText"/>
      </w:pPr>
      <w:r>
        <w:rPr>
          <w:rStyle w:val="FootnoteReference"/>
        </w:rPr>
        <w:footnoteRef/>
      </w:r>
      <w:r>
        <w:t xml:space="preserve"> </w:t>
      </w:r>
      <w:r>
        <w:t xml:space="preserve">PMID 38625612 —</w:t>
      </w:r>
      <w:r>
        <w:t xml:space="preserve"> </w:t>
      </w:r>
      <w:hyperlink r:id="rId68">
        <w:r>
          <w:rPr>
            <w:rStyle w:val="Hyperlink"/>
          </w:rPr>
          <w:t xml:space="preserve">https://pubmed.ncbi.nlm.nih.gov/38625612</w:t>
        </w:r>
      </w:hyperlink>
    </w:p>
  </w:footnote>
  <w:footnote w:id="69">
    <w:p>
      <w:pPr>
        <w:pStyle w:val="FootnoteText"/>
      </w:pPr>
      <w:r>
        <w:rPr>
          <w:rStyle w:val="FootnoteReference"/>
        </w:rPr>
        <w:footnoteRef/>
      </w:r>
      <w:r>
        <w:t xml:space="preserve"> </w:t>
      </w:r>
      <w:r>
        <w:t xml:space="preserve">PMID 38759225 —</w:t>
      </w:r>
      <w:r>
        <w:t xml:space="preserve"> </w:t>
      </w:r>
      <w:hyperlink r:id="rId70">
        <w:r>
          <w:rPr>
            <w:rStyle w:val="Hyperlink"/>
          </w:rPr>
          <w:t xml:space="preserve">https://pubmed.ncbi.nlm.nih.gov/38759225</w:t>
        </w:r>
      </w:hyperlink>
    </w:p>
  </w:footnote>
  <w:footnote w:id="71">
    <w:p>
      <w:pPr>
        <w:pStyle w:val="FootnoteText"/>
      </w:pPr>
      <w:r>
        <w:rPr>
          <w:rStyle w:val="FootnoteReference"/>
        </w:rPr>
        <w:footnoteRef/>
      </w:r>
      <w:r>
        <w:t xml:space="preserve"> </w:t>
      </w:r>
      <w:r>
        <w:t xml:space="preserve">PMID 37140427 —</w:t>
      </w:r>
      <w:r>
        <w:t xml:space="preserve"> </w:t>
      </w:r>
      <w:hyperlink r:id="rId27">
        <w:r>
          <w:rPr>
            <w:rStyle w:val="Hyperlink"/>
          </w:rPr>
          <w:t xml:space="preserve">https://pubmed.ncbi.nlm.nih.gov/37140427</w:t>
        </w:r>
      </w:hyperlink>
    </w:p>
  </w:footnote>
  <w:footnote w:id="72">
    <w:p>
      <w:pPr>
        <w:pStyle w:val="FootnoteText"/>
      </w:pPr>
      <w:r>
        <w:rPr>
          <w:rStyle w:val="FootnoteReference"/>
        </w:rPr>
        <w:footnoteRef/>
      </w:r>
      <w:r>
        <w:t xml:space="preserve"> </w:t>
      </w:r>
      <w:r>
        <w:t xml:space="preserve">PMID 37659676 —</w:t>
      </w:r>
      <w:r>
        <w:t xml:space="preserve"> </w:t>
      </w:r>
      <w:hyperlink r:id="rId21">
        <w:r>
          <w:rPr>
            <w:rStyle w:val="Hyperlink"/>
          </w:rPr>
          <w:t xml:space="preserve">https://pubmed.ncbi.nlm.nih.gov/37659676</w:t>
        </w:r>
      </w:hyperlink>
    </w:p>
  </w:footnote>
  <w:footnote w:id="73">
    <w:p>
      <w:pPr>
        <w:pStyle w:val="FootnoteText"/>
      </w:pPr>
      <w:r>
        <w:rPr>
          <w:rStyle w:val="FootnoteReference"/>
        </w:rPr>
        <w:footnoteRef/>
      </w:r>
      <w:r>
        <w:t xml:space="preserve"> </w:t>
      </w:r>
      <w:r>
        <w:t xml:space="preserve">PMID 35355015 —</w:t>
      </w:r>
      <w:r>
        <w:t xml:space="preserve"> </w:t>
      </w:r>
      <w:hyperlink r:id="rId25">
        <w:r>
          <w:rPr>
            <w:rStyle w:val="Hyperlink"/>
          </w:rPr>
          <w:t xml:space="preserve">https://pubmed.ncbi.nlm.nih.gov/35355015</w:t>
        </w:r>
      </w:hyperlink>
    </w:p>
  </w:footnote>
  <w:footnote w:id="74">
    <w:p>
      <w:pPr>
        <w:pStyle w:val="FootnoteText"/>
      </w:pPr>
      <w:r>
        <w:rPr>
          <w:rStyle w:val="FootnoteReference"/>
        </w:rPr>
        <w:footnoteRef/>
      </w:r>
      <w:r>
        <w:t xml:space="preserve"> </w:t>
      </w:r>
      <w:hyperlink r:id="rId35">
        <w:r>
          <w:rPr>
            <w:rStyle w:val="Hyperlink"/>
          </w:rPr>
          <w:t xml:space="preserve">https://datacommons.cancer.gov/cloud-resources</w:t>
        </w:r>
      </w:hyperlink>
    </w:p>
  </w:footnote>
  <w:footnote w:id="75">
    <w:p>
      <w:pPr>
        <w:pStyle w:val="FootnoteText"/>
      </w:pPr>
      <w:r>
        <w:rPr>
          <w:rStyle w:val="FootnoteReference"/>
        </w:rPr>
        <w:footnoteRef/>
      </w:r>
      <w:r>
        <w:t xml:space="preserve"> </w:t>
      </w:r>
      <w:hyperlink r:id="rId37">
        <w:r>
          <w:rPr>
            <w:rStyle w:val="Hyperlink"/>
          </w:rPr>
          <w:t xml:space="preserve">https://progressreport.cancer.gov</w:t>
        </w:r>
      </w:hyperlink>
    </w:p>
  </w:footnote>
  <w:footnote w:id="76">
    <w:p>
      <w:pPr>
        <w:pStyle w:val="FootnoteText"/>
      </w:pPr>
      <w:r>
        <w:rPr>
          <w:rStyle w:val="FootnoteReference"/>
        </w:rPr>
        <w:footnoteRef/>
      </w:r>
      <w:r>
        <w:t xml:space="preserve"> </w:t>
      </w:r>
      <w:hyperlink r:id="rId77">
        <w:r>
          <w:rPr>
            <w:rStyle w:val="Hyperlink"/>
          </w:rPr>
          <w:t xml:space="preserve">https://www.cancer.gov/research/infrastructure/clinical-trials/ctiu</w:t>
        </w:r>
      </w:hyperlink>
    </w:p>
  </w:footnote>
  <w:footnote w:id="78">
    <w:p>
      <w:pPr>
        <w:pStyle w:val="FootnoteText"/>
      </w:pPr>
      <w:r>
        <w:rPr>
          <w:rStyle w:val="FootnoteReference"/>
        </w:rPr>
        <w:footnoteRef/>
      </w:r>
      <w:r>
        <w:t xml:space="preserve"> </w:t>
      </w:r>
      <w:r>
        <w:t xml:space="preserve">PMID 38843329 —</w:t>
      </w:r>
      <w:r>
        <w:t xml:space="preserve"> </w:t>
      </w:r>
      <w:hyperlink r:id="rId79">
        <w:r>
          <w:rPr>
            <w:rStyle w:val="Hyperlink"/>
          </w:rPr>
          <w:t xml:space="preserve">https://pubmed.ncbi.nlm.nih.gov/38843329</w:t>
        </w:r>
      </w:hyperlink>
    </w:p>
  </w:footnote>
  <w:footnote w:id="80">
    <w:p>
      <w:pPr>
        <w:pStyle w:val="FootnoteText"/>
      </w:pPr>
      <w:r>
        <w:rPr>
          <w:rStyle w:val="FootnoteReference"/>
        </w:rPr>
        <w:footnoteRef/>
      </w:r>
      <w:r>
        <w:t xml:space="preserve"> </w:t>
      </w:r>
      <w:hyperlink r:id="rId81">
        <w:r>
          <w:rPr>
            <w:rStyle w:val="Hyperlink"/>
          </w:rPr>
          <w:t xml:space="preserve">https://www.cancer.gov/research/leading-progress/stories/cytalux</w:t>
        </w:r>
      </w:hyperlink>
    </w:p>
  </w:footnote>
  <w:footnote w:id="82">
    <w:p>
      <w:pPr>
        <w:pStyle w:val="FootnoteText"/>
      </w:pPr>
      <w:r>
        <w:rPr>
          <w:rStyle w:val="FootnoteReference"/>
        </w:rPr>
        <w:footnoteRef/>
      </w:r>
      <w:r>
        <w:t xml:space="preserve"> </w:t>
      </w:r>
      <w:r>
        <w:t xml:space="preserve">PMID 35648703 —</w:t>
      </w:r>
      <w:r>
        <w:t xml:space="preserve"> </w:t>
      </w:r>
      <w:hyperlink r:id="rId83">
        <w:r>
          <w:rPr>
            <w:rStyle w:val="Hyperlink"/>
          </w:rPr>
          <w:t xml:space="preserve">https://pubmed.ncbi.nlm.nih.gov/35648703</w:t>
        </w:r>
      </w:hyperlink>
    </w:p>
  </w:footnote>
  <w:footnote w:id="84">
    <w:p>
      <w:pPr>
        <w:pStyle w:val="FootnoteText"/>
      </w:pPr>
      <w:r>
        <w:rPr>
          <w:rStyle w:val="FootnoteReference"/>
        </w:rPr>
        <w:footnoteRef/>
      </w:r>
      <w:r>
        <w:t xml:space="preserve"> </w:t>
      </w:r>
      <w:r>
        <w:t xml:space="preserve">PMID 36658220 —</w:t>
      </w:r>
      <w:r>
        <w:t xml:space="preserve"> </w:t>
      </w:r>
      <w:hyperlink r:id="rId62">
        <w:r>
          <w:rPr>
            <w:rStyle w:val="Hyperlink"/>
          </w:rPr>
          <w:t xml:space="preserve">https://pubmed.ncbi.nlm.nih.gov/36658220</w:t>
        </w:r>
      </w:hyperlink>
    </w:p>
  </w:footnote>
  <w:footnote w:id="85">
    <w:p>
      <w:pPr>
        <w:pStyle w:val="FootnoteText"/>
      </w:pPr>
      <w:r>
        <w:rPr>
          <w:rStyle w:val="FootnoteReference"/>
        </w:rPr>
        <w:footnoteRef/>
      </w:r>
      <w:r>
        <w:t xml:space="preserve"> </w:t>
      </w:r>
      <w:r>
        <w:t xml:space="preserve">PMID 37419119 —</w:t>
      </w:r>
      <w:r>
        <w:t xml:space="preserve"> </w:t>
      </w:r>
      <w:hyperlink r:id="rId86">
        <w:r>
          <w:rPr>
            <w:rStyle w:val="Hyperlink"/>
          </w:rPr>
          <w:t xml:space="preserve">https://pubmed.ncbi.nlm.nih.gov/37419119</w:t>
        </w:r>
      </w:hyperlink>
    </w:p>
  </w:footnote>
  <w:footnote w:id="87">
    <w:p>
      <w:pPr>
        <w:pStyle w:val="FootnoteText"/>
      </w:pPr>
      <w:r>
        <w:rPr>
          <w:rStyle w:val="FootnoteReference"/>
        </w:rPr>
        <w:footnoteRef/>
      </w:r>
      <w:r>
        <w:t xml:space="preserve"> </w:t>
      </w:r>
      <w:r>
        <w:t xml:space="preserve">PMID 38815010 —</w:t>
      </w:r>
      <w:r>
        <w:t xml:space="preserve"> </w:t>
      </w:r>
      <w:hyperlink r:id="rId88">
        <w:r>
          <w:rPr>
            <w:rStyle w:val="Hyperlink"/>
          </w:rPr>
          <w:t xml:space="preserve">https://pubmed.ncbi.nlm.nih.gov/38815010</w:t>
        </w:r>
      </w:hyperlink>
    </w:p>
  </w:footnote>
  <w:footnote w:id="89">
    <w:p>
      <w:pPr>
        <w:pStyle w:val="FootnoteText"/>
      </w:pPr>
      <w:r>
        <w:rPr>
          <w:rStyle w:val="FootnoteReference"/>
        </w:rPr>
        <w:footnoteRef/>
      </w:r>
      <w:r>
        <w:t xml:space="preserve"> </w:t>
      </w:r>
      <w:hyperlink r:id="rId90">
        <w:r>
          <w:rPr>
            <w:rStyle w:val="Hyperlink"/>
          </w:rPr>
          <w:t xml:space="preserve">https://prevention.cancer.gov/major-programs/cancer-screening-research-network-csrn</w:t>
        </w:r>
      </w:hyperlink>
    </w:p>
  </w:footnote>
  <w:footnote w:id="91">
    <w:p>
      <w:pPr>
        <w:pStyle w:val="FootnoteText"/>
      </w:pPr>
      <w:r>
        <w:rPr>
          <w:rStyle w:val="FootnoteReference"/>
        </w:rPr>
        <w:footnoteRef/>
      </w:r>
      <w:r>
        <w:t xml:space="preserve"> </w:t>
      </w:r>
      <w:r>
        <w:t xml:space="preserve">PMID 37198494 —</w:t>
      </w:r>
      <w:r>
        <w:t xml:space="preserve"> </w:t>
      </w:r>
      <w:hyperlink r:id="rId92">
        <w:r>
          <w:rPr>
            <w:rStyle w:val="Hyperlink"/>
          </w:rPr>
          <w:t xml:space="preserve">https://pubmed.ncbi.nlm.nih.gov/37198494</w:t>
        </w:r>
      </w:hyperlink>
    </w:p>
  </w:footnote>
  <w:footnote w:id="93">
    <w:p>
      <w:pPr>
        <w:pStyle w:val="FootnoteText"/>
      </w:pPr>
      <w:r>
        <w:rPr>
          <w:rStyle w:val="FootnoteReference"/>
        </w:rPr>
        <w:footnoteRef/>
      </w:r>
      <w:r>
        <w:t xml:space="preserve"> </w:t>
      </w:r>
      <w:r>
        <w:t xml:space="preserve">PMID 38546644 —</w:t>
      </w:r>
      <w:r>
        <w:t xml:space="preserve"> </w:t>
      </w:r>
      <w:hyperlink r:id="rId94">
        <w:r>
          <w:rPr>
            <w:rStyle w:val="Hyperlink"/>
          </w:rPr>
          <w:t xml:space="preserve">https://pubmed.ncbi.nlm.nih.gov/38546644</w:t>
        </w:r>
      </w:hyperlink>
    </w:p>
  </w:footnote>
  <w:footnote w:id="95">
    <w:p>
      <w:pPr>
        <w:pStyle w:val="FootnoteText"/>
      </w:pPr>
      <w:r>
        <w:rPr>
          <w:rStyle w:val="FootnoteReference"/>
        </w:rPr>
        <w:footnoteRef/>
      </w:r>
      <w:r>
        <w:t xml:space="preserve"> </w:t>
      </w:r>
      <w:r>
        <w:t xml:space="preserve">PMID 34548310 —</w:t>
      </w:r>
      <w:r>
        <w:t xml:space="preserve"> </w:t>
      </w:r>
      <w:hyperlink r:id="rId96">
        <w:r>
          <w:rPr>
            <w:rStyle w:val="Hyperlink"/>
          </w:rPr>
          <w:t xml:space="preserve">https://pubmed.ncbi.nlm.nih.gov/34548310</w:t>
        </w:r>
      </w:hyperlink>
    </w:p>
  </w:footnote>
  <w:footnote w:id="97">
    <w:p>
      <w:pPr>
        <w:pStyle w:val="FootnoteText"/>
      </w:pPr>
      <w:r>
        <w:rPr>
          <w:rStyle w:val="FootnoteReference"/>
        </w:rPr>
        <w:footnoteRef/>
      </w:r>
      <w:r>
        <w:t xml:space="preserve"> </w:t>
      </w:r>
      <w:r>
        <w:t xml:space="preserve">PMID 39102723 —</w:t>
      </w:r>
      <w:r>
        <w:t xml:space="preserve"> </w:t>
      </w:r>
      <w:hyperlink r:id="rId98">
        <w:r>
          <w:rPr>
            <w:rStyle w:val="Hyperlink"/>
          </w:rPr>
          <w:t xml:space="preserve">https://pubmed.ncbi.nlm.nih.gov/39102723</w:t>
        </w:r>
      </w:hyperlink>
    </w:p>
  </w:footnote>
  <w:footnote w:id="99">
    <w:p>
      <w:pPr>
        <w:pStyle w:val="FootnoteText"/>
      </w:pPr>
      <w:r>
        <w:rPr>
          <w:rStyle w:val="FootnoteReference"/>
        </w:rPr>
        <w:footnoteRef/>
      </w:r>
      <w:r>
        <w:t xml:space="preserve"> </w:t>
      </w:r>
      <w:r>
        <w:t xml:space="preserve">PMID 37267580 —</w:t>
      </w:r>
      <w:r>
        <w:t xml:space="preserve"> </w:t>
      </w:r>
      <w:hyperlink r:id="rId100">
        <w:r>
          <w:rPr>
            <w:rStyle w:val="Hyperlink"/>
          </w:rPr>
          <w:t xml:space="preserve">https://pubmed.ncbi.nlm.nih.gov/37267580</w:t>
        </w:r>
      </w:hyperlink>
    </w:p>
  </w:footnote>
  <w:footnote w:id="101">
    <w:p>
      <w:pPr>
        <w:pStyle w:val="FootnoteText"/>
      </w:pPr>
      <w:r>
        <w:rPr>
          <w:rStyle w:val="FootnoteReference"/>
        </w:rPr>
        <w:footnoteRef/>
      </w:r>
      <w:r>
        <w:t xml:space="preserve"> </w:t>
      </w:r>
      <w:r>
        <w:t xml:space="preserve">PMID 34739844 —</w:t>
      </w:r>
      <w:r>
        <w:t xml:space="preserve"> </w:t>
      </w:r>
      <w:hyperlink r:id="rId102">
        <w:r>
          <w:rPr>
            <w:rStyle w:val="Hyperlink"/>
          </w:rPr>
          <w:t xml:space="preserve">https://pubmed.ncbi.nlm.nih.gov/34739844</w:t>
        </w:r>
      </w:hyperlink>
    </w:p>
  </w:footnote>
  <w:footnote w:id="103">
    <w:p>
      <w:pPr>
        <w:pStyle w:val="FootnoteText"/>
      </w:pPr>
      <w:r>
        <w:rPr>
          <w:rStyle w:val="FootnoteReference"/>
        </w:rPr>
        <w:footnoteRef/>
      </w:r>
      <w:r>
        <w:t xml:space="preserve"> </w:t>
      </w:r>
      <w:r>
        <w:t xml:space="preserve">PMID 35587980 —</w:t>
      </w:r>
      <w:r>
        <w:t xml:space="preserve"> </w:t>
      </w:r>
      <w:hyperlink r:id="rId104">
        <w:r>
          <w:rPr>
            <w:rStyle w:val="Hyperlink"/>
          </w:rPr>
          <w:t xml:space="preserve">https://pubmed.ncbi.nlm.nih.gov/35587980</w:t>
        </w:r>
      </w:hyperlink>
    </w:p>
  </w:footnote>
  <w:footnote w:id="105">
    <w:p>
      <w:pPr>
        <w:pStyle w:val="FootnoteText"/>
      </w:pPr>
      <w:r>
        <w:rPr>
          <w:rStyle w:val="FootnoteReference"/>
        </w:rPr>
        <w:footnoteRef/>
      </w:r>
      <w:r>
        <w:t xml:space="preserve"> </w:t>
      </w:r>
      <w:hyperlink r:id="rId29">
        <w:r>
          <w:rPr>
            <w:rStyle w:val="Hyperlink"/>
          </w:rPr>
          <w:t xml:space="preserve">https://onlinelibrary.wiley.com/doi/10.1002/em.22534</w:t>
        </w:r>
      </w:hyperlink>
    </w:p>
  </w:footnote>
  <w:footnote w:id="106">
    <w:p>
      <w:pPr>
        <w:pStyle w:val="FootnoteText"/>
      </w:pPr>
      <w:r>
        <w:rPr>
          <w:rStyle w:val="FootnoteReference"/>
        </w:rPr>
        <w:footnoteRef/>
      </w:r>
      <w:r>
        <w:t xml:space="preserve"> </w:t>
      </w:r>
      <w:r>
        <w:t xml:space="preserve">PMID 35410377 —</w:t>
      </w:r>
      <w:r>
        <w:t xml:space="preserve"> </w:t>
      </w:r>
      <w:hyperlink r:id="rId107">
        <w:r>
          <w:rPr>
            <w:rStyle w:val="Hyperlink"/>
          </w:rPr>
          <w:t xml:space="preserve">https://pubmed.ncbi.nlm.nih.gov/35410377</w:t>
        </w:r>
      </w:hyperlink>
    </w:p>
  </w:footnote>
  <w:footnote w:id="108">
    <w:p>
      <w:pPr>
        <w:pStyle w:val="FootnoteText"/>
      </w:pPr>
      <w:r>
        <w:rPr>
          <w:rStyle w:val="FootnoteReference"/>
        </w:rPr>
        <w:footnoteRef/>
      </w:r>
      <w:r>
        <w:t xml:space="preserve"> </w:t>
      </w:r>
      <w:r>
        <w:t xml:space="preserve">PMID 39443743 —</w:t>
      </w:r>
      <w:r>
        <w:t xml:space="preserve"> </w:t>
      </w:r>
      <w:hyperlink r:id="rId109">
        <w:r>
          <w:rPr>
            <w:rStyle w:val="Hyperlink"/>
          </w:rPr>
          <w:t xml:space="preserve">https://pubmed.ncbi.nlm.nih.gov/39443743</w:t>
        </w:r>
      </w:hyperlink>
    </w:p>
  </w:footnote>
  <w:footnote w:id="110">
    <w:p>
      <w:pPr>
        <w:pStyle w:val="FootnoteText"/>
      </w:pPr>
      <w:r>
        <w:rPr>
          <w:rStyle w:val="FootnoteReference"/>
        </w:rPr>
        <w:footnoteRef/>
      </w:r>
      <w:r>
        <w:t xml:space="preserve"> </w:t>
      </w:r>
      <w:r>
        <w:t xml:space="preserve">PMID 36093740 —</w:t>
      </w:r>
      <w:r>
        <w:t xml:space="preserve"> </w:t>
      </w:r>
      <w:hyperlink r:id="rId111">
        <w:r>
          <w:rPr>
            <w:rStyle w:val="Hyperlink"/>
          </w:rPr>
          <w:t xml:space="preserve">https://pubmed.ncbi.nlm.nih.gov/36093740</w:t>
        </w:r>
      </w:hyperlink>
    </w:p>
  </w:footnote>
  <w:footnote w:id="112">
    <w:p>
      <w:pPr>
        <w:pStyle w:val="FootnoteText"/>
      </w:pPr>
      <w:r>
        <w:rPr>
          <w:rStyle w:val="FootnoteReference"/>
        </w:rPr>
        <w:footnoteRef/>
      </w:r>
      <w:r>
        <w:t xml:space="preserve"> </w:t>
      </w:r>
      <w:hyperlink r:id="rId113">
        <w:r>
          <w:rPr>
            <w:rStyle w:val="Hyperlink"/>
          </w:rPr>
          <w:t xml:space="preserve">https://dpcpsi.nih.gov/thro/tribal-consultations/national-institute-minority-health-and-health-disparities-nimhd-initiative-improving-american</w:t>
        </w:r>
      </w:hyperlink>
    </w:p>
  </w:footnote>
  <w:footnote w:id="114">
    <w:p>
      <w:pPr>
        <w:pStyle w:val="FootnoteText"/>
      </w:pPr>
      <w:r>
        <w:rPr>
          <w:rStyle w:val="FootnoteReference"/>
        </w:rPr>
        <w:footnoteRef/>
      </w:r>
      <w:r>
        <w:t xml:space="preserve"> </w:t>
      </w:r>
      <w:hyperlink r:id="rId115">
        <w:r>
          <w:rPr>
            <w:rStyle w:val="Hyperlink"/>
          </w:rPr>
          <w:t xml:space="preserve">https://grants.nih.gov/grants/guide/notice-files/NOT-MD-24-015.html</w:t>
        </w:r>
      </w:hyperlink>
    </w:p>
  </w:footnote>
  <w:footnote w:id="116">
    <w:p>
      <w:pPr>
        <w:pStyle w:val="FootnoteText"/>
      </w:pPr>
      <w:r>
        <w:rPr>
          <w:rStyle w:val="FootnoteReference"/>
        </w:rPr>
        <w:footnoteRef/>
      </w:r>
      <w:r>
        <w:t xml:space="preserve"> </w:t>
      </w:r>
      <w:r>
        <w:t xml:space="preserve">PMID 37169842 —</w:t>
      </w:r>
      <w:r>
        <w:t xml:space="preserve"> </w:t>
      </w:r>
      <w:hyperlink r:id="rId117">
        <w:r>
          <w:rPr>
            <w:rStyle w:val="Hyperlink"/>
          </w:rPr>
          <w:t xml:space="preserve">https://pubmed.ncbi.nlm.nih.gov/37169842</w:t>
        </w:r>
      </w:hyperlink>
    </w:p>
  </w:footnote>
  <w:footnote w:id="118">
    <w:p>
      <w:pPr>
        <w:pStyle w:val="FootnoteText"/>
      </w:pPr>
      <w:r>
        <w:rPr>
          <w:rStyle w:val="FootnoteReference"/>
        </w:rPr>
        <w:footnoteRef/>
      </w:r>
      <w:r>
        <w:t xml:space="preserve"> </w:t>
      </w:r>
      <w:hyperlink r:id="rId47">
        <w:r>
          <w:rPr>
            <w:rStyle w:val="Hyperlink"/>
          </w:rPr>
          <w:t xml:space="preserve">https://www.midrc.org</w:t>
        </w:r>
      </w:hyperlink>
    </w:p>
  </w:footnote>
  <w:footnote w:id="119">
    <w:p>
      <w:pPr>
        <w:pStyle w:val="FootnoteText"/>
      </w:pPr>
      <w:r>
        <w:rPr>
          <w:rStyle w:val="FootnoteReference"/>
        </w:rPr>
        <w:footnoteRef/>
      </w:r>
      <w:r>
        <w:t xml:space="preserve"> </w:t>
      </w:r>
      <w:r>
        <w:t xml:space="preserve">Source unavailable</w:t>
      </w:r>
    </w:p>
  </w:footnote>
  <w:footnote w:id="121">
    <w:p>
      <w:pPr>
        <w:pStyle w:val="FootnoteText"/>
      </w:pPr>
      <w:r>
        <w:rPr>
          <w:rStyle w:val="FootnoteReference"/>
        </w:rPr>
        <w:footnoteRef/>
      </w:r>
      <w:r>
        <w:t xml:space="preserve"> </w:t>
      </w:r>
      <w:r>
        <w:t xml:space="preserve">PMID 38899693 —</w:t>
      </w:r>
      <w:r>
        <w:t xml:space="preserve"> </w:t>
      </w:r>
      <w:hyperlink r:id="rId122">
        <w:r>
          <w:rPr>
            <w:rStyle w:val="Hyperlink"/>
          </w:rPr>
          <w:t xml:space="preserve">https://pubmed.ncbi.nlm.nih.gov/38899693</w:t>
        </w:r>
      </w:hyperlink>
    </w:p>
  </w:footnote>
  <w:footnote w:id="123">
    <w:p>
      <w:pPr>
        <w:pStyle w:val="FootnoteText"/>
      </w:pPr>
      <w:r>
        <w:rPr>
          <w:rStyle w:val="FootnoteReference"/>
        </w:rPr>
        <w:footnoteRef/>
      </w:r>
      <w:r>
        <w:t xml:space="preserve"> </w:t>
      </w:r>
      <w:hyperlink r:id="rId124">
        <w:r>
          <w:rPr>
            <w:rStyle w:val="Hyperlink"/>
          </w:rPr>
          <w:t xml:space="preserve">https://clinicaltrials.gov/study/NCT06625775</w:t>
        </w:r>
      </w:hyperlink>
    </w:p>
  </w:footnote>
  <w:footnote w:id="125">
    <w:p>
      <w:pPr>
        <w:pStyle w:val="FootnoteText"/>
      </w:pPr>
      <w:r>
        <w:rPr>
          <w:rStyle w:val="FootnoteReference"/>
        </w:rPr>
        <w:footnoteRef/>
      </w:r>
      <w:r>
        <w:t xml:space="preserve"> </w:t>
      </w:r>
      <w:r>
        <w:t xml:space="preserve">PMID 34081848 —</w:t>
      </w:r>
      <w:r>
        <w:t xml:space="preserve"> </w:t>
      </w:r>
      <w:hyperlink r:id="rId126">
        <w:r>
          <w:rPr>
            <w:rStyle w:val="Hyperlink"/>
          </w:rPr>
          <w:t xml:space="preserve">https://pubmed.ncbi.nlm.nih.gov/34081848</w:t>
        </w:r>
      </w:hyperlink>
    </w:p>
  </w:footnote>
  <w:footnote w:id="128">
    <w:p>
      <w:pPr>
        <w:pStyle w:val="FootnoteText"/>
      </w:pPr>
      <w:r>
        <w:rPr>
          <w:rStyle w:val="FootnoteReference"/>
        </w:rPr>
        <w:footnoteRef/>
      </w:r>
      <w:r>
        <w:t xml:space="preserve"> </w:t>
      </w:r>
      <w:r>
        <w:t xml:space="preserve">PMID 37788089 —</w:t>
      </w:r>
      <w:r>
        <w:t xml:space="preserve"> </w:t>
      </w:r>
      <w:hyperlink r:id="rId129">
        <w:r>
          <w:rPr>
            <w:rStyle w:val="Hyperlink"/>
          </w:rPr>
          <w:t xml:space="preserve">https://pubmed.ncbi.nlm.nih.gov/37788089</w:t>
        </w:r>
      </w:hyperlink>
    </w:p>
  </w:footnote>
  <w:footnote w:id="131">
    <w:p>
      <w:pPr>
        <w:pStyle w:val="FootnoteText"/>
      </w:pPr>
      <w:r>
        <w:rPr>
          <w:rStyle w:val="FootnoteReference"/>
        </w:rPr>
        <w:footnoteRef/>
      </w:r>
      <w:r>
        <w:t xml:space="preserve"> </w:t>
      </w:r>
      <w:r>
        <w:t xml:space="preserve">PMID 39086924 —</w:t>
      </w:r>
      <w:r>
        <w:t xml:space="preserve"> </w:t>
      </w:r>
      <w:hyperlink r:id="rId132">
        <w:r>
          <w:rPr>
            <w:rStyle w:val="Hyperlink"/>
          </w:rPr>
          <w:t xml:space="preserve">https://pubmed.ncbi.nlm.nih.gov/39086924</w:t>
        </w:r>
      </w:hyperlink>
    </w:p>
  </w:footnote>
  <w:footnote w:id="133">
    <w:p>
      <w:pPr>
        <w:pStyle w:val="FootnoteText"/>
      </w:pPr>
      <w:r>
        <w:rPr>
          <w:rStyle w:val="FootnoteReference"/>
        </w:rPr>
        <w:footnoteRef/>
      </w:r>
      <w:r>
        <w:t xml:space="preserve"> </w:t>
      </w:r>
      <w:r>
        <w:t xml:space="preserve">PMID 39660744 —</w:t>
      </w:r>
      <w:r>
        <w:t xml:space="preserve"> </w:t>
      </w:r>
      <w:hyperlink r:id="rId33">
        <w:r>
          <w:rPr>
            <w:rStyle w:val="Hyperlink"/>
          </w:rPr>
          <w:t xml:space="preserve">https://pubmed.ncbi.nlm.nih.gov/39660744</w:t>
        </w:r>
      </w:hyperlink>
    </w:p>
  </w:footnote>
  <w:footnote w:id="134">
    <w:p>
      <w:pPr>
        <w:pStyle w:val="FootnoteText"/>
      </w:pPr>
      <w:r>
        <w:rPr>
          <w:rStyle w:val="FootnoteReference"/>
        </w:rPr>
        <w:footnoteRef/>
      </w:r>
      <w:r>
        <w:t xml:space="preserve"> </w:t>
      </w:r>
      <w:r>
        <w:t xml:space="preserve">PMID 34913949 —</w:t>
      </w:r>
      <w:r>
        <w:t xml:space="preserve"> </w:t>
      </w:r>
      <w:hyperlink r:id="rId135">
        <w:r>
          <w:rPr>
            <w:rStyle w:val="Hyperlink"/>
          </w:rPr>
          <w:t xml:space="preserve">https://pubmed.ncbi.nlm.nih.gov/34913949</w:t>
        </w:r>
      </w:hyperlink>
    </w:p>
  </w:footnote>
  <w:footnote w:id="136">
    <w:p>
      <w:pPr>
        <w:pStyle w:val="FootnoteText"/>
      </w:pPr>
      <w:r>
        <w:rPr>
          <w:rStyle w:val="FootnoteReference"/>
        </w:rPr>
        <w:footnoteRef/>
      </w:r>
      <w:r>
        <w:t xml:space="preserve"> </w:t>
      </w:r>
      <w:r>
        <w:t xml:space="preserve">PMID 36201196 —</w:t>
      </w:r>
      <w:r>
        <w:t xml:space="preserve"> </w:t>
      </w:r>
      <w:hyperlink r:id="rId137">
        <w:r>
          <w:rPr>
            <w:rStyle w:val="Hyperlink"/>
          </w:rPr>
          <w:t xml:space="preserve">https://pubmed.ncbi.nlm.nih.gov/36201196</w:t>
        </w:r>
      </w:hyperlink>
    </w:p>
  </w:footnote>
  <w:footnote w:id="138">
    <w:p>
      <w:pPr>
        <w:pStyle w:val="FootnoteText"/>
      </w:pPr>
      <w:r>
        <w:rPr>
          <w:rStyle w:val="FootnoteReference"/>
        </w:rPr>
        <w:footnoteRef/>
      </w:r>
      <w:r>
        <w:t xml:space="preserve"> </w:t>
      </w:r>
      <w:r>
        <w:t xml:space="preserve">PMID 39002121 —</w:t>
      </w:r>
      <w:r>
        <w:t xml:space="preserve"> </w:t>
      </w:r>
      <w:hyperlink r:id="rId139">
        <w:r>
          <w:rPr>
            <w:rStyle w:val="Hyperlink"/>
          </w:rPr>
          <w:t xml:space="preserve">https://pubmed.ncbi.nlm.nih.gov/39002121</w:t>
        </w:r>
      </w:hyperlink>
    </w:p>
  </w:footnote>
  <w:footnote w:id="141">
    <w:p>
      <w:pPr>
        <w:pStyle w:val="FootnoteText"/>
      </w:pPr>
      <w:r>
        <w:rPr>
          <w:rStyle w:val="FootnoteReference"/>
        </w:rPr>
        <w:footnoteRef/>
      </w:r>
      <w:r>
        <w:t xml:space="preserve"> </w:t>
      </w:r>
      <w:r>
        <w:t xml:space="preserve">PMID 35469018 —</w:t>
      </w:r>
      <w:r>
        <w:t xml:space="preserve"> </w:t>
      </w:r>
      <w:hyperlink r:id="rId31">
        <w:r>
          <w:rPr>
            <w:rStyle w:val="Hyperlink"/>
          </w:rPr>
          <w:t xml:space="preserve">https://pubmed.ncbi.nlm.nih.gov/35469018</w:t>
        </w:r>
      </w:hyperlink>
    </w:p>
  </w:footnote>
  <w:footnote w:id="142">
    <w:p>
      <w:pPr>
        <w:pStyle w:val="FootnoteText"/>
      </w:pPr>
      <w:r>
        <w:rPr>
          <w:rStyle w:val="FootnoteReference"/>
        </w:rPr>
        <w:footnoteRef/>
      </w:r>
      <w:r>
        <w:t xml:space="preserve"> </w:t>
      </w:r>
      <w:r>
        <w:t xml:space="preserve">PMID 37348462 —</w:t>
      </w:r>
      <w:r>
        <w:t xml:space="preserve"> </w:t>
      </w:r>
      <w:hyperlink r:id="rId41">
        <w:r>
          <w:rPr>
            <w:rStyle w:val="Hyperlink"/>
          </w:rPr>
          <w:t xml:space="preserve">https://pubmed.ncbi.nlm.nih.gov/37348462</w:t>
        </w:r>
      </w:hyperlink>
    </w:p>
  </w:footnote>
  <w:footnote w:id="143">
    <w:p>
      <w:pPr>
        <w:pStyle w:val="FootnoteText"/>
      </w:pPr>
      <w:r>
        <w:rPr>
          <w:rStyle w:val="FootnoteReference"/>
        </w:rPr>
        <w:footnoteRef/>
      </w:r>
      <w:r>
        <w:t xml:space="preserve"> </w:t>
      </w:r>
      <w:r>
        <w:t xml:space="preserve">PMID 36914816 —</w:t>
      </w:r>
      <w:r>
        <w:t xml:space="preserve"> </w:t>
      </w:r>
      <w:hyperlink r:id="rId43">
        <w:r>
          <w:rPr>
            <w:rStyle w:val="Hyperlink"/>
          </w:rPr>
          <w:t xml:space="preserve">https://pubmed.ncbi.nlm.nih.gov/36914816</w:t>
        </w:r>
      </w:hyperlink>
    </w:p>
  </w:footnote>
  <w:footnote w:id="144">
    <w:p>
      <w:pPr>
        <w:pStyle w:val="FootnoteText"/>
      </w:pPr>
      <w:r>
        <w:rPr>
          <w:rStyle w:val="FootnoteReference"/>
        </w:rPr>
        <w:footnoteRef/>
      </w:r>
      <w:r>
        <w:t xml:space="preserve"> </w:t>
      </w:r>
      <w:r>
        <w:t xml:space="preserve">PMID 37407814 —</w:t>
      </w:r>
      <w:r>
        <w:t xml:space="preserve"> </w:t>
      </w:r>
      <w:hyperlink r:id="rId39">
        <w:r>
          <w:rPr>
            <w:rStyle w:val="Hyperlink"/>
          </w:rPr>
          <w:t xml:space="preserve">https://pubmed.ncbi.nlm.nih.gov/37407814</w:t>
        </w:r>
      </w:hyperlink>
    </w:p>
  </w:footnote>
  <w:footnote w:id="145">
    <w:p>
      <w:pPr>
        <w:pStyle w:val="FootnoteText"/>
      </w:pPr>
      <w:r>
        <w:rPr>
          <w:rStyle w:val="FootnoteReference"/>
        </w:rPr>
        <w:footnoteRef/>
      </w:r>
      <w:r>
        <w:t xml:space="preserve"> </w:t>
      </w:r>
      <w:r>
        <w:t xml:space="preserve">PMID 36823587 —</w:t>
      </w:r>
      <w:r>
        <w:t xml:space="preserve"> </w:t>
      </w:r>
      <w:hyperlink r:id="rId146">
        <w:r>
          <w:rPr>
            <w:rStyle w:val="Hyperlink"/>
          </w:rPr>
          <w:t xml:space="preserve">https://pubmed.ncbi.nlm.nih.gov/36823587</w:t>
        </w:r>
      </w:hyperlink>
    </w:p>
  </w:footnote>
  <w:footnote w:id="147">
    <w:p>
      <w:pPr>
        <w:pStyle w:val="FootnoteText"/>
      </w:pPr>
      <w:r>
        <w:rPr>
          <w:rStyle w:val="FootnoteReference"/>
        </w:rPr>
        <w:footnoteRef/>
      </w:r>
      <w:r>
        <w:t xml:space="preserve"> </w:t>
      </w:r>
      <w:r>
        <w:t xml:space="preserve">PMID 37129007 —</w:t>
      </w:r>
      <w:r>
        <w:t xml:space="preserve"> </w:t>
      </w:r>
      <w:hyperlink r:id="rId148">
        <w:r>
          <w:rPr>
            <w:rStyle w:val="Hyperlink"/>
          </w:rPr>
          <w:t xml:space="preserve">https://pubmed.ncbi.nlm.nih.gov/37129007</w:t>
        </w:r>
      </w:hyperlink>
    </w:p>
  </w:footnote>
  <w:footnote w:id="149">
    <w:p>
      <w:pPr>
        <w:pStyle w:val="FootnoteText"/>
      </w:pPr>
      <w:r>
        <w:rPr>
          <w:rStyle w:val="FootnoteReference"/>
        </w:rPr>
        <w:footnoteRef/>
      </w:r>
      <w:r>
        <w:t xml:space="preserve"> </w:t>
      </w:r>
      <w:r>
        <w:t xml:space="preserve">PMID 35773409 —</w:t>
      </w:r>
      <w:r>
        <w:t xml:space="preserve"> </w:t>
      </w:r>
      <w:hyperlink r:id="rId65">
        <w:r>
          <w:rPr>
            <w:rStyle w:val="Hyperlink"/>
          </w:rPr>
          <w:t xml:space="preserve">https://pubmed.ncbi.nlm.nih.gov/35773409</w:t>
        </w:r>
      </w:hyperlink>
    </w:p>
  </w:footnote>
  <w:footnote w:id="150">
    <w:p>
      <w:pPr>
        <w:pStyle w:val="FootnoteText"/>
      </w:pPr>
      <w:r>
        <w:rPr>
          <w:rStyle w:val="FootnoteReference"/>
        </w:rPr>
        <w:footnoteRef/>
      </w:r>
      <w:r>
        <w:t xml:space="preserve"> </w:t>
      </w:r>
      <w:r>
        <w:t xml:space="preserve">PMID 34944874 —</w:t>
      </w:r>
      <w:r>
        <w:t xml:space="preserve"> </w:t>
      </w:r>
      <w:hyperlink r:id="rId151">
        <w:r>
          <w:rPr>
            <w:rStyle w:val="Hyperlink"/>
          </w:rPr>
          <w:t xml:space="preserve">https://pubmed.ncbi.nlm.nih.gov/34944874</w:t>
        </w:r>
      </w:hyperlink>
    </w:p>
  </w:footnote>
  <w:footnote w:id="153">
    <w:p>
      <w:pPr>
        <w:pStyle w:val="FootnoteText"/>
      </w:pPr>
      <w:r>
        <w:rPr>
          <w:rStyle w:val="FootnoteReference"/>
        </w:rPr>
        <w:footnoteRef/>
      </w:r>
      <w:r>
        <w:t xml:space="preserve"> </w:t>
      </w:r>
      <w:r>
        <w:t xml:space="preserve">PMID 36175679 —</w:t>
      </w:r>
      <w:r>
        <w:t xml:space="preserve"> </w:t>
      </w:r>
      <w:hyperlink r:id="rId49">
        <w:r>
          <w:rPr>
            <w:rStyle w:val="Hyperlink"/>
          </w:rPr>
          <w:t xml:space="preserve">https://pubmed.ncbi.nlm.nih.gov/36175679</w:t>
        </w:r>
      </w:hyperlink>
    </w:p>
  </w:footnote>
  <w:footnote w:id="154">
    <w:p>
      <w:pPr>
        <w:pStyle w:val="FootnoteText"/>
      </w:pPr>
      <w:r>
        <w:rPr>
          <w:rStyle w:val="FootnoteReference"/>
        </w:rPr>
        <w:footnoteRef/>
      </w:r>
      <w:r>
        <w:t xml:space="preserve"> </w:t>
      </w:r>
      <w:r>
        <w:t xml:space="preserve">PMID 39538339 —</w:t>
      </w:r>
      <w:r>
        <w:t xml:space="preserve"> </w:t>
      </w:r>
      <w:hyperlink r:id="rId155">
        <w:r>
          <w:rPr>
            <w:rStyle w:val="Hyperlink"/>
          </w:rPr>
          <w:t xml:space="preserve">https://pubmed.ncbi.nlm.nih.gov/39538339</w:t>
        </w:r>
      </w:hyperlink>
    </w:p>
  </w:footnote>
  <w:footnote w:id="157">
    <w:p>
      <w:pPr>
        <w:pStyle w:val="FootnoteText"/>
      </w:pPr>
      <w:r>
        <w:rPr>
          <w:rStyle w:val="FootnoteReference"/>
        </w:rPr>
        <w:footnoteRef/>
      </w:r>
      <w:r>
        <w:t xml:space="preserve"> </w:t>
      </w:r>
      <w:r>
        <w:t xml:space="preserve">PMID 37903316 —</w:t>
      </w:r>
      <w:r>
        <w:t xml:space="preserve"> </w:t>
      </w:r>
      <w:hyperlink r:id="rId158">
        <w:r>
          <w:rPr>
            <w:rStyle w:val="Hyperlink"/>
          </w:rPr>
          <w:t xml:space="preserve">https://pubmed.ncbi.nlm.nih.gov/37903316</w:t>
        </w:r>
      </w:hyperlink>
    </w:p>
  </w:footnote>
  <w:footnote w:id="159">
    <w:p>
      <w:pPr>
        <w:pStyle w:val="FootnoteText"/>
      </w:pPr>
      <w:r>
        <w:rPr>
          <w:rStyle w:val="FootnoteReference"/>
        </w:rPr>
        <w:footnoteRef/>
      </w:r>
      <w:r>
        <w:t xml:space="preserve"> </w:t>
      </w:r>
      <w:r>
        <w:t xml:space="preserve">PMID 37289928 —</w:t>
      </w:r>
      <w:r>
        <w:t xml:space="preserve"> </w:t>
      </w:r>
      <w:hyperlink r:id="rId160">
        <w:r>
          <w:rPr>
            <w:rStyle w:val="Hyperlink"/>
          </w:rPr>
          <w:t xml:space="preserve">https://pubmed.ncbi.nlm.nih.gov/37289928</w:t>
        </w:r>
      </w:hyperlink>
    </w:p>
  </w:footnote>
  <w:footnote w:id="162">
    <w:p>
      <w:pPr>
        <w:pStyle w:val="FootnoteText"/>
      </w:pPr>
      <w:r>
        <w:rPr>
          <w:rStyle w:val="FootnoteReference"/>
        </w:rPr>
        <w:footnoteRef/>
      </w:r>
      <w:r>
        <w:t xml:space="preserve"> </w:t>
      </w:r>
      <w:r>
        <w:t xml:space="preserve">PMID 36001316 —</w:t>
      </w:r>
      <w:r>
        <w:t xml:space="preserve"> </w:t>
      </w:r>
      <w:hyperlink r:id="rId23">
        <w:r>
          <w:rPr>
            <w:rStyle w:val="Hyperlink"/>
          </w:rPr>
          <w:t xml:space="preserve">https://pubmed.ncbi.nlm.nih.gov/36001316</w:t>
        </w:r>
      </w:hyperlink>
    </w:p>
  </w:footnote>
  <w:footnote w:id="164">
    <w:p>
      <w:pPr>
        <w:pStyle w:val="FootnoteText"/>
      </w:pPr>
      <w:r>
        <w:rPr>
          <w:rStyle w:val="FootnoteReference"/>
        </w:rPr>
        <w:footnoteRef/>
      </w:r>
      <w:r>
        <w:t xml:space="preserve"> </w:t>
      </w:r>
      <w:r>
        <w:t xml:space="preserve">PMID 37708516 —</w:t>
      </w:r>
      <w:r>
        <w:t xml:space="preserve"> </w:t>
      </w:r>
      <w:hyperlink r:id="rId165">
        <w:r>
          <w:rPr>
            <w:rStyle w:val="Hyperlink"/>
          </w:rPr>
          <w:t xml:space="preserve">https://pubmed.ncbi.nlm.nih.gov/37708516</w:t>
        </w:r>
      </w:hyperlink>
    </w:p>
  </w:footnote>
  <w:footnote w:id="166">
    <w:p>
      <w:pPr>
        <w:pStyle w:val="FootnoteText"/>
      </w:pPr>
      <w:r>
        <w:rPr>
          <w:rStyle w:val="FootnoteReference"/>
        </w:rPr>
        <w:footnoteRef/>
      </w:r>
      <w:r>
        <w:t xml:space="preserve"> </w:t>
      </w:r>
      <w:r>
        <w:t xml:space="preserve">PMID 37991759 —</w:t>
      </w:r>
      <w:r>
        <w:t xml:space="preserve"> </w:t>
      </w:r>
      <w:hyperlink r:id="rId167">
        <w:r>
          <w:rPr>
            <w:rStyle w:val="Hyperlink"/>
          </w:rPr>
          <w:t xml:space="preserve">https://pubmed.ncbi.nlm.nih.gov/37991759</w:t>
        </w:r>
      </w:hyperlink>
    </w:p>
  </w:footnote>
  <w:footnote w:id="168">
    <w:p>
      <w:pPr>
        <w:pStyle w:val="FootnoteText"/>
      </w:pPr>
      <w:r>
        <w:rPr>
          <w:rStyle w:val="FootnoteReference"/>
        </w:rPr>
        <w:footnoteRef/>
      </w:r>
      <w:r>
        <w:t xml:space="preserve"> </w:t>
      </w:r>
      <w:r>
        <w:t xml:space="preserve">PMID 35704479 —</w:t>
      </w:r>
      <w:r>
        <w:t xml:space="preserve"> </w:t>
      </w:r>
      <w:hyperlink r:id="rId169">
        <w:r>
          <w:rPr>
            <w:rStyle w:val="Hyperlink"/>
          </w:rPr>
          <w:t xml:space="preserve">https://pubmed.ncbi.nlm.nih.gov/35704479</w:t>
        </w:r>
      </w:hyperlink>
    </w:p>
  </w:footnote>
  <w:footnote w:id="170">
    <w:p>
      <w:pPr>
        <w:pStyle w:val="FootnoteText"/>
      </w:pPr>
      <w:r>
        <w:rPr>
          <w:rStyle w:val="FootnoteReference"/>
        </w:rPr>
        <w:footnoteRef/>
      </w:r>
      <w:r>
        <w:t xml:space="preserve"> </w:t>
      </w:r>
      <w:hyperlink r:id="rId45">
        <w:r>
          <w:rPr>
            <w:rStyle w:val="Hyperlink"/>
          </w:rPr>
          <w:t xml:space="preserve">https://www.nidcr.nih.gov/grants-funding/research-funded-by-nidcr-extramural/ahead</w:t>
        </w:r>
      </w:hyperlink>
    </w:p>
  </w:footnote>
  <w:footnote w:id="171">
    <w:p>
      <w:pPr>
        <w:pStyle w:val="FootnoteText"/>
      </w:pPr>
      <w:r>
        <w:rPr>
          <w:rStyle w:val="FootnoteReference"/>
        </w:rPr>
        <w:footnoteRef/>
      </w:r>
      <w:r>
        <w:t xml:space="preserve"> </w:t>
      </w:r>
      <w:r>
        <w:t xml:space="preserve">PMID 36654656 —</w:t>
      </w:r>
      <w:r>
        <w:t xml:space="preserve"> </w:t>
      </w:r>
      <w:hyperlink r:id="rId172">
        <w:r>
          <w:rPr>
            <w:rStyle w:val="Hyperlink"/>
          </w:rPr>
          <w:t xml:space="preserve">https://pubmed.ncbi.nlm.nih.gov/36654656</w:t>
        </w:r>
      </w:hyperlink>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405"/>
    <w:multiLevelType w:val="multilevel"/>
    <w:tmpl w:val="F2ECD716"/>
    <w:lvl w:ilvl="0">
      <w:start w:val="1"/>
      <w:numFmt w:val="decimal"/>
      <w:lvlText w:val="%1."/>
      <w:lvlJc w:val="left"/>
      <w:pPr>
        <w:tabs>
          <w:tab w:pos="360" w:val="num"/>
        </w:tabs>
        <w:ind w:hanging="360" w:left="360"/>
      </w:pPr>
    </w:lvl>
    <w:lvl w:ilvl="1" w:tentative="1">
      <w:start w:val="1"/>
      <w:numFmt w:val="decimal"/>
      <w:lvlText w:val="%2."/>
      <w:lvlJc w:val="left"/>
      <w:pPr>
        <w:tabs>
          <w:tab w:pos="1080" w:val="num"/>
        </w:tabs>
        <w:ind w:hanging="360" w:left="1080"/>
      </w:pPr>
    </w:lvl>
    <w:lvl w:ilvl="2" w:tentative="1">
      <w:start w:val="1"/>
      <w:numFmt w:val="decimal"/>
      <w:lvlText w:val="%3."/>
      <w:lvlJc w:val="left"/>
      <w:pPr>
        <w:tabs>
          <w:tab w:pos="1800" w:val="num"/>
        </w:tabs>
        <w:ind w:hanging="360" w:left="1800"/>
      </w:pPr>
    </w:lvl>
    <w:lvl w:ilvl="3" w:tentative="1">
      <w:start w:val="1"/>
      <w:numFmt w:val="decimal"/>
      <w:lvlText w:val="%4."/>
      <w:lvlJc w:val="left"/>
      <w:pPr>
        <w:tabs>
          <w:tab w:pos="2520" w:val="num"/>
        </w:tabs>
        <w:ind w:hanging="360" w:left="2520"/>
      </w:pPr>
    </w:lvl>
    <w:lvl w:ilvl="4" w:tentative="1">
      <w:start w:val="1"/>
      <w:numFmt w:val="decimal"/>
      <w:lvlText w:val="%5."/>
      <w:lvlJc w:val="left"/>
      <w:pPr>
        <w:tabs>
          <w:tab w:pos="3240" w:val="num"/>
        </w:tabs>
        <w:ind w:hanging="360" w:left="3240"/>
      </w:pPr>
    </w:lvl>
    <w:lvl w:ilvl="5" w:tentative="1">
      <w:start w:val="1"/>
      <w:numFmt w:val="decimal"/>
      <w:lvlText w:val="%6."/>
      <w:lvlJc w:val="left"/>
      <w:pPr>
        <w:tabs>
          <w:tab w:pos="3960" w:val="num"/>
        </w:tabs>
        <w:ind w:hanging="360" w:left="3960"/>
      </w:pPr>
    </w:lvl>
    <w:lvl w:ilvl="6" w:tentative="1">
      <w:start w:val="1"/>
      <w:numFmt w:val="decimal"/>
      <w:lvlText w:val="%7."/>
      <w:lvlJc w:val="left"/>
      <w:pPr>
        <w:tabs>
          <w:tab w:pos="4680" w:val="num"/>
        </w:tabs>
        <w:ind w:hanging="360" w:left="4680"/>
      </w:pPr>
    </w:lvl>
    <w:lvl w:ilvl="7" w:tentative="1">
      <w:start w:val="1"/>
      <w:numFmt w:val="decimal"/>
      <w:lvlText w:val="%8."/>
      <w:lvlJc w:val="left"/>
      <w:pPr>
        <w:tabs>
          <w:tab w:pos="5400" w:val="num"/>
        </w:tabs>
        <w:ind w:hanging="360" w:left="5400"/>
      </w:pPr>
    </w:lvl>
    <w:lvl w:ilvl="8" w:tentative="1">
      <w:start w:val="1"/>
      <w:numFmt w:val="decimal"/>
      <w:lvlText w:val="%9."/>
      <w:lvlJc w:val="left"/>
      <w:pPr>
        <w:tabs>
          <w:tab w:pos="6120" w:val="num"/>
        </w:tabs>
        <w:ind w:hanging="360" w:left="6120"/>
      </w:pPr>
    </w:lvl>
  </w:abstractNum>
  <w:abstractNum w15:restartNumberingAfterBreak="0" w:abstractNumId="1">
    <w:nsid w:val="1D0C09C3"/>
    <w:multiLevelType w:val="multilevel"/>
    <w:tmpl w:val="386E570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426602B9"/>
    <w:multiLevelType w:val="multilevel"/>
    <w:tmpl w:val="5B52D94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4CD95EB1"/>
    <w:multiLevelType w:val="multilevel"/>
    <w:tmpl w:val="EAAC8A9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
    <w:nsid w:val="736D6DEE"/>
    <w:multiLevelType w:val="multilevel"/>
    <w:tmpl w:val="F2ECD71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48683342" w:numId="1">
    <w:abstractNumId w:val="3"/>
  </w:num>
  <w:num w16cid:durableId="2145081783" w:numId="2">
    <w:abstractNumId w:val="4"/>
  </w:num>
  <w:num w16cid:durableId="695812795" w:numId="3">
    <w:abstractNumId w:val="0"/>
  </w:num>
  <w:num w16cid:durableId="1274676838" w:numId="4">
    <w:abstractNumId w:val="2"/>
  </w:num>
  <w:num w16cid:durableId="418017339" w:numId="5">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160"/>
    <w:rsid w:val="00000BE3"/>
    <w:rsid w:val="00005FF4"/>
    <w:rsid w:val="00007C4E"/>
    <w:rsid w:val="00010A2E"/>
    <w:rsid w:val="000123E5"/>
    <w:rsid w:val="00016B16"/>
    <w:rsid w:val="00017DCA"/>
    <w:rsid w:val="00022BBF"/>
    <w:rsid w:val="000240FA"/>
    <w:rsid w:val="00025991"/>
    <w:rsid w:val="0003321F"/>
    <w:rsid w:val="00035FB1"/>
    <w:rsid w:val="00041201"/>
    <w:rsid w:val="00044B72"/>
    <w:rsid w:val="0004526E"/>
    <w:rsid w:val="00047C0A"/>
    <w:rsid w:val="00060DA1"/>
    <w:rsid w:val="000611CB"/>
    <w:rsid w:val="00061DDC"/>
    <w:rsid w:val="000641C6"/>
    <w:rsid w:val="00066CC7"/>
    <w:rsid w:val="00073467"/>
    <w:rsid w:val="0007430E"/>
    <w:rsid w:val="00080794"/>
    <w:rsid w:val="00083608"/>
    <w:rsid w:val="00087A22"/>
    <w:rsid w:val="000937EC"/>
    <w:rsid w:val="00093DB6"/>
    <w:rsid w:val="000A2F30"/>
    <w:rsid w:val="000A345C"/>
    <w:rsid w:val="000A3464"/>
    <w:rsid w:val="000A36DB"/>
    <w:rsid w:val="000A7111"/>
    <w:rsid w:val="000B5859"/>
    <w:rsid w:val="000B6A6B"/>
    <w:rsid w:val="000C2ADF"/>
    <w:rsid w:val="000C64A0"/>
    <w:rsid w:val="000D4659"/>
    <w:rsid w:val="000D62AF"/>
    <w:rsid w:val="000D74D5"/>
    <w:rsid w:val="000E41A9"/>
    <w:rsid w:val="000F6BAA"/>
    <w:rsid w:val="00104AEA"/>
    <w:rsid w:val="00106619"/>
    <w:rsid w:val="00114BE1"/>
    <w:rsid w:val="00114E77"/>
    <w:rsid w:val="001157E7"/>
    <w:rsid w:val="00117056"/>
    <w:rsid w:val="001172EF"/>
    <w:rsid w:val="00120470"/>
    <w:rsid w:val="00120515"/>
    <w:rsid w:val="0012329A"/>
    <w:rsid w:val="001232D9"/>
    <w:rsid w:val="00123429"/>
    <w:rsid w:val="00130469"/>
    <w:rsid w:val="001328E3"/>
    <w:rsid w:val="00134D75"/>
    <w:rsid w:val="001354ED"/>
    <w:rsid w:val="00145011"/>
    <w:rsid w:val="001509C8"/>
    <w:rsid w:val="00150C61"/>
    <w:rsid w:val="001537BD"/>
    <w:rsid w:val="00155A4D"/>
    <w:rsid w:val="00160F18"/>
    <w:rsid w:val="00163D07"/>
    <w:rsid w:val="00166896"/>
    <w:rsid w:val="00166CC5"/>
    <w:rsid w:val="00171BDF"/>
    <w:rsid w:val="00172676"/>
    <w:rsid w:val="00173BD5"/>
    <w:rsid w:val="00182A2D"/>
    <w:rsid w:val="00183603"/>
    <w:rsid w:val="0018627F"/>
    <w:rsid w:val="00190ADB"/>
    <w:rsid w:val="00193DC3"/>
    <w:rsid w:val="00196BC6"/>
    <w:rsid w:val="001976D6"/>
    <w:rsid w:val="00197989"/>
    <w:rsid w:val="001A04A8"/>
    <w:rsid w:val="001A1591"/>
    <w:rsid w:val="001A7E5F"/>
    <w:rsid w:val="001B4E52"/>
    <w:rsid w:val="001C22CB"/>
    <w:rsid w:val="001C3F80"/>
    <w:rsid w:val="001C71A1"/>
    <w:rsid w:val="001C78D9"/>
    <w:rsid w:val="001C7E54"/>
    <w:rsid w:val="001D54BE"/>
    <w:rsid w:val="001D5F12"/>
    <w:rsid w:val="001D6DF3"/>
    <w:rsid w:val="001F287B"/>
    <w:rsid w:val="001F2B68"/>
    <w:rsid w:val="001F36DB"/>
    <w:rsid w:val="001F791D"/>
    <w:rsid w:val="001F7E75"/>
    <w:rsid w:val="00214658"/>
    <w:rsid w:val="0021538C"/>
    <w:rsid w:val="00217A5A"/>
    <w:rsid w:val="00217D04"/>
    <w:rsid w:val="00230179"/>
    <w:rsid w:val="00231181"/>
    <w:rsid w:val="0023590C"/>
    <w:rsid w:val="002449E8"/>
    <w:rsid w:val="00244AC2"/>
    <w:rsid w:val="002450D5"/>
    <w:rsid w:val="002504C8"/>
    <w:rsid w:val="00262264"/>
    <w:rsid w:val="002679F8"/>
    <w:rsid w:val="002712A9"/>
    <w:rsid w:val="00276204"/>
    <w:rsid w:val="00277792"/>
    <w:rsid w:val="002950BC"/>
    <w:rsid w:val="002A0EC5"/>
    <w:rsid w:val="002A1B45"/>
    <w:rsid w:val="002A20F6"/>
    <w:rsid w:val="002A22DA"/>
    <w:rsid w:val="002A37F2"/>
    <w:rsid w:val="002A6E68"/>
    <w:rsid w:val="002B1211"/>
    <w:rsid w:val="002B27FF"/>
    <w:rsid w:val="002C0E46"/>
    <w:rsid w:val="002C3596"/>
    <w:rsid w:val="002C3B42"/>
    <w:rsid w:val="002C6499"/>
    <w:rsid w:val="002D4695"/>
    <w:rsid w:val="002D5625"/>
    <w:rsid w:val="002F0386"/>
    <w:rsid w:val="002F24B2"/>
    <w:rsid w:val="002F45E8"/>
    <w:rsid w:val="002F5E79"/>
    <w:rsid w:val="002F6899"/>
    <w:rsid w:val="003019AF"/>
    <w:rsid w:val="0030317E"/>
    <w:rsid w:val="00303597"/>
    <w:rsid w:val="00306A66"/>
    <w:rsid w:val="00310B9B"/>
    <w:rsid w:val="00311FC5"/>
    <w:rsid w:val="003132FC"/>
    <w:rsid w:val="00317DEA"/>
    <w:rsid w:val="00320445"/>
    <w:rsid w:val="003205B4"/>
    <w:rsid w:val="003262A4"/>
    <w:rsid w:val="00326AD5"/>
    <w:rsid w:val="003300FE"/>
    <w:rsid w:val="0033093E"/>
    <w:rsid w:val="0033286B"/>
    <w:rsid w:val="0033431C"/>
    <w:rsid w:val="0033474F"/>
    <w:rsid w:val="0033511C"/>
    <w:rsid w:val="00336F5F"/>
    <w:rsid w:val="00346A83"/>
    <w:rsid w:val="00346F68"/>
    <w:rsid w:val="00353F00"/>
    <w:rsid w:val="00361EDC"/>
    <w:rsid w:val="00363E8A"/>
    <w:rsid w:val="003651B6"/>
    <w:rsid w:val="0036556D"/>
    <w:rsid w:val="003657D9"/>
    <w:rsid w:val="003657FD"/>
    <w:rsid w:val="00366656"/>
    <w:rsid w:val="00370170"/>
    <w:rsid w:val="00372A78"/>
    <w:rsid w:val="0037395B"/>
    <w:rsid w:val="00375AA7"/>
    <w:rsid w:val="003763FB"/>
    <w:rsid w:val="00383E44"/>
    <w:rsid w:val="0038496A"/>
    <w:rsid w:val="003858A2"/>
    <w:rsid w:val="003921EC"/>
    <w:rsid w:val="00394C65"/>
    <w:rsid w:val="003950C4"/>
    <w:rsid w:val="003A1249"/>
    <w:rsid w:val="003A1FB3"/>
    <w:rsid w:val="003A555E"/>
    <w:rsid w:val="003B460C"/>
    <w:rsid w:val="003B7768"/>
    <w:rsid w:val="003C2C6D"/>
    <w:rsid w:val="003C6CD8"/>
    <w:rsid w:val="003C78AF"/>
    <w:rsid w:val="003D052C"/>
    <w:rsid w:val="003D2CEF"/>
    <w:rsid w:val="003D58E5"/>
    <w:rsid w:val="003D78D7"/>
    <w:rsid w:val="003E1551"/>
    <w:rsid w:val="003E1EC4"/>
    <w:rsid w:val="003E6CF0"/>
    <w:rsid w:val="003E78FB"/>
    <w:rsid w:val="003F0FC8"/>
    <w:rsid w:val="003F1199"/>
    <w:rsid w:val="003F61B7"/>
    <w:rsid w:val="003F76E4"/>
    <w:rsid w:val="003F799D"/>
    <w:rsid w:val="004037BA"/>
    <w:rsid w:val="00404050"/>
    <w:rsid w:val="00406061"/>
    <w:rsid w:val="004110CA"/>
    <w:rsid w:val="004173CF"/>
    <w:rsid w:val="004207FD"/>
    <w:rsid w:val="00420DF4"/>
    <w:rsid w:val="004245D1"/>
    <w:rsid w:val="00424CA9"/>
    <w:rsid w:val="00426CF5"/>
    <w:rsid w:val="004340F1"/>
    <w:rsid w:val="00434AC8"/>
    <w:rsid w:val="00435D46"/>
    <w:rsid w:val="00437BFE"/>
    <w:rsid w:val="0044015B"/>
    <w:rsid w:val="00440DD7"/>
    <w:rsid w:val="00442BF3"/>
    <w:rsid w:val="00442F6A"/>
    <w:rsid w:val="00446700"/>
    <w:rsid w:val="00455C12"/>
    <w:rsid w:val="004565E6"/>
    <w:rsid w:val="00457F7C"/>
    <w:rsid w:val="004602F3"/>
    <w:rsid w:val="0046236C"/>
    <w:rsid w:val="00466AE7"/>
    <w:rsid w:val="004716CB"/>
    <w:rsid w:val="004737E6"/>
    <w:rsid w:val="004760BB"/>
    <w:rsid w:val="00477F92"/>
    <w:rsid w:val="00481F43"/>
    <w:rsid w:val="00482FAD"/>
    <w:rsid w:val="0048326E"/>
    <w:rsid w:val="00484EB0"/>
    <w:rsid w:val="004900C4"/>
    <w:rsid w:val="00493C6D"/>
    <w:rsid w:val="00495B80"/>
    <w:rsid w:val="004A1383"/>
    <w:rsid w:val="004A1473"/>
    <w:rsid w:val="004B0D00"/>
    <w:rsid w:val="004B173F"/>
    <w:rsid w:val="004B7345"/>
    <w:rsid w:val="004C00B2"/>
    <w:rsid w:val="004C0325"/>
    <w:rsid w:val="004C58AF"/>
    <w:rsid w:val="004D1020"/>
    <w:rsid w:val="004D21EE"/>
    <w:rsid w:val="004E27E1"/>
    <w:rsid w:val="004E3160"/>
    <w:rsid w:val="004E3D55"/>
    <w:rsid w:val="004E4BD6"/>
    <w:rsid w:val="004E53BF"/>
    <w:rsid w:val="004F4112"/>
    <w:rsid w:val="004F7090"/>
    <w:rsid w:val="004F77D7"/>
    <w:rsid w:val="005002FE"/>
    <w:rsid w:val="00500C8C"/>
    <w:rsid w:val="00504896"/>
    <w:rsid w:val="00506537"/>
    <w:rsid w:val="005121AB"/>
    <w:rsid w:val="0051659B"/>
    <w:rsid w:val="00516819"/>
    <w:rsid w:val="0052036F"/>
    <w:rsid w:val="00520FF4"/>
    <w:rsid w:val="00521D41"/>
    <w:rsid w:val="00526747"/>
    <w:rsid w:val="005268E7"/>
    <w:rsid w:val="005333CB"/>
    <w:rsid w:val="0053370E"/>
    <w:rsid w:val="00533CEE"/>
    <w:rsid w:val="00534F00"/>
    <w:rsid w:val="005362A9"/>
    <w:rsid w:val="00543644"/>
    <w:rsid w:val="00546395"/>
    <w:rsid w:val="00546A25"/>
    <w:rsid w:val="00550033"/>
    <w:rsid w:val="00552F7F"/>
    <w:rsid w:val="0055495B"/>
    <w:rsid w:val="00556FA4"/>
    <w:rsid w:val="0056335E"/>
    <w:rsid w:val="00577247"/>
    <w:rsid w:val="00585E9B"/>
    <w:rsid w:val="00586430"/>
    <w:rsid w:val="005874C4"/>
    <w:rsid w:val="00591FA7"/>
    <w:rsid w:val="00594014"/>
    <w:rsid w:val="005A1073"/>
    <w:rsid w:val="005A1ADD"/>
    <w:rsid w:val="005A1B7E"/>
    <w:rsid w:val="005A2BE7"/>
    <w:rsid w:val="005A3ABA"/>
    <w:rsid w:val="005A5D98"/>
    <w:rsid w:val="005B0C83"/>
    <w:rsid w:val="005B18EA"/>
    <w:rsid w:val="005C10F8"/>
    <w:rsid w:val="005C35B7"/>
    <w:rsid w:val="005C50D5"/>
    <w:rsid w:val="005C5160"/>
    <w:rsid w:val="005C6FB1"/>
    <w:rsid w:val="005D15CD"/>
    <w:rsid w:val="005D3F97"/>
    <w:rsid w:val="005E0C34"/>
    <w:rsid w:val="005E1AE3"/>
    <w:rsid w:val="005E7494"/>
    <w:rsid w:val="005F007F"/>
    <w:rsid w:val="005F73B3"/>
    <w:rsid w:val="00600229"/>
    <w:rsid w:val="006005B0"/>
    <w:rsid w:val="00602913"/>
    <w:rsid w:val="006029C3"/>
    <w:rsid w:val="00603256"/>
    <w:rsid w:val="00604F38"/>
    <w:rsid w:val="0060584C"/>
    <w:rsid w:val="0060691E"/>
    <w:rsid w:val="00610F37"/>
    <w:rsid w:val="00612B97"/>
    <w:rsid w:val="00614884"/>
    <w:rsid w:val="00617DF7"/>
    <w:rsid w:val="00622ED1"/>
    <w:rsid w:val="0062476B"/>
    <w:rsid w:val="006248BD"/>
    <w:rsid w:val="006271D7"/>
    <w:rsid w:val="0062745B"/>
    <w:rsid w:val="0063186D"/>
    <w:rsid w:val="00632824"/>
    <w:rsid w:val="006334FB"/>
    <w:rsid w:val="0063450E"/>
    <w:rsid w:val="0064414C"/>
    <w:rsid w:val="00655C37"/>
    <w:rsid w:val="00660051"/>
    <w:rsid w:val="00660C76"/>
    <w:rsid w:val="00661B4E"/>
    <w:rsid w:val="006646E2"/>
    <w:rsid w:val="00665845"/>
    <w:rsid w:val="006663F2"/>
    <w:rsid w:val="0067314C"/>
    <w:rsid w:val="00675402"/>
    <w:rsid w:val="00677DFF"/>
    <w:rsid w:val="0068259D"/>
    <w:rsid w:val="006826F1"/>
    <w:rsid w:val="00682775"/>
    <w:rsid w:val="00683AF0"/>
    <w:rsid w:val="006844A0"/>
    <w:rsid w:val="00684749"/>
    <w:rsid w:val="00687E62"/>
    <w:rsid w:val="0069039F"/>
    <w:rsid w:val="0069088A"/>
    <w:rsid w:val="00690A5D"/>
    <w:rsid w:val="00696572"/>
    <w:rsid w:val="006967A3"/>
    <w:rsid w:val="006A0937"/>
    <w:rsid w:val="006A0D5F"/>
    <w:rsid w:val="006A191B"/>
    <w:rsid w:val="006A696F"/>
    <w:rsid w:val="006A6B88"/>
    <w:rsid w:val="006A6E89"/>
    <w:rsid w:val="006B3623"/>
    <w:rsid w:val="006C42C4"/>
    <w:rsid w:val="006C53E4"/>
    <w:rsid w:val="006C7BE1"/>
    <w:rsid w:val="006D09A1"/>
    <w:rsid w:val="006D1729"/>
    <w:rsid w:val="006D174E"/>
    <w:rsid w:val="006D4122"/>
    <w:rsid w:val="006D48EE"/>
    <w:rsid w:val="006E2AF5"/>
    <w:rsid w:val="006E2F8D"/>
    <w:rsid w:val="006F5A6A"/>
    <w:rsid w:val="006F7536"/>
    <w:rsid w:val="006F7B6B"/>
    <w:rsid w:val="00702DDE"/>
    <w:rsid w:val="00703F20"/>
    <w:rsid w:val="007128A1"/>
    <w:rsid w:val="007166EE"/>
    <w:rsid w:val="0071673E"/>
    <w:rsid w:val="00722DF7"/>
    <w:rsid w:val="00731C45"/>
    <w:rsid w:val="007328AB"/>
    <w:rsid w:val="00734E3C"/>
    <w:rsid w:val="007358F6"/>
    <w:rsid w:val="007416FF"/>
    <w:rsid w:val="00741EC2"/>
    <w:rsid w:val="007446F6"/>
    <w:rsid w:val="00744DDE"/>
    <w:rsid w:val="007471E8"/>
    <w:rsid w:val="007503D9"/>
    <w:rsid w:val="00752FD9"/>
    <w:rsid w:val="00755476"/>
    <w:rsid w:val="007563E5"/>
    <w:rsid w:val="00756D53"/>
    <w:rsid w:val="007571CB"/>
    <w:rsid w:val="00760723"/>
    <w:rsid w:val="00761552"/>
    <w:rsid w:val="00765233"/>
    <w:rsid w:val="00767251"/>
    <w:rsid w:val="00767A1D"/>
    <w:rsid w:val="007714A0"/>
    <w:rsid w:val="0077307A"/>
    <w:rsid w:val="00780CD2"/>
    <w:rsid w:val="00780F06"/>
    <w:rsid w:val="00781325"/>
    <w:rsid w:val="00782063"/>
    <w:rsid w:val="00782442"/>
    <w:rsid w:val="0078556D"/>
    <w:rsid w:val="00787C40"/>
    <w:rsid w:val="00791809"/>
    <w:rsid w:val="007922DD"/>
    <w:rsid w:val="007923EC"/>
    <w:rsid w:val="00792710"/>
    <w:rsid w:val="007945BB"/>
    <w:rsid w:val="0079615A"/>
    <w:rsid w:val="007A4C68"/>
    <w:rsid w:val="007B588A"/>
    <w:rsid w:val="007B7EF4"/>
    <w:rsid w:val="007C0918"/>
    <w:rsid w:val="007C6103"/>
    <w:rsid w:val="007C77FC"/>
    <w:rsid w:val="007D1DBA"/>
    <w:rsid w:val="007D5571"/>
    <w:rsid w:val="007D691B"/>
    <w:rsid w:val="007E2F20"/>
    <w:rsid w:val="007E46B6"/>
    <w:rsid w:val="007E597B"/>
    <w:rsid w:val="007F3409"/>
    <w:rsid w:val="007F48E3"/>
    <w:rsid w:val="007F57EA"/>
    <w:rsid w:val="00803802"/>
    <w:rsid w:val="00805F79"/>
    <w:rsid w:val="008078D7"/>
    <w:rsid w:val="00807CDA"/>
    <w:rsid w:val="0081139B"/>
    <w:rsid w:val="0081556E"/>
    <w:rsid w:val="00820929"/>
    <w:rsid w:val="00822F0D"/>
    <w:rsid w:val="00832CCB"/>
    <w:rsid w:val="00833EDA"/>
    <w:rsid w:val="00842E7F"/>
    <w:rsid w:val="00843B23"/>
    <w:rsid w:val="00845883"/>
    <w:rsid w:val="00845C51"/>
    <w:rsid w:val="00854F6E"/>
    <w:rsid w:val="00857472"/>
    <w:rsid w:val="00857F3D"/>
    <w:rsid w:val="00857FF4"/>
    <w:rsid w:val="00860B2A"/>
    <w:rsid w:val="008614CF"/>
    <w:rsid w:val="00862407"/>
    <w:rsid w:val="0086349F"/>
    <w:rsid w:val="008656EA"/>
    <w:rsid w:val="008707AA"/>
    <w:rsid w:val="00876927"/>
    <w:rsid w:val="00877679"/>
    <w:rsid w:val="00877C82"/>
    <w:rsid w:val="00877D31"/>
    <w:rsid w:val="008801D4"/>
    <w:rsid w:val="00882519"/>
    <w:rsid w:val="00883A43"/>
    <w:rsid w:val="00884AA4"/>
    <w:rsid w:val="008853FE"/>
    <w:rsid w:val="008859D7"/>
    <w:rsid w:val="00887AA8"/>
    <w:rsid w:val="00891C08"/>
    <w:rsid w:val="008A151C"/>
    <w:rsid w:val="008A35E0"/>
    <w:rsid w:val="008B35DF"/>
    <w:rsid w:val="008B40DF"/>
    <w:rsid w:val="008B4B9A"/>
    <w:rsid w:val="008B5653"/>
    <w:rsid w:val="008C07C6"/>
    <w:rsid w:val="008C1391"/>
    <w:rsid w:val="008C1F61"/>
    <w:rsid w:val="008C2A8B"/>
    <w:rsid w:val="008C3A8F"/>
    <w:rsid w:val="008C4240"/>
    <w:rsid w:val="008D188E"/>
    <w:rsid w:val="008D3AB6"/>
    <w:rsid w:val="008D6503"/>
    <w:rsid w:val="008E1168"/>
    <w:rsid w:val="008E5A47"/>
    <w:rsid w:val="008F3344"/>
    <w:rsid w:val="00900D17"/>
    <w:rsid w:val="00903070"/>
    <w:rsid w:val="00905A74"/>
    <w:rsid w:val="00906AD4"/>
    <w:rsid w:val="009116A2"/>
    <w:rsid w:val="00911A8B"/>
    <w:rsid w:val="0091788B"/>
    <w:rsid w:val="00922106"/>
    <w:rsid w:val="00923B00"/>
    <w:rsid w:val="00924848"/>
    <w:rsid w:val="00925367"/>
    <w:rsid w:val="00944412"/>
    <w:rsid w:val="00947D5C"/>
    <w:rsid w:val="0095272C"/>
    <w:rsid w:val="00955A1B"/>
    <w:rsid w:val="00956413"/>
    <w:rsid w:val="00962178"/>
    <w:rsid w:val="00966021"/>
    <w:rsid w:val="009710E7"/>
    <w:rsid w:val="00973411"/>
    <w:rsid w:val="00982C7C"/>
    <w:rsid w:val="00983643"/>
    <w:rsid w:val="00983DF8"/>
    <w:rsid w:val="009844EC"/>
    <w:rsid w:val="00985C73"/>
    <w:rsid w:val="0098708B"/>
    <w:rsid w:val="009962BE"/>
    <w:rsid w:val="009A6299"/>
    <w:rsid w:val="009C0AA0"/>
    <w:rsid w:val="009C0C3F"/>
    <w:rsid w:val="009C0E19"/>
    <w:rsid w:val="009D07C4"/>
    <w:rsid w:val="009D2331"/>
    <w:rsid w:val="009D5F8B"/>
    <w:rsid w:val="009D7EE8"/>
    <w:rsid w:val="009E14A5"/>
    <w:rsid w:val="009E1793"/>
    <w:rsid w:val="009E4430"/>
    <w:rsid w:val="009E46AF"/>
    <w:rsid w:val="009E4C4F"/>
    <w:rsid w:val="009E6DF6"/>
    <w:rsid w:val="009F3C10"/>
    <w:rsid w:val="009F5C9A"/>
    <w:rsid w:val="00A00818"/>
    <w:rsid w:val="00A01F73"/>
    <w:rsid w:val="00A02BC4"/>
    <w:rsid w:val="00A02DD8"/>
    <w:rsid w:val="00A0573A"/>
    <w:rsid w:val="00A062C2"/>
    <w:rsid w:val="00A157DE"/>
    <w:rsid w:val="00A16AC0"/>
    <w:rsid w:val="00A20C74"/>
    <w:rsid w:val="00A22277"/>
    <w:rsid w:val="00A24974"/>
    <w:rsid w:val="00A25CD3"/>
    <w:rsid w:val="00A32E1E"/>
    <w:rsid w:val="00A34E4C"/>
    <w:rsid w:val="00A41CF4"/>
    <w:rsid w:val="00A447D5"/>
    <w:rsid w:val="00A45385"/>
    <w:rsid w:val="00A52AA3"/>
    <w:rsid w:val="00A53800"/>
    <w:rsid w:val="00A56D8F"/>
    <w:rsid w:val="00A651DA"/>
    <w:rsid w:val="00A74650"/>
    <w:rsid w:val="00A7660B"/>
    <w:rsid w:val="00A7682A"/>
    <w:rsid w:val="00A776C8"/>
    <w:rsid w:val="00A77915"/>
    <w:rsid w:val="00A81020"/>
    <w:rsid w:val="00A83363"/>
    <w:rsid w:val="00A83E3B"/>
    <w:rsid w:val="00A85265"/>
    <w:rsid w:val="00A85BE2"/>
    <w:rsid w:val="00A917F9"/>
    <w:rsid w:val="00A940F8"/>
    <w:rsid w:val="00A94327"/>
    <w:rsid w:val="00A94637"/>
    <w:rsid w:val="00A9469C"/>
    <w:rsid w:val="00A95B01"/>
    <w:rsid w:val="00A96B37"/>
    <w:rsid w:val="00AA7DA9"/>
    <w:rsid w:val="00AB0083"/>
    <w:rsid w:val="00AB22CE"/>
    <w:rsid w:val="00AB23EA"/>
    <w:rsid w:val="00AB2A26"/>
    <w:rsid w:val="00AC0020"/>
    <w:rsid w:val="00AC00D4"/>
    <w:rsid w:val="00AC199F"/>
    <w:rsid w:val="00AC1FDA"/>
    <w:rsid w:val="00AC5603"/>
    <w:rsid w:val="00AC77D0"/>
    <w:rsid w:val="00AD1D6A"/>
    <w:rsid w:val="00AD5CD2"/>
    <w:rsid w:val="00AE1131"/>
    <w:rsid w:val="00AE1F95"/>
    <w:rsid w:val="00AE618B"/>
    <w:rsid w:val="00AF1731"/>
    <w:rsid w:val="00AF6EED"/>
    <w:rsid w:val="00B01044"/>
    <w:rsid w:val="00B01241"/>
    <w:rsid w:val="00B05111"/>
    <w:rsid w:val="00B069FA"/>
    <w:rsid w:val="00B07913"/>
    <w:rsid w:val="00B113FE"/>
    <w:rsid w:val="00B175EF"/>
    <w:rsid w:val="00B20F34"/>
    <w:rsid w:val="00B2183C"/>
    <w:rsid w:val="00B23929"/>
    <w:rsid w:val="00B23C25"/>
    <w:rsid w:val="00B30282"/>
    <w:rsid w:val="00B353A6"/>
    <w:rsid w:val="00B37CEB"/>
    <w:rsid w:val="00B40BAF"/>
    <w:rsid w:val="00B413C2"/>
    <w:rsid w:val="00B4156C"/>
    <w:rsid w:val="00B417AA"/>
    <w:rsid w:val="00B45695"/>
    <w:rsid w:val="00B47947"/>
    <w:rsid w:val="00B47C02"/>
    <w:rsid w:val="00B51A2B"/>
    <w:rsid w:val="00B52625"/>
    <w:rsid w:val="00B53A70"/>
    <w:rsid w:val="00B53DAA"/>
    <w:rsid w:val="00B5765E"/>
    <w:rsid w:val="00B63F3B"/>
    <w:rsid w:val="00B65FA8"/>
    <w:rsid w:val="00B678F5"/>
    <w:rsid w:val="00B70ABF"/>
    <w:rsid w:val="00B756FA"/>
    <w:rsid w:val="00B81E19"/>
    <w:rsid w:val="00B81EBB"/>
    <w:rsid w:val="00B8451A"/>
    <w:rsid w:val="00B916F3"/>
    <w:rsid w:val="00B921C5"/>
    <w:rsid w:val="00B93B56"/>
    <w:rsid w:val="00BA12C7"/>
    <w:rsid w:val="00BA3EED"/>
    <w:rsid w:val="00BA6832"/>
    <w:rsid w:val="00BB06AF"/>
    <w:rsid w:val="00BB35E7"/>
    <w:rsid w:val="00BB3C57"/>
    <w:rsid w:val="00BB4AA6"/>
    <w:rsid w:val="00BB4D5F"/>
    <w:rsid w:val="00BC0472"/>
    <w:rsid w:val="00BC574F"/>
    <w:rsid w:val="00BD3887"/>
    <w:rsid w:val="00BE260A"/>
    <w:rsid w:val="00BE468B"/>
    <w:rsid w:val="00BE5834"/>
    <w:rsid w:val="00BE662E"/>
    <w:rsid w:val="00BF2994"/>
    <w:rsid w:val="00BF7DED"/>
    <w:rsid w:val="00C02EED"/>
    <w:rsid w:val="00C038CC"/>
    <w:rsid w:val="00C067B1"/>
    <w:rsid w:val="00C126F1"/>
    <w:rsid w:val="00C1440D"/>
    <w:rsid w:val="00C15A31"/>
    <w:rsid w:val="00C16BE1"/>
    <w:rsid w:val="00C22A6C"/>
    <w:rsid w:val="00C231EA"/>
    <w:rsid w:val="00C27A59"/>
    <w:rsid w:val="00C326DB"/>
    <w:rsid w:val="00C35D9B"/>
    <w:rsid w:val="00C378AE"/>
    <w:rsid w:val="00C40F54"/>
    <w:rsid w:val="00C4269D"/>
    <w:rsid w:val="00C55F5C"/>
    <w:rsid w:val="00C628F5"/>
    <w:rsid w:val="00C63291"/>
    <w:rsid w:val="00C63724"/>
    <w:rsid w:val="00C648D9"/>
    <w:rsid w:val="00C67132"/>
    <w:rsid w:val="00C74D0A"/>
    <w:rsid w:val="00C75B1F"/>
    <w:rsid w:val="00C855D2"/>
    <w:rsid w:val="00C9226C"/>
    <w:rsid w:val="00C92E26"/>
    <w:rsid w:val="00C95208"/>
    <w:rsid w:val="00CA1250"/>
    <w:rsid w:val="00CA1F00"/>
    <w:rsid w:val="00CA2BB1"/>
    <w:rsid w:val="00CA49EB"/>
    <w:rsid w:val="00CA6207"/>
    <w:rsid w:val="00CA6E2F"/>
    <w:rsid w:val="00CB3031"/>
    <w:rsid w:val="00CB3F8D"/>
    <w:rsid w:val="00CB4DA8"/>
    <w:rsid w:val="00CB5981"/>
    <w:rsid w:val="00CC6EE8"/>
    <w:rsid w:val="00CD05C5"/>
    <w:rsid w:val="00CD0D47"/>
    <w:rsid w:val="00CD7458"/>
    <w:rsid w:val="00CD7474"/>
    <w:rsid w:val="00CD7F44"/>
    <w:rsid w:val="00CE5873"/>
    <w:rsid w:val="00CE6156"/>
    <w:rsid w:val="00CF0A95"/>
    <w:rsid w:val="00CF2A89"/>
    <w:rsid w:val="00CF36FC"/>
    <w:rsid w:val="00CF4D22"/>
    <w:rsid w:val="00CF7385"/>
    <w:rsid w:val="00CF739E"/>
    <w:rsid w:val="00D034B5"/>
    <w:rsid w:val="00D0511C"/>
    <w:rsid w:val="00D07777"/>
    <w:rsid w:val="00D1706A"/>
    <w:rsid w:val="00D21A17"/>
    <w:rsid w:val="00D22EAB"/>
    <w:rsid w:val="00D25E2E"/>
    <w:rsid w:val="00D25F53"/>
    <w:rsid w:val="00D277AA"/>
    <w:rsid w:val="00D27D82"/>
    <w:rsid w:val="00D303A2"/>
    <w:rsid w:val="00D31415"/>
    <w:rsid w:val="00D341D1"/>
    <w:rsid w:val="00D35E6A"/>
    <w:rsid w:val="00D36066"/>
    <w:rsid w:val="00D3706D"/>
    <w:rsid w:val="00D4320C"/>
    <w:rsid w:val="00D45D6B"/>
    <w:rsid w:val="00D475E1"/>
    <w:rsid w:val="00D50DBE"/>
    <w:rsid w:val="00D51209"/>
    <w:rsid w:val="00D53753"/>
    <w:rsid w:val="00D5769D"/>
    <w:rsid w:val="00D648B3"/>
    <w:rsid w:val="00D64FC2"/>
    <w:rsid w:val="00D709A9"/>
    <w:rsid w:val="00D71B9D"/>
    <w:rsid w:val="00D76B29"/>
    <w:rsid w:val="00D81625"/>
    <w:rsid w:val="00D83D78"/>
    <w:rsid w:val="00D87E8B"/>
    <w:rsid w:val="00D90E4E"/>
    <w:rsid w:val="00D9112B"/>
    <w:rsid w:val="00D93CD6"/>
    <w:rsid w:val="00DA4441"/>
    <w:rsid w:val="00DA773A"/>
    <w:rsid w:val="00DB14A4"/>
    <w:rsid w:val="00DB5BF8"/>
    <w:rsid w:val="00DB5D4D"/>
    <w:rsid w:val="00DB7C07"/>
    <w:rsid w:val="00DC055D"/>
    <w:rsid w:val="00DC3CF4"/>
    <w:rsid w:val="00DC655D"/>
    <w:rsid w:val="00DD017E"/>
    <w:rsid w:val="00DD070D"/>
    <w:rsid w:val="00DD105B"/>
    <w:rsid w:val="00DD2D93"/>
    <w:rsid w:val="00DE5996"/>
    <w:rsid w:val="00DE7655"/>
    <w:rsid w:val="00DE7B2B"/>
    <w:rsid w:val="00DF1DC9"/>
    <w:rsid w:val="00E001A4"/>
    <w:rsid w:val="00E0381A"/>
    <w:rsid w:val="00E1057E"/>
    <w:rsid w:val="00E11B62"/>
    <w:rsid w:val="00E1235F"/>
    <w:rsid w:val="00E14058"/>
    <w:rsid w:val="00E159CB"/>
    <w:rsid w:val="00E16236"/>
    <w:rsid w:val="00E16CEB"/>
    <w:rsid w:val="00E20942"/>
    <w:rsid w:val="00E20D25"/>
    <w:rsid w:val="00E23BF0"/>
    <w:rsid w:val="00E25581"/>
    <w:rsid w:val="00E266EE"/>
    <w:rsid w:val="00E34B3D"/>
    <w:rsid w:val="00E35862"/>
    <w:rsid w:val="00E36944"/>
    <w:rsid w:val="00E3751E"/>
    <w:rsid w:val="00E415FF"/>
    <w:rsid w:val="00E41E5B"/>
    <w:rsid w:val="00E42723"/>
    <w:rsid w:val="00E4595D"/>
    <w:rsid w:val="00E46D30"/>
    <w:rsid w:val="00E56AEA"/>
    <w:rsid w:val="00E64013"/>
    <w:rsid w:val="00E73709"/>
    <w:rsid w:val="00E7602E"/>
    <w:rsid w:val="00E8006B"/>
    <w:rsid w:val="00E83D5D"/>
    <w:rsid w:val="00E845C5"/>
    <w:rsid w:val="00E84905"/>
    <w:rsid w:val="00E8654F"/>
    <w:rsid w:val="00E86DB0"/>
    <w:rsid w:val="00E87DEB"/>
    <w:rsid w:val="00E91D98"/>
    <w:rsid w:val="00E93C45"/>
    <w:rsid w:val="00E97599"/>
    <w:rsid w:val="00EA0BA6"/>
    <w:rsid w:val="00EA4C31"/>
    <w:rsid w:val="00EB30E0"/>
    <w:rsid w:val="00EB5417"/>
    <w:rsid w:val="00EB7228"/>
    <w:rsid w:val="00EB7690"/>
    <w:rsid w:val="00EC31C4"/>
    <w:rsid w:val="00ED136A"/>
    <w:rsid w:val="00ED40A1"/>
    <w:rsid w:val="00ED499F"/>
    <w:rsid w:val="00ED5641"/>
    <w:rsid w:val="00ED5753"/>
    <w:rsid w:val="00ED7D89"/>
    <w:rsid w:val="00EE1CA7"/>
    <w:rsid w:val="00EE68F9"/>
    <w:rsid w:val="00EE6D01"/>
    <w:rsid w:val="00EF1A19"/>
    <w:rsid w:val="00EF2CC2"/>
    <w:rsid w:val="00EF3228"/>
    <w:rsid w:val="00EF4349"/>
    <w:rsid w:val="00EF56E5"/>
    <w:rsid w:val="00F00AFC"/>
    <w:rsid w:val="00F02317"/>
    <w:rsid w:val="00F02605"/>
    <w:rsid w:val="00F11196"/>
    <w:rsid w:val="00F11FB0"/>
    <w:rsid w:val="00F122AF"/>
    <w:rsid w:val="00F26A3C"/>
    <w:rsid w:val="00F278D4"/>
    <w:rsid w:val="00F30902"/>
    <w:rsid w:val="00F30F21"/>
    <w:rsid w:val="00F33C97"/>
    <w:rsid w:val="00F36AE5"/>
    <w:rsid w:val="00F37CD9"/>
    <w:rsid w:val="00F43D53"/>
    <w:rsid w:val="00F5202B"/>
    <w:rsid w:val="00F54200"/>
    <w:rsid w:val="00F607DA"/>
    <w:rsid w:val="00F623D9"/>
    <w:rsid w:val="00F6426A"/>
    <w:rsid w:val="00F67016"/>
    <w:rsid w:val="00F67FF5"/>
    <w:rsid w:val="00F71947"/>
    <w:rsid w:val="00F77527"/>
    <w:rsid w:val="00F82046"/>
    <w:rsid w:val="00F820CC"/>
    <w:rsid w:val="00F82A89"/>
    <w:rsid w:val="00F82A98"/>
    <w:rsid w:val="00F92EA9"/>
    <w:rsid w:val="00F93492"/>
    <w:rsid w:val="00F9588A"/>
    <w:rsid w:val="00F95F37"/>
    <w:rsid w:val="00FA0011"/>
    <w:rsid w:val="00FA7E2A"/>
    <w:rsid w:val="00FB0B21"/>
    <w:rsid w:val="00FB171B"/>
    <w:rsid w:val="00FB1868"/>
    <w:rsid w:val="00FB1B16"/>
    <w:rsid w:val="00FB586A"/>
    <w:rsid w:val="00FB77D7"/>
    <w:rsid w:val="00FC1C47"/>
    <w:rsid w:val="00FC1F11"/>
    <w:rsid w:val="00FC6AE8"/>
    <w:rsid w:val="00FD125B"/>
    <w:rsid w:val="00FD1D18"/>
    <w:rsid w:val="00FD2F02"/>
    <w:rsid w:val="00FD562E"/>
    <w:rsid w:val="00FD639F"/>
    <w:rsid w:val="00FE0864"/>
    <w:rsid w:val="00FE2A4F"/>
    <w:rsid w:val="00FE6FFF"/>
    <w:rsid w:val="00FF157F"/>
    <w:rsid w:val="00FF3CDA"/>
    <w:rsid w:val="00FF76F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2"/>
        <w:szCs w:val="22"/>
        <w:lang w:bidi="ar-SA" w:eastAsia="en-US" w:val="en-US"/>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4E3160"/>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unhideWhenUsed/>
    <w:qFormat/>
    <w:rsid w:val="004E3160"/>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Normal"/>
    <w:link w:val="Heading3Char"/>
    <w:uiPriority w:val="9"/>
    <w:unhideWhenUsed/>
    <w:qFormat/>
    <w:rsid w:val="004E3160"/>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4E3160"/>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4E3160"/>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4E3160"/>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4E3160"/>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4E3160"/>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4E3160"/>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4E3160"/>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rsid w:val="004E3160"/>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rsid w:val="004E3160"/>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4E3160"/>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4E3160"/>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4E3160"/>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4E3160"/>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4E3160"/>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4E3160"/>
    <w:rPr>
      <w:rFonts w:cstheme="majorBidi" w:eastAsiaTheme="majorEastAsia"/>
      <w:color w:themeColor="text1" w:themeTint="D8" w:val="272727"/>
    </w:rPr>
  </w:style>
  <w:style w:styleId="Title" w:type="paragraph">
    <w:name w:val="Title"/>
    <w:basedOn w:val="Normal"/>
    <w:next w:val="Normal"/>
    <w:link w:val="TitleChar"/>
    <w:uiPriority w:val="10"/>
    <w:qFormat/>
    <w:rsid w:val="004E3160"/>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4E3160"/>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4E3160"/>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4E3160"/>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4E3160"/>
    <w:pPr>
      <w:spacing w:before="160"/>
      <w:jc w:val="center"/>
    </w:pPr>
    <w:rPr>
      <w:i/>
      <w:iCs/>
      <w:color w:themeColor="text1" w:themeTint="BF" w:val="404040"/>
    </w:rPr>
  </w:style>
  <w:style w:customStyle="1" w:styleId="QuoteChar" w:type="character">
    <w:name w:val="Quote Char"/>
    <w:basedOn w:val="DefaultParagraphFont"/>
    <w:link w:val="Quote"/>
    <w:uiPriority w:val="29"/>
    <w:rsid w:val="004E3160"/>
    <w:rPr>
      <w:i/>
      <w:iCs/>
      <w:color w:themeColor="text1" w:themeTint="BF" w:val="404040"/>
    </w:rPr>
  </w:style>
  <w:style w:styleId="ListParagraph" w:type="paragraph">
    <w:name w:val="List Paragraph"/>
    <w:basedOn w:val="Normal"/>
    <w:uiPriority w:val="34"/>
    <w:qFormat/>
    <w:rsid w:val="004E3160"/>
    <w:pPr>
      <w:ind w:left="720"/>
      <w:contextualSpacing/>
    </w:pPr>
  </w:style>
  <w:style w:styleId="IntenseEmphasis" w:type="character">
    <w:name w:val="Intense Emphasis"/>
    <w:basedOn w:val="DefaultParagraphFont"/>
    <w:uiPriority w:val="21"/>
    <w:qFormat/>
    <w:rsid w:val="004E3160"/>
    <w:rPr>
      <w:i/>
      <w:iCs/>
      <w:color w:themeColor="accent1" w:themeShade="BF" w:val="0F4761"/>
    </w:rPr>
  </w:style>
  <w:style w:styleId="IntenseQuote" w:type="paragraph">
    <w:name w:val="Intense Quote"/>
    <w:basedOn w:val="Normal"/>
    <w:next w:val="Normal"/>
    <w:link w:val="IntenseQuoteChar"/>
    <w:uiPriority w:val="30"/>
    <w:qFormat/>
    <w:rsid w:val="004E3160"/>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4E3160"/>
    <w:rPr>
      <w:i/>
      <w:iCs/>
      <w:color w:themeColor="accent1" w:themeShade="BF" w:val="0F4761"/>
    </w:rPr>
  </w:style>
  <w:style w:styleId="IntenseReference" w:type="character">
    <w:name w:val="Intense Reference"/>
    <w:basedOn w:val="DefaultParagraphFont"/>
    <w:uiPriority w:val="32"/>
    <w:qFormat/>
    <w:rsid w:val="004E3160"/>
    <w:rPr>
      <w:b/>
      <w:bCs/>
      <w:smallCaps/>
      <w:color w:themeColor="accent1" w:themeShade="BF" w:val="0F4761"/>
      <w:spacing w:val="5"/>
    </w:rPr>
  </w:style>
  <w:style w:styleId="Hyperlink" w:type="character">
    <w:name w:val="Hyperlink"/>
    <w:basedOn w:val="DefaultParagraphFont"/>
    <w:uiPriority w:val="99"/>
    <w:unhideWhenUsed/>
    <w:rsid w:val="004E3160"/>
    <w:rPr>
      <w:color w:themeColor="hyperlink" w:val="467886"/>
      <w:u w:val="single"/>
    </w:rPr>
  </w:style>
  <w:style w:styleId="UnresolvedMention" w:type="character">
    <w:name w:val="Unresolved Mention"/>
    <w:basedOn w:val="DefaultParagraphFont"/>
    <w:uiPriority w:val="99"/>
    <w:semiHidden/>
    <w:unhideWhenUsed/>
    <w:rsid w:val="004E3160"/>
    <w:rPr>
      <w:color w:val="605E5C"/>
      <w:shd w:color="auto" w:fill="E1DFDD" w:val="clear"/>
    </w:rPr>
  </w:style>
  <w:style w:styleId="FootnoteText" w:type="paragraph">
    <w:name w:val="footnote text"/>
    <w:basedOn w:val="Normal"/>
    <w:link w:val="FootnoteTextChar"/>
    <w:uiPriority w:val="99"/>
    <w:unhideWhenUsed/>
    <w:rsid w:val="004E3160"/>
    <w:pPr>
      <w:spacing w:after="0" w:line="240" w:lineRule="auto"/>
    </w:pPr>
    <w:rPr>
      <w:sz w:val="20"/>
      <w:szCs w:val="20"/>
    </w:rPr>
  </w:style>
  <w:style w:customStyle="1" w:styleId="FootnoteTextChar" w:type="character">
    <w:name w:val="Footnote Text Char"/>
    <w:basedOn w:val="DefaultParagraphFont"/>
    <w:link w:val="FootnoteText"/>
    <w:uiPriority w:val="99"/>
    <w:rsid w:val="004E3160"/>
    <w:rPr>
      <w:sz w:val="20"/>
      <w:szCs w:val="20"/>
    </w:rPr>
  </w:style>
  <w:style w:styleId="FootnoteReference" w:type="character">
    <w:name w:val="footnote reference"/>
    <w:basedOn w:val="DefaultParagraphFont"/>
    <w:uiPriority w:val="99"/>
    <w:semiHidden/>
    <w:unhideWhenUsed/>
    <w:rsid w:val="004E3160"/>
    <w:rPr>
      <w:vertAlign w:val="superscript"/>
    </w:rPr>
  </w:style>
  <w:style w:styleId="FollowedHyperlink" w:type="character">
    <w:name w:val="FollowedHyperlink"/>
    <w:basedOn w:val="DefaultParagraphFont"/>
    <w:uiPriority w:val="99"/>
    <w:semiHidden/>
    <w:unhideWhenUsed/>
    <w:rsid w:val="008B4B9A"/>
    <w:rPr>
      <w:color w:themeColor="followedHyperlink" w:val="96607D"/>
      <w:u w:val="single"/>
    </w:rPr>
  </w:style>
  <w:style w:styleId="CommentReference" w:type="character">
    <w:name w:val="annotation reference"/>
    <w:basedOn w:val="DefaultParagraphFont"/>
    <w:uiPriority w:val="99"/>
    <w:semiHidden/>
    <w:unhideWhenUsed/>
    <w:rsid w:val="00AB2A26"/>
    <w:rPr>
      <w:sz w:val="16"/>
      <w:szCs w:val="16"/>
    </w:rPr>
  </w:style>
  <w:style w:styleId="CommentText" w:type="paragraph">
    <w:name w:val="annotation text"/>
    <w:basedOn w:val="Normal"/>
    <w:link w:val="CommentTextChar"/>
    <w:uiPriority w:val="99"/>
    <w:unhideWhenUsed/>
    <w:rsid w:val="00AB2A26"/>
    <w:pPr>
      <w:spacing w:line="240" w:lineRule="auto"/>
    </w:pPr>
    <w:rPr>
      <w:sz w:val="20"/>
      <w:szCs w:val="20"/>
    </w:rPr>
  </w:style>
  <w:style w:customStyle="1" w:styleId="CommentTextChar" w:type="character">
    <w:name w:val="Comment Text Char"/>
    <w:basedOn w:val="DefaultParagraphFont"/>
    <w:link w:val="CommentText"/>
    <w:uiPriority w:val="99"/>
    <w:rsid w:val="00AB2A26"/>
    <w:rPr>
      <w:sz w:val="20"/>
      <w:szCs w:val="20"/>
    </w:rPr>
  </w:style>
  <w:style w:styleId="CommentSubject" w:type="paragraph">
    <w:name w:val="annotation subject"/>
    <w:basedOn w:val="CommentText"/>
    <w:next w:val="CommentText"/>
    <w:link w:val="CommentSubjectChar"/>
    <w:uiPriority w:val="99"/>
    <w:semiHidden/>
    <w:unhideWhenUsed/>
    <w:rsid w:val="00AB2A26"/>
    <w:rPr>
      <w:b/>
      <w:bCs/>
    </w:rPr>
  </w:style>
  <w:style w:customStyle="1" w:styleId="CommentSubjectChar" w:type="character">
    <w:name w:val="Comment Subject Char"/>
    <w:basedOn w:val="CommentTextChar"/>
    <w:link w:val="CommentSubject"/>
    <w:uiPriority w:val="99"/>
    <w:semiHidden/>
    <w:rsid w:val="00AB2A26"/>
    <w:rPr>
      <w:b/>
      <w:bCs/>
      <w:sz w:val="20"/>
      <w:szCs w:val="20"/>
    </w:rPr>
  </w:style>
  <w:style w:styleId="Strong" w:type="character">
    <w:name w:val="Strong"/>
    <w:basedOn w:val="DefaultParagraphFont"/>
    <w:uiPriority w:val="22"/>
    <w:qFormat/>
    <w:rsid w:val="00B353A6"/>
    <w:rPr>
      <w:b/>
      <w:bCs/>
    </w:rPr>
  </w:style>
  <w:style w:styleId="NormalWeb" w:type="paragraph">
    <w:name w:val="Normal (Web)"/>
    <w:basedOn w:val="Normal"/>
    <w:uiPriority w:val="99"/>
    <w:unhideWhenUsed/>
    <w:rsid w:val="00B353A6"/>
    <w:pPr>
      <w:spacing w:after="100" w:afterAutospacing="1" w:before="100" w:beforeAutospacing="1" w:line="240" w:lineRule="auto"/>
    </w:pPr>
    <w:rPr>
      <w:rFonts w:ascii="Times New Roman" w:cs="Times New Roman" w:eastAsia="Times New Roman" w:hAnsi="Times New Roman"/>
      <w:kern w:val="0"/>
      <w:sz w:val="24"/>
      <w:szCs w:val="24"/>
    </w:rPr>
  </w:style>
  <w:style w:styleId="Emphasis" w:type="character">
    <w:name w:val="Emphasis"/>
    <w:basedOn w:val="DefaultParagraphFont"/>
    <w:uiPriority w:val="20"/>
    <w:qFormat/>
    <w:rsid w:val="00B353A6"/>
    <w:rPr>
      <w:i/>
      <w:iCs/>
    </w:rPr>
  </w:style>
  <w:style w:customStyle="1" w:styleId="ms-1" w:type="character">
    <w:name w:val="ms-1"/>
    <w:basedOn w:val="DefaultParagraphFont"/>
    <w:rsid w:val="004245D1"/>
  </w:style>
  <w:style w:customStyle="1" w:styleId="max-w-full" w:type="character">
    <w:name w:val="max-w-full"/>
    <w:basedOn w:val="DefaultParagraphFont"/>
    <w:rsid w:val="004245D1"/>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6951">
      <w:bodyDiv w:val="1"/>
      <w:marLeft w:val="0"/>
      <w:marRight w:val="0"/>
      <w:marTop w:val="0"/>
      <w:marBottom w:val="0"/>
      <w:divBdr>
        <w:top w:val="none" w:sz="0" w:space="0" w:color="auto"/>
        <w:left w:val="none" w:sz="0" w:space="0" w:color="auto"/>
        <w:bottom w:val="none" w:sz="0" w:space="0" w:color="auto"/>
        <w:right w:val="none" w:sz="0" w:space="0" w:color="auto"/>
      </w:divBdr>
    </w:div>
    <w:div w:id="27075835">
      <w:bodyDiv w:val="1"/>
      <w:marLeft w:val="0"/>
      <w:marRight w:val="0"/>
      <w:marTop w:val="0"/>
      <w:marBottom w:val="0"/>
      <w:divBdr>
        <w:top w:val="none" w:sz="0" w:space="0" w:color="auto"/>
        <w:left w:val="none" w:sz="0" w:space="0" w:color="auto"/>
        <w:bottom w:val="none" w:sz="0" w:space="0" w:color="auto"/>
        <w:right w:val="none" w:sz="0" w:space="0" w:color="auto"/>
      </w:divBdr>
    </w:div>
    <w:div w:id="40137269">
      <w:bodyDiv w:val="1"/>
      <w:marLeft w:val="0"/>
      <w:marRight w:val="0"/>
      <w:marTop w:val="0"/>
      <w:marBottom w:val="0"/>
      <w:divBdr>
        <w:top w:val="none" w:sz="0" w:space="0" w:color="auto"/>
        <w:left w:val="none" w:sz="0" w:space="0" w:color="auto"/>
        <w:bottom w:val="none" w:sz="0" w:space="0" w:color="auto"/>
        <w:right w:val="none" w:sz="0" w:space="0" w:color="auto"/>
      </w:divBdr>
    </w:div>
    <w:div w:id="53044526">
      <w:bodyDiv w:val="1"/>
      <w:marLeft w:val="0"/>
      <w:marRight w:val="0"/>
      <w:marTop w:val="0"/>
      <w:marBottom w:val="0"/>
      <w:divBdr>
        <w:top w:val="none" w:sz="0" w:space="0" w:color="auto"/>
        <w:left w:val="none" w:sz="0" w:space="0" w:color="auto"/>
        <w:bottom w:val="none" w:sz="0" w:space="0" w:color="auto"/>
        <w:right w:val="none" w:sz="0" w:space="0" w:color="auto"/>
      </w:divBdr>
    </w:div>
    <w:div w:id="74135187">
      <w:bodyDiv w:val="1"/>
      <w:marLeft w:val="0"/>
      <w:marRight w:val="0"/>
      <w:marTop w:val="0"/>
      <w:marBottom w:val="0"/>
      <w:divBdr>
        <w:top w:val="none" w:sz="0" w:space="0" w:color="auto"/>
        <w:left w:val="none" w:sz="0" w:space="0" w:color="auto"/>
        <w:bottom w:val="none" w:sz="0" w:space="0" w:color="auto"/>
        <w:right w:val="none" w:sz="0" w:space="0" w:color="auto"/>
      </w:divBdr>
    </w:div>
    <w:div w:id="91046768">
      <w:bodyDiv w:val="1"/>
      <w:marLeft w:val="0"/>
      <w:marRight w:val="0"/>
      <w:marTop w:val="0"/>
      <w:marBottom w:val="0"/>
      <w:divBdr>
        <w:top w:val="none" w:sz="0" w:space="0" w:color="auto"/>
        <w:left w:val="none" w:sz="0" w:space="0" w:color="auto"/>
        <w:bottom w:val="none" w:sz="0" w:space="0" w:color="auto"/>
        <w:right w:val="none" w:sz="0" w:space="0" w:color="auto"/>
      </w:divBdr>
    </w:div>
    <w:div w:id="92939633">
      <w:bodyDiv w:val="1"/>
      <w:marLeft w:val="0"/>
      <w:marRight w:val="0"/>
      <w:marTop w:val="0"/>
      <w:marBottom w:val="0"/>
      <w:divBdr>
        <w:top w:val="none" w:sz="0" w:space="0" w:color="auto"/>
        <w:left w:val="none" w:sz="0" w:space="0" w:color="auto"/>
        <w:bottom w:val="none" w:sz="0" w:space="0" w:color="auto"/>
        <w:right w:val="none" w:sz="0" w:space="0" w:color="auto"/>
      </w:divBdr>
    </w:div>
    <w:div w:id="97917714">
      <w:bodyDiv w:val="1"/>
      <w:marLeft w:val="0"/>
      <w:marRight w:val="0"/>
      <w:marTop w:val="0"/>
      <w:marBottom w:val="0"/>
      <w:divBdr>
        <w:top w:val="none" w:sz="0" w:space="0" w:color="auto"/>
        <w:left w:val="none" w:sz="0" w:space="0" w:color="auto"/>
        <w:bottom w:val="none" w:sz="0" w:space="0" w:color="auto"/>
        <w:right w:val="none" w:sz="0" w:space="0" w:color="auto"/>
      </w:divBdr>
      <w:divsChild>
        <w:div w:id="211118134">
          <w:marLeft w:val="0"/>
          <w:marRight w:val="0"/>
          <w:marTop w:val="0"/>
          <w:marBottom w:val="0"/>
          <w:divBdr>
            <w:top w:val="none" w:sz="0" w:space="0" w:color="auto"/>
            <w:left w:val="none" w:sz="0" w:space="0" w:color="auto"/>
            <w:bottom w:val="none" w:sz="0" w:space="0" w:color="auto"/>
            <w:right w:val="none" w:sz="0" w:space="0" w:color="auto"/>
          </w:divBdr>
          <w:divsChild>
            <w:div w:id="685014362">
              <w:marLeft w:val="0"/>
              <w:marRight w:val="0"/>
              <w:marTop w:val="0"/>
              <w:marBottom w:val="0"/>
              <w:divBdr>
                <w:top w:val="none" w:sz="0" w:space="0" w:color="auto"/>
                <w:left w:val="none" w:sz="0" w:space="0" w:color="auto"/>
                <w:bottom w:val="none" w:sz="0" w:space="0" w:color="auto"/>
                <w:right w:val="none" w:sz="0" w:space="0" w:color="auto"/>
              </w:divBdr>
              <w:divsChild>
                <w:div w:id="1883055733">
                  <w:marLeft w:val="0"/>
                  <w:marRight w:val="0"/>
                  <w:marTop w:val="0"/>
                  <w:marBottom w:val="0"/>
                  <w:divBdr>
                    <w:top w:val="none" w:sz="0" w:space="0" w:color="auto"/>
                    <w:left w:val="none" w:sz="0" w:space="0" w:color="auto"/>
                    <w:bottom w:val="none" w:sz="0" w:space="0" w:color="auto"/>
                    <w:right w:val="none" w:sz="0" w:space="0" w:color="auto"/>
                  </w:divBdr>
                  <w:divsChild>
                    <w:div w:id="16929677">
                      <w:marLeft w:val="0"/>
                      <w:marRight w:val="0"/>
                      <w:marTop w:val="0"/>
                      <w:marBottom w:val="0"/>
                      <w:divBdr>
                        <w:top w:val="none" w:sz="0" w:space="0" w:color="auto"/>
                        <w:left w:val="none" w:sz="0" w:space="0" w:color="auto"/>
                        <w:bottom w:val="none" w:sz="0" w:space="0" w:color="auto"/>
                        <w:right w:val="none" w:sz="0" w:space="0" w:color="auto"/>
                      </w:divBdr>
                      <w:divsChild>
                        <w:div w:id="559755688">
                          <w:marLeft w:val="0"/>
                          <w:marRight w:val="0"/>
                          <w:marTop w:val="0"/>
                          <w:marBottom w:val="0"/>
                          <w:divBdr>
                            <w:top w:val="none" w:sz="0" w:space="0" w:color="auto"/>
                            <w:left w:val="none" w:sz="0" w:space="0" w:color="auto"/>
                            <w:bottom w:val="none" w:sz="0" w:space="0" w:color="auto"/>
                            <w:right w:val="none" w:sz="0" w:space="0" w:color="auto"/>
                          </w:divBdr>
                          <w:divsChild>
                            <w:div w:id="72792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000161">
                  <w:marLeft w:val="0"/>
                  <w:marRight w:val="0"/>
                  <w:marTop w:val="0"/>
                  <w:marBottom w:val="0"/>
                  <w:divBdr>
                    <w:top w:val="none" w:sz="0" w:space="0" w:color="auto"/>
                    <w:left w:val="none" w:sz="0" w:space="0" w:color="auto"/>
                    <w:bottom w:val="none" w:sz="0" w:space="0" w:color="auto"/>
                    <w:right w:val="none" w:sz="0" w:space="0" w:color="auto"/>
                  </w:divBdr>
                  <w:divsChild>
                    <w:div w:id="1391926422">
                      <w:marLeft w:val="0"/>
                      <w:marRight w:val="0"/>
                      <w:marTop w:val="0"/>
                      <w:marBottom w:val="0"/>
                      <w:divBdr>
                        <w:top w:val="none" w:sz="0" w:space="0" w:color="auto"/>
                        <w:left w:val="none" w:sz="0" w:space="0" w:color="auto"/>
                        <w:bottom w:val="none" w:sz="0" w:space="0" w:color="auto"/>
                        <w:right w:val="none" w:sz="0" w:space="0" w:color="auto"/>
                      </w:divBdr>
                      <w:divsChild>
                        <w:div w:id="943266560">
                          <w:marLeft w:val="0"/>
                          <w:marRight w:val="0"/>
                          <w:marTop w:val="0"/>
                          <w:marBottom w:val="0"/>
                          <w:divBdr>
                            <w:top w:val="none" w:sz="0" w:space="0" w:color="auto"/>
                            <w:left w:val="none" w:sz="0" w:space="0" w:color="auto"/>
                            <w:bottom w:val="none" w:sz="0" w:space="0" w:color="auto"/>
                            <w:right w:val="none" w:sz="0" w:space="0" w:color="auto"/>
                          </w:divBdr>
                          <w:divsChild>
                            <w:div w:id="552235384">
                              <w:marLeft w:val="0"/>
                              <w:marRight w:val="0"/>
                              <w:marTop w:val="0"/>
                              <w:marBottom w:val="0"/>
                              <w:divBdr>
                                <w:top w:val="none" w:sz="0" w:space="0" w:color="auto"/>
                                <w:left w:val="none" w:sz="0" w:space="0" w:color="auto"/>
                                <w:bottom w:val="none" w:sz="0" w:space="0" w:color="auto"/>
                                <w:right w:val="none" w:sz="0" w:space="0" w:color="auto"/>
                              </w:divBdr>
                              <w:divsChild>
                                <w:div w:id="321397650">
                                  <w:marLeft w:val="0"/>
                                  <w:marRight w:val="0"/>
                                  <w:marTop w:val="0"/>
                                  <w:marBottom w:val="0"/>
                                  <w:divBdr>
                                    <w:top w:val="none" w:sz="0" w:space="0" w:color="auto"/>
                                    <w:left w:val="none" w:sz="0" w:space="0" w:color="auto"/>
                                    <w:bottom w:val="none" w:sz="0" w:space="0" w:color="auto"/>
                                    <w:right w:val="none" w:sz="0" w:space="0" w:color="auto"/>
                                  </w:divBdr>
                                  <w:divsChild>
                                    <w:div w:id="1804493681">
                                      <w:marLeft w:val="0"/>
                                      <w:marRight w:val="0"/>
                                      <w:marTop w:val="0"/>
                                      <w:marBottom w:val="0"/>
                                      <w:divBdr>
                                        <w:top w:val="none" w:sz="0" w:space="0" w:color="auto"/>
                                        <w:left w:val="none" w:sz="0" w:space="0" w:color="auto"/>
                                        <w:bottom w:val="none" w:sz="0" w:space="0" w:color="auto"/>
                                        <w:right w:val="none" w:sz="0" w:space="0" w:color="auto"/>
                                      </w:divBdr>
                                    </w:div>
                                  </w:divsChild>
                                </w:div>
                                <w:div w:id="1083574202">
                                  <w:marLeft w:val="0"/>
                                  <w:marRight w:val="0"/>
                                  <w:marTop w:val="0"/>
                                  <w:marBottom w:val="0"/>
                                  <w:divBdr>
                                    <w:top w:val="none" w:sz="0" w:space="0" w:color="auto"/>
                                    <w:left w:val="none" w:sz="0" w:space="0" w:color="auto"/>
                                    <w:bottom w:val="none" w:sz="0" w:space="0" w:color="auto"/>
                                    <w:right w:val="none" w:sz="0" w:space="0" w:color="auto"/>
                                  </w:divBdr>
                                  <w:divsChild>
                                    <w:div w:id="527909347">
                                      <w:marLeft w:val="0"/>
                                      <w:marRight w:val="0"/>
                                      <w:marTop w:val="0"/>
                                      <w:marBottom w:val="0"/>
                                      <w:divBdr>
                                        <w:top w:val="none" w:sz="0" w:space="0" w:color="auto"/>
                                        <w:left w:val="none" w:sz="0" w:space="0" w:color="auto"/>
                                        <w:bottom w:val="none" w:sz="0" w:space="0" w:color="auto"/>
                                        <w:right w:val="none" w:sz="0" w:space="0" w:color="auto"/>
                                      </w:divBdr>
                                    </w:div>
                                  </w:divsChild>
                                </w:div>
                                <w:div w:id="1800102433">
                                  <w:marLeft w:val="0"/>
                                  <w:marRight w:val="0"/>
                                  <w:marTop w:val="0"/>
                                  <w:marBottom w:val="0"/>
                                  <w:divBdr>
                                    <w:top w:val="none" w:sz="0" w:space="0" w:color="auto"/>
                                    <w:left w:val="none" w:sz="0" w:space="0" w:color="auto"/>
                                    <w:bottom w:val="none" w:sz="0" w:space="0" w:color="auto"/>
                                    <w:right w:val="none" w:sz="0" w:space="0" w:color="auto"/>
                                  </w:divBdr>
                                  <w:divsChild>
                                    <w:div w:id="183502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65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848897">
                  <w:marLeft w:val="0"/>
                  <w:marRight w:val="0"/>
                  <w:marTop w:val="0"/>
                  <w:marBottom w:val="0"/>
                  <w:divBdr>
                    <w:top w:val="none" w:sz="0" w:space="0" w:color="auto"/>
                    <w:left w:val="none" w:sz="0" w:space="0" w:color="auto"/>
                    <w:bottom w:val="none" w:sz="0" w:space="0" w:color="auto"/>
                    <w:right w:val="none" w:sz="0" w:space="0" w:color="auto"/>
                  </w:divBdr>
                  <w:divsChild>
                    <w:div w:id="193489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46784">
      <w:bodyDiv w:val="1"/>
      <w:marLeft w:val="0"/>
      <w:marRight w:val="0"/>
      <w:marTop w:val="0"/>
      <w:marBottom w:val="0"/>
      <w:divBdr>
        <w:top w:val="none" w:sz="0" w:space="0" w:color="auto"/>
        <w:left w:val="none" w:sz="0" w:space="0" w:color="auto"/>
        <w:bottom w:val="none" w:sz="0" w:space="0" w:color="auto"/>
        <w:right w:val="none" w:sz="0" w:space="0" w:color="auto"/>
      </w:divBdr>
    </w:div>
    <w:div w:id="112670761">
      <w:bodyDiv w:val="1"/>
      <w:marLeft w:val="0"/>
      <w:marRight w:val="0"/>
      <w:marTop w:val="0"/>
      <w:marBottom w:val="0"/>
      <w:divBdr>
        <w:top w:val="none" w:sz="0" w:space="0" w:color="auto"/>
        <w:left w:val="none" w:sz="0" w:space="0" w:color="auto"/>
        <w:bottom w:val="none" w:sz="0" w:space="0" w:color="auto"/>
        <w:right w:val="none" w:sz="0" w:space="0" w:color="auto"/>
      </w:divBdr>
    </w:div>
    <w:div w:id="141624202">
      <w:bodyDiv w:val="1"/>
      <w:marLeft w:val="0"/>
      <w:marRight w:val="0"/>
      <w:marTop w:val="0"/>
      <w:marBottom w:val="0"/>
      <w:divBdr>
        <w:top w:val="none" w:sz="0" w:space="0" w:color="auto"/>
        <w:left w:val="none" w:sz="0" w:space="0" w:color="auto"/>
        <w:bottom w:val="none" w:sz="0" w:space="0" w:color="auto"/>
        <w:right w:val="none" w:sz="0" w:space="0" w:color="auto"/>
      </w:divBdr>
    </w:div>
    <w:div w:id="174003883">
      <w:bodyDiv w:val="1"/>
      <w:marLeft w:val="0"/>
      <w:marRight w:val="0"/>
      <w:marTop w:val="0"/>
      <w:marBottom w:val="0"/>
      <w:divBdr>
        <w:top w:val="none" w:sz="0" w:space="0" w:color="auto"/>
        <w:left w:val="none" w:sz="0" w:space="0" w:color="auto"/>
        <w:bottom w:val="none" w:sz="0" w:space="0" w:color="auto"/>
        <w:right w:val="none" w:sz="0" w:space="0" w:color="auto"/>
      </w:divBdr>
    </w:div>
    <w:div w:id="190190362">
      <w:bodyDiv w:val="1"/>
      <w:marLeft w:val="0"/>
      <w:marRight w:val="0"/>
      <w:marTop w:val="0"/>
      <w:marBottom w:val="0"/>
      <w:divBdr>
        <w:top w:val="none" w:sz="0" w:space="0" w:color="auto"/>
        <w:left w:val="none" w:sz="0" w:space="0" w:color="auto"/>
        <w:bottom w:val="none" w:sz="0" w:space="0" w:color="auto"/>
        <w:right w:val="none" w:sz="0" w:space="0" w:color="auto"/>
      </w:divBdr>
    </w:div>
    <w:div w:id="207840459">
      <w:bodyDiv w:val="1"/>
      <w:marLeft w:val="0"/>
      <w:marRight w:val="0"/>
      <w:marTop w:val="0"/>
      <w:marBottom w:val="0"/>
      <w:divBdr>
        <w:top w:val="none" w:sz="0" w:space="0" w:color="auto"/>
        <w:left w:val="none" w:sz="0" w:space="0" w:color="auto"/>
        <w:bottom w:val="none" w:sz="0" w:space="0" w:color="auto"/>
        <w:right w:val="none" w:sz="0" w:space="0" w:color="auto"/>
      </w:divBdr>
    </w:div>
    <w:div w:id="208998097">
      <w:bodyDiv w:val="1"/>
      <w:marLeft w:val="0"/>
      <w:marRight w:val="0"/>
      <w:marTop w:val="0"/>
      <w:marBottom w:val="0"/>
      <w:divBdr>
        <w:top w:val="none" w:sz="0" w:space="0" w:color="auto"/>
        <w:left w:val="none" w:sz="0" w:space="0" w:color="auto"/>
        <w:bottom w:val="none" w:sz="0" w:space="0" w:color="auto"/>
        <w:right w:val="none" w:sz="0" w:space="0" w:color="auto"/>
      </w:divBdr>
    </w:div>
    <w:div w:id="218899899">
      <w:bodyDiv w:val="1"/>
      <w:marLeft w:val="0"/>
      <w:marRight w:val="0"/>
      <w:marTop w:val="0"/>
      <w:marBottom w:val="0"/>
      <w:divBdr>
        <w:top w:val="none" w:sz="0" w:space="0" w:color="auto"/>
        <w:left w:val="none" w:sz="0" w:space="0" w:color="auto"/>
        <w:bottom w:val="none" w:sz="0" w:space="0" w:color="auto"/>
        <w:right w:val="none" w:sz="0" w:space="0" w:color="auto"/>
      </w:divBdr>
    </w:div>
    <w:div w:id="233318626">
      <w:bodyDiv w:val="1"/>
      <w:marLeft w:val="0"/>
      <w:marRight w:val="0"/>
      <w:marTop w:val="0"/>
      <w:marBottom w:val="0"/>
      <w:divBdr>
        <w:top w:val="none" w:sz="0" w:space="0" w:color="auto"/>
        <w:left w:val="none" w:sz="0" w:space="0" w:color="auto"/>
        <w:bottom w:val="none" w:sz="0" w:space="0" w:color="auto"/>
        <w:right w:val="none" w:sz="0" w:space="0" w:color="auto"/>
      </w:divBdr>
    </w:div>
    <w:div w:id="236593099">
      <w:bodyDiv w:val="1"/>
      <w:marLeft w:val="0"/>
      <w:marRight w:val="0"/>
      <w:marTop w:val="0"/>
      <w:marBottom w:val="0"/>
      <w:divBdr>
        <w:top w:val="none" w:sz="0" w:space="0" w:color="auto"/>
        <w:left w:val="none" w:sz="0" w:space="0" w:color="auto"/>
        <w:bottom w:val="none" w:sz="0" w:space="0" w:color="auto"/>
        <w:right w:val="none" w:sz="0" w:space="0" w:color="auto"/>
      </w:divBdr>
    </w:div>
    <w:div w:id="236791642">
      <w:bodyDiv w:val="1"/>
      <w:marLeft w:val="0"/>
      <w:marRight w:val="0"/>
      <w:marTop w:val="0"/>
      <w:marBottom w:val="0"/>
      <w:divBdr>
        <w:top w:val="none" w:sz="0" w:space="0" w:color="auto"/>
        <w:left w:val="none" w:sz="0" w:space="0" w:color="auto"/>
        <w:bottom w:val="none" w:sz="0" w:space="0" w:color="auto"/>
        <w:right w:val="none" w:sz="0" w:space="0" w:color="auto"/>
      </w:divBdr>
    </w:div>
    <w:div w:id="252010678">
      <w:bodyDiv w:val="1"/>
      <w:marLeft w:val="0"/>
      <w:marRight w:val="0"/>
      <w:marTop w:val="0"/>
      <w:marBottom w:val="0"/>
      <w:divBdr>
        <w:top w:val="none" w:sz="0" w:space="0" w:color="auto"/>
        <w:left w:val="none" w:sz="0" w:space="0" w:color="auto"/>
        <w:bottom w:val="none" w:sz="0" w:space="0" w:color="auto"/>
        <w:right w:val="none" w:sz="0" w:space="0" w:color="auto"/>
      </w:divBdr>
    </w:div>
    <w:div w:id="264384810">
      <w:bodyDiv w:val="1"/>
      <w:marLeft w:val="0"/>
      <w:marRight w:val="0"/>
      <w:marTop w:val="0"/>
      <w:marBottom w:val="0"/>
      <w:divBdr>
        <w:top w:val="none" w:sz="0" w:space="0" w:color="auto"/>
        <w:left w:val="none" w:sz="0" w:space="0" w:color="auto"/>
        <w:bottom w:val="none" w:sz="0" w:space="0" w:color="auto"/>
        <w:right w:val="none" w:sz="0" w:space="0" w:color="auto"/>
      </w:divBdr>
      <w:divsChild>
        <w:div w:id="815951890">
          <w:marLeft w:val="0"/>
          <w:marRight w:val="0"/>
          <w:marTop w:val="0"/>
          <w:marBottom w:val="0"/>
          <w:divBdr>
            <w:top w:val="none" w:sz="0" w:space="0" w:color="auto"/>
            <w:left w:val="none" w:sz="0" w:space="0" w:color="auto"/>
            <w:bottom w:val="none" w:sz="0" w:space="0" w:color="auto"/>
            <w:right w:val="none" w:sz="0" w:space="0" w:color="auto"/>
          </w:divBdr>
          <w:divsChild>
            <w:div w:id="1656058662">
              <w:marLeft w:val="0"/>
              <w:marRight w:val="0"/>
              <w:marTop w:val="0"/>
              <w:marBottom w:val="0"/>
              <w:divBdr>
                <w:top w:val="none" w:sz="0" w:space="0" w:color="auto"/>
                <w:left w:val="none" w:sz="0" w:space="0" w:color="auto"/>
                <w:bottom w:val="none" w:sz="0" w:space="0" w:color="auto"/>
                <w:right w:val="none" w:sz="0" w:space="0" w:color="auto"/>
              </w:divBdr>
              <w:divsChild>
                <w:div w:id="514611265">
                  <w:marLeft w:val="0"/>
                  <w:marRight w:val="0"/>
                  <w:marTop w:val="0"/>
                  <w:marBottom w:val="0"/>
                  <w:divBdr>
                    <w:top w:val="none" w:sz="0" w:space="0" w:color="auto"/>
                    <w:left w:val="none" w:sz="0" w:space="0" w:color="auto"/>
                    <w:bottom w:val="none" w:sz="0" w:space="0" w:color="auto"/>
                    <w:right w:val="none" w:sz="0" w:space="0" w:color="auto"/>
                  </w:divBdr>
                  <w:divsChild>
                    <w:div w:id="65109422">
                      <w:marLeft w:val="0"/>
                      <w:marRight w:val="0"/>
                      <w:marTop w:val="0"/>
                      <w:marBottom w:val="0"/>
                      <w:divBdr>
                        <w:top w:val="none" w:sz="0" w:space="0" w:color="auto"/>
                        <w:left w:val="none" w:sz="0" w:space="0" w:color="auto"/>
                        <w:bottom w:val="none" w:sz="0" w:space="0" w:color="auto"/>
                        <w:right w:val="none" w:sz="0" w:space="0" w:color="auto"/>
                      </w:divBdr>
                      <w:divsChild>
                        <w:div w:id="1724938068">
                          <w:marLeft w:val="0"/>
                          <w:marRight w:val="0"/>
                          <w:marTop w:val="0"/>
                          <w:marBottom w:val="0"/>
                          <w:divBdr>
                            <w:top w:val="none" w:sz="0" w:space="0" w:color="auto"/>
                            <w:left w:val="none" w:sz="0" w:space="0" w:color="auto"/>
                            <w:bottom w:val="none" w:sz="0" w:space="0" w:color="auto"/>
                            <w:right w:val="none" w:sz="0" w:space="0" w:color="auto"/>
                          </w:divBdr>
                          <w:divsChild>
                            <w:div w:id="1750810928">
                              <w:marLeft w:val="0"/>
                              <w:marRight w:val="0"/>
                              <w:marTop w:val="0"/>
                              <w:marBottom w:val="0"/>
                              <w:divBdr>
                                <w:top w:val="none" w:sz="0" w:space="0" w:color="auto"/>
                                <w:left w:val="none" w:sz="0" w:space="0" w:color="auto"/>
                                <w:bottom w:val="none" w:sz="0" w:space="0" w:color="auto"/>
                                <w:right w:val="none" w:sz="0" w:space="0" w:color="auto"/>
                              </w:divBdr>
                              <w:divsChild>
                                <w:div w:id="267781403">
                                  <w:marLeft w:val="0"/>
                                  <w:marRight w:val="0"/>
                                  <w:marTop w:val="0"/>
                                  <w:marBottom w:val="0"/>
                                  <w:divBdr>
                                    <w:top w:val="none" w:sz="0" w:space="0" w:color="auto"/>
                                    <w:left w:val="none" w:sz="0" w:space="0" w:color="auto"/>
                                    <w:bottom w:val="none" w:sz="0" w:space="0" w:color="auto"/>
                                    <w:right w:val="none" w:sz="0" w:space="0" w:color="auto"/>
                                  </w:divBdr>
                                  <w:divsChild>
                                    <w:div w:id="80662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590572">
                      <w:marLeft w:val="0"/>
                      <w:marRight w:val="0"/>
                      <w:marTop w:val="0"/>
                      <w:marBottom w:val="0"/>
                      <w:divBdr>
                        <w:top w:val="none" w:sz="0" w:space="0" w:color="auto"/>
                        <w:left w:val="none" w:sz="0" w:space="0" w:color="auto"/>
                        <w:bottom w:val="none" w:sz="0" w:space="0" w:color="auto"/>
                        <w:right w:val="none" w:sz="0" w:space="0" w:color="auto"/>
                      </w:divBdr>
                      <w:divsChild>
                        <w:div w:id="101977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8216340">
      <w:bodyDiv w:val="1"/>
      <w:marLeft w:val="0"/>
      <w:marRight w:val="0"/>
      <w:marTop w:val="0"/>
      <w:marBottom w:val="0"/>
      <w:divBdr>
        <w:top w:val="none" w:sz="0" w:space="0" w:color="auto"/>
        <w:left w:val="none" w:sz="0" w:space="0" w:color="auto"/>
        <w:bottom w:val="none" w:sz="0" w:space="0" w:color="auto"/>
        <w:right w:val="none" w:sz="0" w:space="0" w:color="auto"/>
      </w:divBdr>
    </w:div>
    <w:div w:id="316613272">
      <w:bodyDiv w:val="1"/>
      <w:marLeft w:val="0"/>
      <w:marRight w:val="0"/>
      <w:marTop w:val="0"/>
      <w:marBottom w:val="0"/>
      <w:divBdr>
        <w:top w:val="none" w:sz="0" w:space="0" w:color="auto"/>
        <w:left w:val="none" w:sz="0" w:space="0" w:color="auto"/>
        <w:bottom w:val="none" w:sz="0" w:space="0" w:color="auto"/>
        <w:right w:val="none" w:sz="0" w:space="0" w:color="auto"/>
      </w:divBdr>
    </w:div>
    <w:div w:id="320158527">
      <w:bodyDiv w:val="1"/>
      <w:marLeft w:val="0"/>
      <w:marRight w:val="0"/>
      <w:marTop w:val="0"/>
      <w:marBottom w:val="0"/>
      <w:divBdr>
        <w:top w:val="none" w:sz="0" w:space="0" w:color="auto"/>
        <w:left w:val="none" w:sz="0" w:space="0" w:color="auto"/>
        <w:bottom w:val="none" w:sz="0" w:space="0" w:color="auto"/>
        <w:right w:val="none" w:sz="0" w:space="0" w:color="auto"/>
      </w:divBdr>
    </w:div>
    <w:div w:id="350570075">
      <w:bodyDiv w:val="1"/>
      <w:marLeft w:val="0"/>
      <w:marRight w:val="0"/>
      <w:marTop w:val="0"/>
      <w:marBottom w:val="0"/>
      <w:divBdr>
        <w:top w:val="none" w:sz="0" w:space="0" w:color="auto"/>
        <w:left w:val="none" w:sz="0" w:space="0" w:color="auto"/>
        <w:bottom w:val="none" w:sz="0" w:space="0" w:color="auto"/>
        <w:right w:val="none" w:sz="0" w:space="0" w:color="auto"/>
      </w:divBdr>
    </w:div>
    <w:div w:id="379088636">
      <w:bodyDiv w:val="1"/>
      <w:marLeft w:val="0"/>
      <w:marRight w:val="0"/>
      <w:marTop w:val="0"/>
      <w:marBottom w:val="0"/>
      <w:divBdr>
        <w:top w:val="none" w:sz="0" w:space="0" w:color="auto"/>
        <w:left w:val="none" w:sz="0" w:space="0" w:color="auto"/>
        <w:bottom w:val="none" w:sz="0" w:space="0" w:color="auto"/>
        <w:right w:val="none" w:sz="0" w:space="0" w:color="auto"/>
      </w:divBdr>
    </w:div>
    <w:div w:id="443962104">
      <w:bodyDiv w:val="1"/>
      <w:marLeft w:val="0"/>
      <w:marRight w:val="0"/>
      <w:marTop w:val="0"/>
      <w:marBottom w:val="0"/>
      <w:divBdr>
        <w:top w:val="none" w:sz="0" w:space="0" w:color="auto"/>
        <w:left w:val="none" w:sz="0" w:space="0" w:color="auto"/>
        <w:bottom w:val="none" w:sz="0" w:space="0" w:color="auto"/>
        <w:right w:val="none" w:sz="0" w:space="0" w:color="auto"/>
      </w:divBdr>
    </w:div>
    <w:div w:id="445152146">
      <w:bodyDiv w:val="1"/>
      <w:marLeft w:val="0"/>
      <w:marRight w:val="0"/>
      <w:marTop w:val="0"/>
      <w:marBottom w:val="0"/>
      <w:divBdr>
        <w:top w:val="none" w:sz="0" w:space="0" w:color="auto"/>
        <w:left w:val="none" w:sz="0" w:space="0" w:color="auto"/>
        <w:bottom w:val="none" w:sz="0" w:space="0" w:color="auto"/>
        <w:right w:val="none" w:sz="0" w:space="0" w:color="auto"/>
      </w:divBdr>
    </w:div>
    <w:div w:id="446975169">
      <w:bodyDiv w:val="1"/>
      <w:marLeft w:val="0"/>
      <w:marRight w:val="0"/>
      <w:marTop w:val="0"/>
      <w:marBottom w:val="0"/>
      <w:divBdr>
        <w:top w:val="none" w:sz="0" w:space="0" w:color="auto"/>
        <w:left w:val="none" w:sz="0" w:space="0" w:color="auto"/>
        <w:bottom w:val="none" w:sz="0" w:space="0" w:color="auto"/>
        <w:right w:val="none" w:sz="0" w:space="0" w:color="auto"/>
      </w:divBdr>
    </w:div>
    <w:div w:id="450782263">
      <w:bodyDiv w:val="1"/>
      <w:marLeft w:val="0"/>
      <w:marRight w:val="0"/>
      <w:marTop w:val="0"/>
      <w:marBottom w:val="0"/>
      <w:divBdr>
        <w:top w:val="none" w:sz="0" w:space="0" w:color="auto"/>
        <w:left w:val="none" w:sz="0" w:space="0" w:color="auto"/>
        <w:bottom w:val="none" w:sz="0" w:space="0" w:color="auto"/>
        <w:right w:val="none" w:sz="0" w:space="0" w:color="auto"/>
      </w:divBdr>
    </w:div>
    <w:div w:id="456293908">
      <w:bodyDiv w:val="1"/>
      <w:marLeft w:val="0"/>
      <w:marRight w:val="0"/>
      <w:marTop w:val="0"/>
      <w:marBottom w:val="0"/>
      <w:divBdr>
        <w:top w:val="none" w:sz="0" w:space="0" w:color="auto"/>
        <w:left w:val="none" w:sz="0" w:space="0" w:color="auto"/>
        <w:bottom w:val="none" w:sz="0" w:space="0" w:color="auto"/>
        <w:right w:val="none" w:sz="0" w:space="0" w:color="auto"/>
      </w:divBdr>
    </w:div>
    <w:div w:id="475726700">
      <w:bodyDiv w:val="1"/>
      <w:marLeft w:val="0"/>
      <w:marRight w:val="0"/>
      <w:marTop w:val="0"/>
      <w:marBottom w:val="0"/>
      <w:divBdr>
        <w:top w:val="none" w:sz="0" w:space="0" w:color="auto"/>
        <w:left w:val="none" w:sz="0" w:space="0" w:color="auto"/>
        <w:bottom w:val="none" w:sz="0" w:space="0" w:color="auto"/>
        <w:right w:val="none" w:sz="0" w:space="0" w:color="auto"/>
      </w:divBdr>
    </w:div>
    <w:div w:id="493759971">
      <w:bodyDiv w:val="1"/>
      <w:marLeft w:val="0"/>
      <w:marRight w:val="0"/>
      <w:marTop w:val="0"/>
      <w:marBottom w:val="0"/>
      <w:divBdr>
        <w:top w:val="none" w:sz="0" w:space="0" w:color="auto"/>
        <w:left w:val="none" w:sz="0" w:space="0" w:color="auto"/>
        <w:bottom w:val="none" w:sz="0" w:space="0" w:color="auto"/>
        <w:right w:val="none" w:sz="0" w:space="0" w:color="auto"/>
      </w:divBdr>
    </w:div>
    <w:div w:id="506676351">
      <w:bodyDiv w:val="1"/>
      <w:marLeft w:val="0"/>
      <w:marRight w:val="0"/>
      <w:marTop w:val="0"/>
      <w:marBottom w:val="0"/>
      <w:divBdr>
        <w:top w:val="none" w:sz="0" w:space="0" w:color="auto"/>
        <w:left w:val="none" w:sz="0" w:space="0" w:color="auto"/>
        <w:bottom w:val="none" w:sz="0" w:space="0" w:color="auto"/>
        <w:right w:val="none" w:sz="0" w:space="0" w:color="auto"/>
      </w:divBdr>
    </w:div>
    <w:div w:id="539784250">
      <w:bodyDiv w:val="1"/>
      <w:marLeft w:val="0"/>
      <w:marRight w:val="0"/>
      <w:marTop w:val="0"/>
      <w:marBottom w:val="0"/>
      <w:divBdr>
        <w:top w:val="none" w:sz="0" w:space="0" w:color="auto"/>
        <w:left w:val="none" w:sz="0" w:space="0" w:color="auto"/>
        <w:bottom w:val="none" w:sz="0" w:space="0" w:color="auto"/>
        <w:right w:val="none" w:sz="0" w:space="0" w:color="auto"/>
      </w:divBdr>
    </w:div>
    <w:div w:id="575479352">
      <w:bodyDiv w:val="1"/>
      <w:marLeft w:val="0"/>
      <w:marRight w:val="0"/>
      <w:marTop w:val="0"/>
      <w:marBottom w:val="0"/>
      <w:divBdr>
        <w:top w:val="none" w:sz="0" w:space="0" w:color="auto"/>
        <w:left w:val="none" w:sz="0" w:space="0" w:color="auto"/>
        <w:bottom w:val="none" w:sz="0" w:space="0" w:color="auto"/>
        <w:right w:val="none" w:sz="0" w:space="0" w:color="auto"/>
      </w:divBdr>
    </w:div>
    <w:div w:id="597062598">
      <w:bodyDiv w:val="1"/>
      <w:marLeft w:val="0"/>
      <w:marRight w:val="0"/>
      <w:marTop w:val="0"/>
      <w:marBottom w:val="0"/>
      <w:divBdr>
        <w:top w:val="none" w:sz="0" w:space="0" w:color="auto"/>
        <w:left w:val="none" w:sz="0" w:space="0" w:color="auto"/>
        <w:bottom w:val="none" w:sz="0" w:space="0" w:color="auto"/>
        <w:right w:val="none" w:sz="0" w:space="0" w:color="auto"/>
      </w:divBdr>
    </w:div>
    <w:div w:id="598372469">
      <w:bodyDiv w:val="1"/>
      <w:marLeft w:val="0"/>
      <w:marRight w:val="0"/>
      <w:marTop w:val="0"/>
      <w:marBottom w:val="0"/>
      <w:divBdr>
        <w:top w:val="none" w:sz="0" w:space="0" w:color="auto"/>
        <w:left w:val="none" w:sz="0" w:space="0" w:color="auto"/>
        <w:bottom w:val="none" w:sz="0" w:space="0" w:color="auto"/>
        <w:right w:val="none" w:sz="0" w:space="0" w:color="auto"/>
      </w:divBdr>
    </w:div>
    <w:div w:id="598877827">
      <w:bodyDiv w:val="1"/>
      <w:marLeft w:val="0"/>
      <w:marRight w:val="0"/>
      <w:marTop w:val="0"/>
      <w:marBottom w:val="0"/>
      <w:divBdr>
        <w:top w:val="none" w:sz="0" w:space="0" w:color="auto"/>
        <w:left w:val="none" w:sz="0" w:space="0" w:color="auto"/>
        <w:bottom w:val="none" w:sz="0" w:space="0" w:color="auto"/>
        <w:right w:val="none" w:sz="0" w:space="0" w:color="auto"/>
      </w:divBdr>
    </w:div>
    <w:div w:id="611743283">
      <w:bodyDiv w:val="1"/>
      <w:marLeft w:val="0"/>
      <w:marRight w:val="0"/>
      <w:marTop w:val="0"/>
      <w:marBottom w:val="0"/>
      <w:divBdr>
        <w:top w:val="none" w:sz="0" w:space="0" w:color="auto"/>
        <w:left w:val="none" w:sz="0" w:space="0" w:color="auto"/>
        <w:bottom w:val="none" w:sz="0" w:space="0" w:color="auto"/>
        <w:right w:val="none" w:sz="0" w:space="0" w:color="auto"/>
      </w:divBdr>
    </w:div>
    <w:div w:id="621495056">
      <w:bodyDiv w:val="1"/>
      <w:marLeft w:val="0"/>
      <w:marRight w:val="0"/>
      <w:marTop w:val="0"/>
      <w:marBottom w:val="0"/>
      <w:divBdr>
        <w:top w:val="none" w:sz="0" w:space="0" w:color="auto"/>
        <w:left w:val="none" w:sz="0" w:space="0" w:color="auto"/>
        <w:bottom w:val="none" w:sz="0" w:space="0" w:color="auto"/>
        <w:right w:val="none" w:sz="0" w:space="0" w:color="auto"/>
      </w:divBdr>
    </w:div>
    <w:div w:id="623535719">
      <w:bodyDiv w:val="1"/>
      <w:marLeft w:val="0"/>
      <w:marRight w:val="0"/>
      <w:marTop w:val="0"/>
      <w:marBottom w:val="0"/>
      <w:divBdr>
        <w:top w:val="none" w:sz="0" w:space="0" w:color="auto"/>
        <w:left w:val="none" w:sz="0" w:space="0" w:color="auto"/>
        <w:bottom w:val="none" w:sz="0" w:space="0" w:color="auto"/>
        <w:right w:val="none" w:sz="0" w:space="0" w:color="auto"/>
      </w:divBdr>
    </w:div>
    <w:div w:id="628975781">
      <w:bodyDiv w:val="1"/>
      <w:marLeft w:val="0"/>
      <w:marRight w:val="0"/>
      <w:marTop w:val="0"/>
      <w:marBottom w:val="0"/>
      <w:divBdr>
        <w:top w:val="none" w:sz="0" w:space="0" w:color="auto"/>
        <w:left w:val="none" w:sz="0" w:space="0" w:color="auto"/>
        <w:bottom w:val="none" w:sz="0" w:space="0" w:color="auto"/>
        <w:right w:val="none" w:sz="0" w:space="0" w:color="auto"/>
      </w:divBdr>
    </w:div>
    <w:div w:id="631060420">
      <w:bodyDiv w:val="1"/>
      <w:marLeft w:val="0"/>
      <w:marRight w:val="0"/>
      <w:marTop w:val="0"/>
      <w:marBottom w:val="0"/>
      <w:divBdr>
        <w:top w:val="none" w:sz="0" w:space="0" w:color="auto"/>
        <w:left w:val="none" w:sz="0" w:space="0" w:color="auto"/>
        <w:bottom w:val="none" w:sz="0" w:space="0" w:color="auto"/>
        <w:right w:val="none" w:sz="0" w:space="0" w:color="auto"/>
      </w:divBdr>
    </w:div>
    <w:div w:id="638532150">
      <w:bodyDiv w:val="1"/>
      <w:marLeft w:val="0"/>
      <w:marRight w:val="0"/>
      <w:marTop w:val="0"/>
      <w:marBottom w:val="0"/>
      <w:divBdr>
        <w:top w:val="none" w:sz="0" w:space="0" w:color="auto"/>
        <w:left w:val="none" w:sz="0" w:space="0" w:color="auto"/>
        <w:bottom w:val="none" w:sz="0" w:space="0" w:color="auto"/>
        <w:right w:val="none" w:sz="0" w:space="0" w:color="auto"/>
      </w:divBdr>
    </w:div>
    <w:div w:id="657198585">
      <w:bodyDiv w:val="1"/>
      <w:marLeft w:val="0"/>
      <w:marRight w:val="0"/>
      <w:marTop w:val="0"/>
      <w:marBottom w:val="0"/>
      <w:divBdr>
        <w:top w:val="none" w:sz="0" w:space="0" w:color="auto"/>
        <w:left w:val="none" w:sz="0" w:space="0" w:color="auto"/>
        <w:bottom w:val="none" w:sz="0" w:space="0" w:color="auto"/>
        <w:right w:val="none" w:sz="0" w:space="0" w:color="auto"/>
      </w:divBdr>
    </w:div>
    <w:div w:id="661349730">
      <w:bodyDiv w:val="1"/>
      <w:marLeft w:val="0"/>
      <w:marRight w:val="0"/>
      <w:marTop w:val="0"/>
      <w:marBottom w:val="0"/>
      <w:divBdr>
        <w:top w:val="none" w:sz="0" w:space="0" w:color="auto"/>
        <w:left w:val="none" w:sz="0" w:space="0" w:color="auto"/>
        <w:bottom w:val="none" w:sz="0" w:space="0" w:color="auto"/>
        <w:right w:val="none" w:sz="0" w:space="0" w:color="auto"/>
      </w:divBdr>
      <w:divsChild>
        <w:div w:id="947663022">
          <w:marLeft w:val="0"/>
          <w:marRight w:val="0"/>
          <w:marTop w:val="0"/>
          <w:marBottom w:val="0"/>
          <w:divBdr>
            <w:top w:val="none" w:sz="0" w:space="0" w:color="auto"/>
            <w:left w:val="none" w:sz="0" w:space="0" w:color="auto"/>
            <w:bottom w:val="none" w:sz="0" w:space="0" w:color="auto"/>
            <w:right w:val="none" w:sz="0" w:space="0" w:color="auto"/>
          </w:divBdr>
          <w:divsChild>
            <w:div w:id="1595088012">
              <w:marLeft w:val="0"/>
              <w:marRight w:val="0"/>
              <w:marTop w:val="0"/>
              <w:marBottom w:val="0"/>
              <w:divBdr>
                <w:top w:val="none" w:sz="0" w:space="0" w:color="auto"/>
                <w:left w:val="none" w:sz="0" w:space="0" w:color="auto"/>
                <w:bottom w:val="none" w:sz="0" w:space="0" w:color="auto"/>
                <w:right w:val="none" w:sz="0" w:space="0" w:color="auto"/>
              </w:divBdr>
              <w:divsChild>
                <w:div w:id="526792363">
                  <w:marLeft w:val="0"/>
                  <w:marRight w:val="0"/>
                  <w:marTop w:val="0"/>
                  <w:marBottom w:val="0"/>
                  <w:divBdr>
                    <w:top w:val="none" w:sz="0" w:space="0" w:color="auto"/>
                    <w:left w:val="none" w:sz="0" w:space="0" w:color="auto"/>
                    <w:bottom w:val="none" w:sz="0" w:space="0" w:color="auto"/>
                    <w:right w:val="none" w:sz="0" w:space="0" w:color="auto"/>
                  </w:divBdr>
                  <w:divsChild>
                    <w:div w:id="1154030398">
                      <w:marLeft w:val="0"/>
                      <w:marRight w:val="0"/>
                      <w:marTop w:val="0"/>
                      <w:marBottom w:val="0"/>
                      <w:divBdr>
                        <w:top w:val="none" w:sz="0" w:space="0" w:color="auto"/>
                        <w:left w:val="none" w:sz="0" w:space="0" w:color="auto"/>
                        <w:bottom w:val="none" w:sz="0" w:space="0" w:color="auto"/>
                        <w:right w:val="none" w:sz="0" w:space="0" w:color="auto"/>
                      </w:divBdr>
                      <w:divsChild>
                        <w:div w:id="1451850846">
                          <w:marLeft w:val="0"/>
                          <w:marRight w:val="0"/>
                          <w:marTop w:val="0"/>
                          <w:marBottom w:val="0"/>
                          <w:divBdr>
                            <w:top w:val="none" w:sz="0" w:space="0" w:color="auto"/>
                            <w:left w:val="none" w:sz="0" w:space="0" w:color="auto"/>
                            <w:bottom w:val="none" w:sz="0" w:space="0" w:color="auto"/>
                            <w:right w:val="none" w:sz="0" w:space="0" w:color="auto"/>
                          </w:divBdr>
                          <w:divsChild>
                            <w:div w:id="78854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272042">
                  <w:marLeft w:val="0"/>
                  <w:marRight w:val="0"/>
                  <w:marTop w:val="0"/>
                  <w:marBottom w:val="0"/>
                  <w:divBdr>
                    <w:top w:val="none" w:sz="0" w:space="0" w:color="auto"/>
                    <w:left w:val="none" w:sz="0" w:space="0" w:color="auto"/>
                    <w:bottom w:val="none" w:sz="0" w:space="0" w:color="auto"/>
                    <w:right w:val="none" w:sz="0" w:space="0" w:color="auto"/>
                  </w:divBdr>
                  <w:divsChild>
                    <w:div w:id="2712571">
                      <w:marLeft w:val="0"/>
                      <w:marRight w:val="0"/>
                      <w:marTop w:val="0"/>
                      <w:marBottom w:val="0"/>
                      <w:divBdr>
                        <w:top w:val="none" w:sz="0" w:space="0" w:color="auto"/>
                        <w:left w:val="none" w:sz="0" w:space="0" w:color="auto"/>
                        <w:bottom w:val="none" w:sz="0" w:space="0" w:color="auto"/>
                        <w:right w:val="none" w:sz="0" w:space="0" w:color="auto"/>
                      </w:divBdr>
                      <w:divsChild>
                        <w:div w:id="252475267">
                          <w:marLeft w:val="0"/>
                          <w:marRight w:val="0"/>
                          <w:marTop w:val="0"/>
                          <w:marBottom w:val="0"/>
                          <w:divBdr>
                            <w:top w:val="none" w:sz="0" w:space="0" w:color="auto"/>
                            <w:left w:val="none" w:sz="0" w:space="0" w:color="auto"/>
                            <w:bottom w:val="none" w:sz="0" w:space="0" w:color="auto"/>
                            <w:right w:val="none" w:sz="0" w:space="0" w:color="auto"/>
                          </w:divBdr>
                          <w:divsChild>
                            <w:div w:id="1065108294">
                              <w:marLeft w:val="0"/>
                              <w:marRight w:val="0"/>
                              <w:marTop w:val="0"/>
                              <w:marBottom w:val="0"/>
                              <w:divBdr>
                                <w:top w:val="none" w:sz="0" w:space="0" w:color="auto"/>
                                <w:left w:val="none" w:sz="0" w:space="0" w:color="auto"/>
                                <w:bottom w:val="none" w:sz="0" w:space="0" w:color="auto"/>
                                <w:right w:val="none" w:sz="0" w:space="0" w:color="auto"/>
                              </w:divBdr>
                              <w:divsChild>
                                <w:div w:id="1842088031">
                                  <w:marLeft w:val="0"/>
                                  <w:marRight w:val="0"/>
                                  <w:marTop w:val="0"/>
                                  <w:marBottom w:val="0"/>
                                  <w:divBdr>
                                    <w:top w:val="none" w:sz="0" w:space="0" w:color="auto"/>
                                    <w:left w:val="none" w:sz="0" w:space="0" w:color="auto"/>
                                    <w:bottom w:val="none" w:sz="0" w:space="0" w:color="auto"/>
                                    <w:right w:val="none" w:sz="0" w:space="0" w:color="auto"/>
                                  </w:divBdr>
                                  <w:divsChild>
                                    <w:div w:id="1758749506">
                                      <w:marLeft w:val="0"/>
                                      <w:marRight w:val="0"/>
                                      <w:marTop w:val="0"/>
                                      <w:marBottom w:val="0"/>
                                      <w:divBdr>
                                        <w:top w:val="none" w:sz="0" w:space="0" w:color="auto"/>
                                        <w:left w:val="none" w:sz="0" w:space="0" w:color="auto"/>
                                        <w:bottom w:val="none" w:sz="0" w:space="0" w:color="auto"/>
                                        <w:right w:val="none" w:sz="0" w:space="0" w:color="auto"/>
                                      </w:divBdr>
                                    </w:div>
                                  </w:divsChild>
                                </w:div>
                                <w:div w:id="1950621444">
                                  <w:marLeft w:val="0"/>
                                  <w:marRight w:val="0"/>
                                  <w:marTop w:val="0"/>
                                  <w:marBottom w:val="0"/>
                                  <w:divBdr>
                                    <w:top w:val="none" w:sz="0" w:space="0" w:color="auto"/>
                                    <w:left w:val="none" w:sz="0" w:space="0" w:color="auto"/>
                                    <w:bottom w:val="none" w:sz="0" w:space="0" w:color="auto"/>
                                    <w:right w:val="none" w:sz="0" w:space="0" w:color="auto"/>
                                  </w:divBdr>
                                  <w:divsChild>
                                    <w:div w:id="861167762">
                                      <w:marLeft w:val="0"/>
                                      <w:marRight w:val="0"/>
                                      <w:marTop w:val="0"/>
                                      <w:marBottom w:val="0"/>
                                      <w:divBdr>
                                        <w:top w:val="none" w:sz="0" w:space="0" w:color="auto"/>
                                        <w:left w:val="none" w:sz="0" w:space="0" w:color="auto"/>
                                        <w:bottom w:val="none" w:sz="0" w:space="0" w:color="auto"/>
                                        <w:right w:val="none" w:sz="0" w:space="0" w:color="auto"/>
                                      </w:divBdr>
                                    </w:div>
                                  </w:divsChild>
                                </w:div>
                                <w:div w:id="772675127">
                                  <w:marLeft w:val="0"/>
                                  <w:marRight w:val="0"/>
                                  <w:marTop w:val="0"/>
                                  <w:marBottom w:val="0"/>
                                  <w:divBdr>
                                    <w:top w:val="none" w:sz="0" w:space="0" w:color="auto"/>
                                    <w:left w:val="none" w:sz="0" w:space="0" w:color="auto"/>
                                    <w:bottom w:val="none" w:sz="0" w:space="0" w:color="auto"/>
                                    <w:right w:val="none" w:sz="0" w:space="0" w:color="auto"/>
                                  </w:divBdr>
                                  <w:divsChild>
                                    <w:div w:id="203803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1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26413">
                  <w:marLeft w:val="0"/>
                  <w:marRight w:val="0"/>
                  <w:marTop w:val="0"/>
                  <w:marBottom w:val="0"/>
                  <w:divBdr>
                    <w:top w:val="none" w:sz="0" w:space="0" w:color="auto"/>
                    <w:left w:val="none" w:sz="0" w:space="0" w:color="auto"/>
                    <w:bottom w:val="none" w:sz="0" w:space="0" w:color="auto"/>
                    <w:right w:val="none" w:sz="0" w:space="0" w:color="auto"/>
                  </w:divBdr>
                  <w:divsChild>
                    <w:div w:id="166562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402261">
      <w:bodyDiv w:val="1"/>
      <w:marLeft w:val="0"/>
      <w:marRight w:val="0"/>
      <w:marTop w:val="0"/>
      <w:marBottom w:val="0"/>
      <w:divBdr>
        <w:top w:val="none" w:sz="0" w:space="0" w:color="auto"/>
        <w:left w:val="none" w:sz="0" w:space="0" w:color="auto"/>
        <w:bottom w:val="none" w:sz="0" w:space="0" w:color="auto"/>
        <w:right w:val="none" w:sz="0" w:space="0" w:color="auto"/>
      </w:divBdr>
    </w:div>
    <w:div w:id="704447094">
      <w:bodyDiv w:val="1"/>
      <w:marLeft w:val="0"/>
      <w:marRight w:val="0"/>
      <w:marTop w:val="0"/>
      <w:marBottom w:val="0"/>
      <w:divBdr>
        <w:top w:val="none" w:sz="0" w:space="0" w:color="auto"/>
        <w:left w:val="none" w:sz="0" w:space="0" w:color="auto"/>
        <w:bottom w:val="none" w:sz="0" w:space="0" w:color="auto"/>
        <w:right w:val="none" w:sz="0" w:space="0" w:color="auto"/>
      </w:divBdr>
    </w:div>
    <w:div w:id="716858641">
      <w:bodyDiv w:val="1"/>
      <w:marLeft w:val="0"/>
      <w:marRight w:val="0"/>
      <w:marTop w:val="0"/>
      <w:marBottom w:val="0"/>
      <w:divBdr>
        <w:top w:val="none" w:sz="0" w:space="0" w:color="auto"/>
        <w:left w:val="none" w:sz="0" w:space="0" w:color="auto"/>
        <w:bottom w:val="none" w:sz="0" w:space="0" w:color="auto"/>
        <w:right w:val="none" w:sz="0" w:space="0" w:color="auto"/>
      </w:divBdr>
    </w:div>
    <w:div w:id="727143099">
      <w:bodyDiv w:val="1"/>
      <w:marLeft w:val="0"/>
      <w:marRight w:val="0"/>
      <w:marTop w:val="0"/>
      <w:marBottom w:val="0"/>
      <w:divBdr>
        <w:top w:val="none" w:sz="0" w:space="0" w:color="auto"/>
        <w:left w:val="none" w:sz="0" w:space="0" w:color="auto"/>
        <w:bottom w:val="none" w:sz="0" w:space="0" w:color="auto"/>
        <w:right w:val="none" w:sz="0" w:space="0" w:color="auto"/>
      </w:divBdr>
    </w:div>
    <w:div w:id="731346836">
      <w:bodyDiv w:val="1"/>
      <w:marLeft w:val="0"/>
      <w:marRight w:val="0"/>
      <w:marTop w:val="0"/>
      <w:marBottom w:val="0"/>
      <w:divBdr>
        <w:top w:val="none" w:sz="0" w:space="0" w:color="auto"/>
        <w:left w:val="none" w:sz="0" w:space="0" w:color="auto"/>
        <w:bottom w:val="none" w:sz="0" w:space="0" w:color="auto"/>
        <w:right w:val="none" w:sz="0" w:space="0" w:color="auto"/>
      </w:divBdr>
    </w:div>
    <w:div w:id="744377622">
      <w:bodyDiv w:val="1"/>
      <w:marLeft w:val="0"/>
      <w:marRight w:val="0"/>
      <w:marTop w:val="0"/>
      <w:marBottom w:val="0"/>
      <w:divBdr>
        <w:top w:val="none" w:sz="0" w:space="0" w:color="auto"/>
        <w:left w:val="none" w:sz="0" w:space="0" w:color="auto"/>
        <w:bottom w:val="none" w:sz="0" w:space="0" w:color="auto"/>
        <w:right w:val="none" w:sz="0" w:space="0" w:color="auto"/>
      </w:divBdr>
    </w:div>
    <w:div w:id="753822225">
      <w:bodyDiv w:val="1"/>
      <w:marLeft w:val="0"/>
      <w:marRight w:val="0"/>
      <w:marTop w:val="0"/>
      <w:marBottom w:val="0"/>
      <w:divBdr>
        <w:top w:val="none" w:sz="0" w:space="0" w:color="auto"/>
        <w:left w:val="none" w:sz="0" w:space="0" w:color="auto"/>
        <w:bottom w:val="none" w:sz="0" w:space="0" w:color="auto"/>
        <w:right w:val="none" w:sz="0" w:space="0" w:color="auto"/>
      </w:divBdr>
    </w:div>
    <w:div w:id="770008699">
      <w:bodyDiv w:val="1"/>
      <w:marLeft w:val="0"/>
      <w:marRight w:val="0"/>
      <w:marTop w:val="0"/>
      <w:marBottom w:val="0"/>
      <w:divBdr>
        <w:top w:val="none" w:sz="0" w:space="0" w:color="auto"/>
        <w:left w:val="none" w:sz="0" w:space="0" w:color="auto"/>
        <w:bottom w:val="none" w:sz="0" w:space="0" w:color="auto"/>
        <w:right w:val="none" w:sz="0" w:space="0" w:color="auto"/>
      </w:divBdr>
    </w:div>
    <w:div w:id="783112265">
      <w:bodyDiv w:val="1"/>
      <w:marLeft w:val="0"/>
      <w:marRight w:val="0"/>
      <w:marTop w:val="0"/>
      <w:marBottom w:val="0"/>
      <w:divBdr>
        <w:top w:val="none" w:sz="0" w:space="0" w:color="auto"/>
        <w:left w:val="none" w:sz="0" w:space="0" w:color="auto"/>
        <w:bottom w:val="none" w:sz="0" w:space="0" w:color="auto"/>
        <w:right w:val="none" w:sz="0" w:space="0" w:color="auto"/>
      </w:divBdr>
    </w:div>
    <w:div w:id="813329107">
      <w:bodyDiv w:val="1"/>
      <w:marLeft w:val="0"/>
      <w:marRight w:val="0"/>
      <w:marTop w:val="0"/>
      <w:marBottom w:val="0"/>
      <w:divBdr>
        <w:top w:val="none" w:sz="0" w:space="0" w:color="auto"/>
        <w:left w:val="none" w:sz="0" w:space="0" w:color="auto"/>
        <w:bottom w:val="none" w:sz="0" w:space="0" w:color="auto"/>
        <w:right w:val="none" w:sz="0" w:space="0" w:color="auto"/>
      </w:divBdr>
    </w:div>
    <w:div w:id="882986978">
      <w:bodyDiv w:val="1"/>
      <w:marLeft w:val="0"/>
      <w:marRight w:val="0"/>
      <w:marTop w:val="0"/>
      <w:marBottom w:val="0"/>
      <w:divBdr>
        <w:top w:val="none" w:sz="0" w:space="0" w:color="auto"/>
        <w:left w:val="none" w:sz="0" w:space="0" w:color="auto"/>
        <w:bottom w:val="none" w:sz="0" w:space="0" w:color="auto"/>
        <w:right w:val="none" w:sz="0" w:space="0" w:color="auto"/>
      </w:divBdr>
    </w:div>
    <w:div w:id="892541590">
      <w:bodyDiv w:val="1"/>
      <w:marLeft w:val="0"/>
      <w:marRight w:val="0"/>
      <w:marTop w:val="0"/>
      <w:marBottom w:val="0"/>
      <w:divBdr>
        <w:top w:val="none" w:sz="0" w:space="0" w:color="auto"/>
        <w:left w:val="none" w:sz="0" w:space="0" w:color="auto"/>
        <w:bottom w:val="none" w:sz="0" w:space="0" w:color="auto"/>
        <w:right w:val="none" w:sz="0" w:space="0" w:color="auto"/>
      </w:divBdr>
    </w:div>
    <w:div w:id="899436045">
      <w:bodyDiv w:val="1"/>
      <w:marLeft w:val="0"/>
      <w:marRight w:val="0"/>
      <w:marTop w:val="0"/>
      <w:marBottom w:val="0"/>
      <w:divBdr>
        <w:top w:val="none" w:sz="0" w:space="0" w:color="auto"/>
        <w:left w:val="none" w:sz="0" w:space="0" w:color="auto"/>
        <w:bottom w:val="none" w:sz="0" w:space="0" w:color="auto"/>
        <w:right w:val="none" w:sz="0" w:space="0" w:color="auto"/>
      </w:divBdr>
    </w:div>
    <w:div w:id="909585391">
      <w:bodyDiv w:val="1"/>
      <w:marLeft w:val="0"/>
      <w:marRight w:val="0"/>
      <w:marTop w:val="0"/>
      <w:marBottom w:val="0"/>
      <w:divBdr>
        <w:top w:val="none" w:sz="0" w:space="0" w:color="auto"/>
        <w:left w:val="none" w:sz="0" w:space="0" w:color="auto"/>
        <w:bottom w:val="none" w:sz="0" w:space="0" w:color="auto"/>
        <w:right w:val="none" w:sz="0" w:space="0" w:color="auto"/>
      </w:divBdr>
    </w:div>
    <w:div w:id="940643467">
      <w:bodyDiv w:val="1"/>
      <w:marLeft w:val="0"/>
      <w:marRight w:val="0"/>
      <w:marTop w:val="0"/>
      <w:marBottom w:val="0"/>
      <w:divBdr>
        <w:top w:val="none" w:sz="0" w:space="0" w:color="auto"/>
        <w:left w:val="none" w:sz="0" w:space="0" w:color="auto"/>
        <w:bottom w:val="none" w:sz="0" w:space="0" w:color="auto"/>
        <w:right w:val="none" w:sz="0" w:space="0" w:color="auto"/>
      </w:divBdr>
    </w:div>
    <w:div w:id="943000407">
      <w:bodyDiv w:val="1"/>
      <w:marLeft w:val="0"/>
      <w:marRight w:val="0"/>
      <w:marTop w:val="0"/>
      <w:marBottom w:val="0"/>
      <w:divBdr>
        <w:top w:val="none" w:sz="0" w:space="0" w:color="auto"/>
        <w:left w:val="none" w:sz="0" w:space="0" w:color="auto"/>
        <w:bottom w:val="none" w:sz="0" w:space="0" w:color="auto"/>
        <w:right w:val="none" w:sz="0" w:space="0" w:color="auto"/>
      </w:divBdr>
    </w:div>
    <w:div w:id="943343738">
      <w:bodyDiv w:val="1"/>
      <w:marLeft w:val="0"/>
      <w:marRight w:val="0"/>
      <w:marTop w:val="0"/>
      <w:marBottom w:val="0"/>
      <w:divBdr>
        <w:top w:val="none" w:sz="0" w:space="0" w:color="auto"/>
        <w:left w:val="none" w:sz="0" w:space="0" w:color="auto"/>
        <w:bottom w:val="none" w:sz="0" w:space="0" w:color="auto"/>
        <w:right w:val="none" w:sz="0" w:space="0" w:color="auto"/>
      </w:divBdr>
    </w:div>
    <w:div w:id="943877202">
      <w:bodyDiv w:val="1"/>
      <w:marLeft w:val="0"/>
      <w:marRight w:val="0"/>
      <w:marTop w:val="0"/>
      <w:marBottom w:val="0"/>
      <w:divBdr>
        <w:top w:val="none" w:sz="0" w:space="0" w:color="auto"/>
        <w:left w:val="none" w:sz="0" w:space="0" w:color="auto"/>
        <w:bottom w:val="none" w:sz="0" w:space="0" w:color="auto"/>
        <w:right w:val="none" w:sz="0" w:space="0" w:color="auto"/>
      </w:divBdr>
    </w:div>
    <w:div w:id="994452436">
      <w:bodyDiv w:val="1"/>
      <w:marLeft w:val="0"/>
      <w:marRight w:val="0"/>
      <w:marTop w:val="0"/>
      <w:marBottom w:val="0"/>
      <w:divBdr>
        <w:top w:val="none" w:sz="0" w:space="0" w:color="auto"/>
        <w:left w:val="none" w:sz="0" w:space="0" w:color="auto"/>
        <w:bottom w:val="none" w:sz="0" w:space="0" w:color="auto"/>
        <w:right w:val="none" w:sz="0" w:space="0" w:color="auto"/>
      </w:divBdr>
    </w:div>
    <w:div w:id="1003750340">
      <w:bodyDiv w:val="1"/>
      <w:marLeft w:val="0"/>
      <w:marRight w:val="0"/>
      <w:marTop w:val="0"/>
      <w:marBottom w:val="0"/>
      <w:divBdr>
        <w:top w:val="none" w:sz="0" w:space="0" w:color="auto"/>
        <w:left w:val="none" w:sz="0" w:space="0" w:color="auto"/>
        <w:bottom w:val="none" w:sz="0" w:space="0" w:color="auto"/>
        <w:right w:val="none" w:sz="0" w:space="0" w:color="auto"/>
      </w:divBdr>
    </w:div>
    <w:div w:id="1005473897">
      <w:bodyDiv w:val="1"/>
      <w:marLeft w:val="0"/>
      <w:marRight w:val="0"/>
      <w:marTop w:val="0"/>
      <w:marBottom w:val="0"/>
      <w:divBdr>
        <w:top w:val="none" w:sz="0" w:space="0" w:color="auto"/>
        <w:left w:val="none" w:sz="0" w:space="0" w:color="auto"/>
        <w:bottom w:val="none" w:sz="0" w:space="0" w:color="auto"/>
        <w:right w:val="none" w:sz="0" w:space="0" w:color="auto"/>
      </w:divBdr>
    </w:div>
    <w:div w:id="1019818197">
      <w:bodyDiv w:val="1"/>
      <w:marLeft w:val="0"/>
      <w:marRight w:val="0"/>
      <w:marTop w:val="0"/>
      <w:marBottom w:val="0"/>
      <w:divBdr>
        <w:top w:val="none" w:sz="0" w:space="0" w:color="auto"/>
        <w:left w:val="none" w:sz="0" w:space="0" w:color="auto"/>
        <w:bottom w:val="none" w:sz="0" w:space="0" w:color="auto"/>
        <w:right w:val="none" w:sz="0" w:space="0" w:color="auto"/>
      </w:divBdr>
    </w:div>
    <w:div w:id="1024675385">
      <w:bodyDiv w:val="1"/>
      <w:marLeft w:val="0"/>
      <w:marRight w:val="0"/>
      <w:marTop w:val="0"/>
      <w:marBottom w:val="0"/>
      <w:divBdr>
        <w:top w:val="none" w:sz="0" w:space="0" w:color="auto"/>
        <w:left w:val="none" w:sz="0" w:space="0" w:color="auto"/>
        <w:bottom w:val="none" w:sz="0" w:space="0" w:color="auto"/>
        <w:right w:val="none" w:sz="0" w:space="0" w:color="auto"/>
      </w:divBdr>
    </w:div>
    <w:div w:id="1028337385">
      <w:bodyDiv w:val="1"/>
      <w:marLeft w:val="0"/>
      <w:marRight w:val="0"/>
      <w:marTop w:val="0"/>
      <w:marBottom w:val="0"/>
      <w:divBdr>
        <w:top w:val="none" w:sz="0" w:space="0" w:color="auto"/>
        <w:left w:val="none" w:sz="0" w:space="0" w:color="auto"/>
        <w:bottom w:val="none" w:sz="0" w:space="0" w:color="auto"/>
        <w:right w:val="none" w:sz="0" w:space="0" w:color="auto"/>
      </w:divBdr>
    </w:div>
    <w:div w:id="1032733002">
      <w:bodyDiv w:val="1"/>
      <w:marLeft w:val="0"/>
      <w:marRight w:val="0"/>
      <w:marTop w:val="0"/>
      <w:marBottom w:val="0"/>
      <w:divBdr>
        <w:top w:val="none" w:sz="0" w:space="0" w:color="auto"/>
        <w:left w:val="none" w:sz="0" w:space="0" w:color="auto"/>
        <w:bottom w:val="none" w:sz="0" w:space="0" w:color="auto"/>
        <w:right w:val="none" w:sz="0" w:space="0" w:color="auto"/>
      </w:divBdr>
    </w:div>
    <w:div w:id="1058355115">
      <w:bodyDiv w:val="1"/>
      <w:marLeft w:val="0"/>
      <w:marRight w:val="0"/>
      <w:marTop w:val="0"/>
      <w:marBottom w:val="0"/>
      <w:divBdr>
        <w:top w:val="none" w:sz="0" w:space="0" w:color="auto"/>
        <w:left w:val="none" w:sz="0" w:space="0" w:color="auto"/>
        <w:bottom w:val="none" w:sz="0" w:space="0" w:color="auto"/>
        <w:right w:val="none" w:sz="0" w:space="0" w:color="auto"/>
      </w:divBdr>
    </w:div>
    <w:div w:id="1059934326">
      <w:bodyDiv w:val="1"/>
      <w:marLeft w:val="0"/>
      <w:marRight w:val="0"/>
      <w:marTop w:val="0"/>
      <w:marBottom w:val="0"/>
      <w:divBdr>
        <w:top w:val="none" w:sz="0" w:space="0" w:color="auto"/>
        <w:left w:val="none" w:sz="0" w:space="0" w:color="auto"/>
        <w:bottom w:val="none" w:sz="0" w:space="0" w:color="auto"/>
        <w:right w:val="none" w:sz="0" w:space="0" w:color="auto"/>
      </w:divBdr>
    </w:div>
    <w:div w:id="1065638468">
      <w:bodyDiv w:val="1"/>
      <w:marLeft w:val="0"/>
      <w:marRight w:val="0"/>
      <w:marTop w:val="0"/>
      <w:marBottom w:val="0"/>
      <w:divBdr>
        <w:top w:val="none" w:sz="0" w:space="0" w:color="auto"/>
        <w:left w:val="none" w:sz="0" w:space="0" w:color="auto"/>
        <w:bottom w:val="none" w:sz="0" w:space="0" w:color="auto"/>
        <w:right w:val="none" w:sz="0" w:space="0" w:color="auto"/>
      </w:divBdr>
    </w:div>
    <w:div w:id="1071082917">
      <w:bodyDiv w:val="1"/>
      <w:marLeft w:val="0"/>
      <w:marRight w:val="0"/>
      <w:marTop w:val="0"/>
      <w:marBottom w:val="0"/>
      <w:divBdr>
        <w:top w:val="none" w:sz="0" w:space="0" w:color="auto"/>
        <w:left w:val="none" w:sz="0" w:space="0" w:color="auto"/>
        <w:bottom w:val="none" w:sz="0" w:space="0" w:color="auto"/>
        <w:right w:val="none" w:sz="0" w:space="0" w:color="auto"/>
      </w:divBdr>
    </w:div>
    <w:div w:id="1098989164">
      <w:bodyDiv w:val="1"/>
      <w:marLeft w:val="0"/>
      <w:marRight w:val="0"/>
      <w:marTop w:val="0"/>
      <w:marBottom w:val="0"/>
      <w:divBdr>
        <w:top w:val="none" w:sz="0" w:space="0" w:color="auto"/>
        <w:left w:val="none" w:sz="0" w:space="0" w:color="auto"/>
        <w:bottom w:val="none" w:sz="0" w:space="0" w:color="auto"/>
        <w:right w:val="none" w:sz="0" w:space="0" w:color="auto"/>
      </w:divBdr>
    </w:div>
    <w:div w:id="1102266959">
      <w:bodyDiv w:val="1"/>
      <w:marLeft w:val="0"/>
      <w:marRight w:val="0"/>
      <w:marTop w:val="0"/>
      <w:marBottom w:val="0"/>
      <w:divBdr>
        <w:top w:val="none" w:sz="0" w:space="0" w:color="auto"/>
        <w:left w:val="none" w:sz="0" w:space="0" w:color="auto"/>
        <w:bottom w:val="none" w:sz="0" w:space="0" w:color="auto"/>
        <w:right w:val="none" w:sz="0" w:space="0" w:color="auto"/>
      </w:divBdr>
    </w:div>
    <w:div w:id="1138959739">
      <w:bodyDiv w:val="1"/>
      <w:marLeft w:val="0"/>
      <w:marRight w:val="0"/>
      <w:marTop w:val="0"/>
      <w:marBottom w:val="0"/>
      <w:divBdr>
        <w:top w:val="none" w:sz="0" w:space="0" w:color="auto"/>
        <w:left w:val="none" w:sz="0" w:space="0" w:color="auto"/>
        <w:bottom w:val="none" w:sz="0" w:space="0" w:color="auto"/>
        <w:right w:val="none" w:sz="0" w:space="0" w:color="auto"/>
      </w:divBdr>
    </w:div>
    <w:div w:id="1169252839">
      <w:bodyDiv w:val="1"/>
      <w:marLeft w:val="0"/>
      <w:marRight w:val="0"/>
      <w:marTop w:val="0"/>
      <w:marBottom w:val="0"/>
      <w:divBdr>
        <w:top w:val="none" w:sz="0" w:space="0" w:color="auto"/>
        <w:left w:val="none" w:sz="0" w:space="0" w:color="auto"/>
        <w:bottom w:val="none" w:sz="0" w:space="0" w:color="auto"/>
        <w:right w:val="none" w:sz="0" w:space="0" w:color="auto"/>
      </w:divBdr>
    </w:div>
    <w:div w:id="1189223911">
      <w:bodyDiv w:val="1"/>
      <w:marLeft w:val="0"/>
      <w:marRight w:val="0"/>
      <w:marTop w:val="0"/>
      <w:marBottom w:val="0"/>
      <w:divBdr>
        <w:top w:val="none" w:sz="0" w:space="0" w:color="auto"/>
        <w:left w:val="none" w:sz="0" w:space="0" w:color="auto"/>
        <w:bottom w:val="none" w:sz="0" w:space="0" w:color="auto"/>
        <w:right w:val="none" w:sz="0" w:space="0" w:color="auto"/>
      </w:divBdr>
    </w:div>
    <w:div w:id="1211455923">
      <w:bodyDiv w:val="1"/>
      <w:marLeft w:val="0"/>
      <w:marRight w:val="0"/>
      <w:marTop w:val="0"/>
      <w:marBottom w:val="0"/>
      <w:divBdr>
        <w:top w:val="none" w:sz="0" w:space="0" w:color="auto"/>
        <w:left w:val="none" w:sz="0" w:space="0" w:color="auto"/>
        <w:bottom w:val="none" w:sz="0" w:space="0" w:color="auto"/>
        <w:right w:val="none" w:sz="0" w:space="0" w:color="auto"/>
      </w:divBdr>
    </w:div>
    <w:div w:id="1218471694">
      <w:bodyDiv w:val="1"/>
      <w:marLeft w:val="0"/>
      <w:marRight w:val="0"/>
      <w:marTop w:val="0"/>
      <w:marBottom w:val="0"/>
      <w:divBdr>
        <w:top w:val="none" w:sz="0" w:space="0" w:color="auto"/>
        <w:left w:val="none" w:sz="0" w:space="0" w:color="auto"/>
        <w:bottom w:val="none" w:sz="0" w:space="0" w:color="auto"/>
        <w:right w:val="none" w:sz="0" w:space="0" w:color="auto"/>
      </w:divBdr>
    </w:div>
    <w:div w:id="1264992398">
      <w:bodyDiv w:val="1"/>
      <w:marLeft w:val="0"/>
      <w:marRight w:val="0"/>
      <w:marTop w:val="0"/>
      <w:marBottom w:val="0"/>
      <w:divBdr>
        <w:top w:val="none" w:sz="0" w:space="0" w:color="auto"/>
        <w:left w:val="none" w:sz="0" w:space="0" w:color="auto"/>
        <w:bottom w:val="none" w:sz="0" w:space="0" w:color="auto"/>
        <w:right w:val="none" w:sz="0" w:space="0" w:color="auto"/>
      </w:divBdr>
    </w:div>
    <w:div w:id="1280333511">
      <w:bodyDiv w:val="1"/>
      <w:marLeft w:val="0"/>
      <w:marRight w:val="0"/>
      <w:marTop w:val="0"/>
      <w:marBottom w:val="0"/>
      <w:divBdr>
        <w:top w:val="none" w:sz="0" w:space="0" w:color="auto"/>
        <w:left w:val="none" w:sz="0" w:space="0" w:color="auto"/>
        <w:bottom w:val="none" w:sz="0" w:space="0" w:color="auto"/>
        <w:right w:val="none" w:sz="0" w:space="0" w:color="auto"/>
      </w:divBdr>
    </w:div>
    <w:div w:id="1297491411">
      <w:bodyDiv w:val="1"/>
      <w:marLeft w:val="0"/>
      <w:marRight w:val="0"/>
      <w:marTop w:val="0"/>
      <w:marBottom w:val="0"/>
      <w:divBdr>
        <w:top w:val="none" w:sz="0" w:space="0" w:color="auto"/>
        <w:left w:val="none" w:sz="0" w:space="0" w:color="auto"/>
        <w:bottom w:val="none" w:sz="0" w:space="0" w:color="auto"/>
        <w:right w:val="none" w:sz="0" w:space="0" w:color="auto"/>
      </w:divBdr>
    </w:div>
    <w:div w:id="1308896544">
      <w:bodyDiv w:val="1"/>
      <w:marLeft w:val="0"/>
      <w:marRight w:val="0"/>
      <w:marTop w:val="0"/>
      <w:marBottom w:val="0"/>
      <w:divBdr>
        <w:top w:val="none" w:sz="0" w:space="0" w:color="auto"/>
        <w:left w:val="none" w:sz="0" w:space="0" w:color="auto"/>
        <w:bottom w:val="none" w:sz="0" w:space="0" w:color="auto"/>
        <w:right w:val="none" w:sz="0" w:space="0" w:color="auto"/>
      </w:divBdr>
    </w:div>
    <w:div w:id="1314023303">
      <w:bodyDiv w:val="1"/>
      <w:marLeft w:val="0"/>
      <w:marRight w:val="0"/>
      <w:marTop w:val="0"/>
      <w:marBottom w:val="0"/>
      <w:divBdr>
        <w:top w:val="none" w:sz="0" w:space="0" w:color="auto"/>
        <w:left w:val="none" w:sz="0" w:space="0" w:color="auto"/>
        <w:bottom w:val="none" w:sz="0" w:space="0" w:color="auto"/>
        <w:right w:val="none" w:sz="0" w:space="0" w:color="auto"/>
      </w:divBdr>
    </w:div>
    <w:div w:id="1327828046">
      <w:bodyDiv w:val="1"/>
      <w:marLeft w:val="0"/>
      <w:marRight w:val="0"/>
      <w:marTop w:val="0"/>
      <w:marBottom w:val="0"/>
      <w:divBdr>
        <w:top w:val="none" w:sz="0" w:space="0" w:color="auto"/>
        <w:left w:val="none" w:sz="0" w:space="0" w:color="auto"/>
        <w:bottom w:val="none" w:sz="0" w:space="0" w:color="auto"/>
        <w:right w:val="none" w:sz="0" w:space="0" w:color="auto"/>
      </w:divBdr>
    </w:div>
    <w:div w:id="1337659880">
      <w:bodyDiv w:val="1"/>
      <w:marLeft w:val="0"/>
      <w:marRight w:val="0"/>
      <w:marTop w:val="0"/>
      <w:marBottom w:val="0"/>
      <w:divBdr>
        <w:top w:val="none" w:sz="0" w:space="0" w:color="auto"/>
        <w:left w:val="none" w:sz="0" w:space="0" w:color="auto"/>
        <w:bottom w:val="none" w:sz="0" w:space="0" w:color="auto"/>
        <w:right w:val="none" w:sz="0" w:space="0" w:color="auto"/>
      </w:divBdr>
    </w:div>
    <w:div w:id="1404139868">
      <w:bodyDiv w:val="1"/>
      <w:marLeft w:val="0"/>
      <w:marRight w:val="0"/>
      <w:marTop w:val="0"/>
      <w:marBottom w:val="0"/>
      <w:divBdr>
        <w:top w:val="none" w:sz="0" w:space="0" w:color="auto"/>
        <w:left w:val="none" w:sz="0" w:space="0" w:color="auto"/>
        <w:bottom w:val="none" w:sz="0" w:space="0" w:color="auto"/>
        <w:right w:val="none" w:sz="0" w:space="0" w:color="auto"/>
      </w:divBdr>
    </w:div>
    <w:div w:id="1409956999">
      <w:bodyDiv w:val="1"/>
      <w:marLeft w:val="0"/>
      <w:marRight w:val="0"/>
      <w:marTop w:val="0"/>
      <w:marBottom w:val="0"/>
      <w:divBdr>
        <w:top w:val="none" w:sz="0" w:space="0" w:color="auto"/>
        <w:left w:val="none" w:sz="0" w:space="0" w:color="auto"/>
        <w:bottom w:val="none" w:sz="0" w:space="0" w:color="auto"/>
        <w:right w:val="none" w:sz="0" w:space="0" w:color="auto"/>
      </w:divBdr>
    </w:div>
    <w:div w:id="1423600791">
      <w:bodyDiv w:val="1"/>
      <w:marLeft w:val="0"/>
      <w:marRight w:val="0"/>
      <w:marTop w:val="0"/>
      <w:marBottom w:val="0"/>
      <w:divBdr>
        <w:top w:val="none" w:sz="0" w:space="0" w:color="auto"/>
        <w:left w:val="none" w:sz="0" w:space="0" w:color="auto"/>
        <w:bottom w:val="none" w:sz="0" w:space="0" w:color="auto"/>
        <w:right w:val="none" w:sz="0" w:space="0" w:color="auto"/>
      </w:divBdr>
    </w:div>
    <w:div w:id="1434741275">
      <w:bodyDiv w:val="1"/>
      <w:marLeft w:val="0"/>
      <w:marRight w:val="0"/>
      <w:marTop w:val="0"/>
      <w:marBottom w:val="0"/>
      <w:divBdr>
        <w:top w:val="none" w:sz="0" w:space="0" w:color="auto"/>
        <w:left w:val="none" w:sz="0" w:space="0" w:color="auto"/>
        <w:bottom w:val="none" w:sz="0" w:space="0" w:color="auto"/>
        <w:right w:val="none" w:sz="0" w:space="0" w:color="auto"/>
      </w:divBdr>
    </w:div>
    <w:div w:id="1448739823">
      <w:bodyDiv w:val="1"/>
      <w:marLeft w:val="0"/>
      <w:marRight w:val="0"/>
      <w:marTop w:val="0"/>
      <w:marBottom w:val="0"/>
      <w:divBdr>
        <w:top w:val="none" w:sz="0" w:space="0" w:color="auto"/>
        <w:left w:val="none" w:sz="0" w:space="0" w:color="auto"/>
        <w:bottom w:val="none" w:sz="0" w:space="0" w:color="auto"/>
        <w:right w:val="none" w:sz="0" w:space="0" w:color="auto"/>
      </w:divBdr>
    </w:div>
    <w:div w:id="1450273742">
      <w:bodyDiv w:val="1"/>
      <w:marLeft w:val="0"/>
      <w:marRight w:val="0"/>
      <w:marTop w:val="0"/>
      <w:marBottom w:val="0"/>
      <w:divBdr>
        <w:top w:val="none" w:sz="0" w:space="0" w:color="auto"/>
        <w:left w:val="none" w:sz="0" w:space="0" w:color="auto"/>
        <w:bottom w:val="none" w:sz="0" w:space="0" w:color="auto"/>
        <w:right w:val="none" w:sz="0" w:space="0" w:color="auto"/>
      </w:divBdr>
    </w:div>
    <w:div w:id="1463961976">
      <w:bodyDiv w:val="1"/>
      <w:marLeft w:val="0"/>
      <w:marRight w:val="0"/>
      <w:marTop w:val="0"/>
      <w:marBottom w:val="0"/>
      <w:divBdr>
        <w:top w:val="none" w:sz="0" w:space="0" w:color="auto"/>
        <w:left w:val="none" w:sz="0" w:space="0" w:color="auto"/>
        <w:bottom w:val="none" w:sz="0" w:space="0" w:color="auto"/>
        <w:right w:val="none" w:sz="0" w:space="0" w:color="auto"/>
      </w:divBdr>
    </w:div>
    <w:div w:id="1481116027">
      <w:bodyDiv w:val="1"/>
      <w:marLeft w:val="0"/>
      <w:marRight w:val="0"/>
      <w:marTop w:val="0"/>
      <w:marBottom w:val="0"/>
      <w:divBdr>
        <w:top w:val="none" w:sz="0" w:space="0" w:color="auto"/>
        <w:left w:val="none" w:sz="0" w:space="0" w:color="auto"/>
        <w:bottom w:val="none" w:sz="0" w:space="0" w:color="auto"/>
        <w:right w:val="none" w:sz="0" w:space="0" w:color="auto"/>
      </w:divBdr>
    </w:div>
    <w:div w:id="1483422022">
      <w:bodyDiv w:val="1"/>
      <w:marLeft w:val="0"/>
      <w:marRight w:val="0"/>
      <w:marTop w:val="0"/>
      <w:marBottom w:val="0"/>
      <w:divBdr>
        <w:top w:val="none" w:sz="0" w:space="0" w:color="auto"/>
        <w:left w:val="none" w:sz="0" w:space="0" w:color="auto"/>
        <w:bottom w:val="none" w:sz="0" w:space="0" w:color="auto"/>
        <w:right w:val="none" w:sz="0" w:space="0" w:color="auto"/>
      </w:divBdr>
    </w:div>
    <w:div w:id="1521314473">
      <w:bodyDiv w:val="1"/>
      <w:marLeft w:val="0"/>
      <w:marRight w:val="0"/>
      <w:marTop w:val="0"/>
      <w:marBottom w:val="0"/>
      <w:divBdr>
        <w:top w:val="none" w:sz="0" w:space="0" w:color="auto"/>
        <w:left w:val="none" w:sz="0" w:space="0" w:color="auto"/>
        <w:bottom w:val="none" w:sz="0" w:space="0" w:color="auto"/>
        <w:right w:val="none" w:sz="0" w:space="0" w:color="auto"/>
      </w:divBdr>
    </w:div>
    <w:div w:id="1537346847">
      <w:bodyDiv w:val="1"/>
      <w:marLeft w:val="0"/>
      <w:marRight w:val="0"/>
      <w:marTop w:val="0"/>
      <w:marBottom w:val="0"/>
      <w:divBdr>
        <w:top w:val="none" w:sz="0" w:space="0" w:color="auto"/>
        <w:left w:val="none" w:sz="0" w:space="0" w:color="auto"/>
        <w:bottom w:val="none" w:sz="0" w:space="0" w:color="auto"/>
        <w:right w:val="none" w:sz="0" w:space="0" w:color="auto"/>
      </w:divBdr>
    </w:div>
    <w:div w:id="1547138813">
      <w:bodyDiv w:val="1"/>
      <w:marLeft w:val="0"/>
      <w:marRight w:val="0"/>
      <w:marTop w:val="0"/>
      <w:marBottom w:val="0"/>
      <w:divBdr>
        <w:top w:val="none" w:sz="0" w:space="0" w:color="auto"/>
        <w:left w:val="none" w:sz="0" w:space="0" w:color="auto"/>
        <w:bottom w:val="none" w:sz="0" w:space="0" w:color="auto"/>
        <w:right w:val="none" w:sz="0" w:space="0" w:color="auto"/>
      </w:divBdr>
    </w:div>
    <w:div w:id="1555194867">
      <w:bodyDiv w:val="1"/>
      <w:marLeft w:val="0"/>
      <w:marRight w:val="0"/>
      <w:marTop w:val="0"/>
      <w:marBottom w:val="0"/>
      <w:divBdr>
        <w:top w:val="none" w:sz="0" w:space="0" w:color="auto"/>
        <w:left w:val="none" w:sz="0" w:space="0" w:color="auto"/>
        <w:bottom w:val="none" w:sz="0" w:space="0" w:color="auto"/>
        <w:right w:val="none" w:sz="0" w:space="0" w:color="auto"/>
      </w:divBdr>
    </w:div>
    <w:div w:id="1559516218">
      <w:bodyDiv w:val="1"/>
      <w:marLeft w:val="0"/>
      <w:marRight w:val="0"/>
      <w:marTop w:val="0"/>
      <w:marBottom w:val="0"/>
      <w:divBdr>
        <w:top w:val="none" w:sz="0" w:space="0" w:color="auto"/>
        <w:left w:val="none" w:sz="0" w:space="0" w:color="auto"/>
        <w:bottom w:val="none" w:sz="0" w:space="0" w:color="auto"/>
        <w:right w:val="none" w:sz="0" w:space="0" w:color="auto"/>
      </w:divBdr>
    </w:div>
    <w:div w:id="1583224754">
      <w:bodyDiv w:val="1"/>
      <w:marLeft w:val="0"/>
      <w:marRight w:val="0"/>
      <w:marTop w:val="0"/>
      <w:marBottom w:val="0"/>
      <w:divBdr>
        <w:top w:val="none" w:sz="0" w:space="0" w:color="auto"/>
        <w:left w:val="none" w:sz="0" w:space="0" w:color="auto"/>
        <w:bottom w:val="none" w:sz="0" w:space="0" w:color="auto"/>
        <w:right w:val="none" w:sz="0" w:space="0" w:color="auto"/>
      </w:divBdr>
    </w:div>
    <w:div w:id="1585609682">
      <w:bodyDiv w:val="1"/>
      <w:marLeft w:val="0"/>
      <w:marRight w:val="0"/>
      <w:marTop w:val="0"/>
      <w:marBottom w:val="0"/>
      <w:divBdr>
        <w:top w:val="none" w:sz="0" w:space="0" w:color="auto"/>
        <w:left w:val="none" w:sz="0" w:space="0" w:color="auto"/>
        <w:bottom w:val="none" w:sz="0" w:space="0" w:color="auto"/>
        <w:right w:val="none" w:sz="0" w:space="0" w:color="auto"/>
      </w:divBdr>
    </w:div>
    <w:div w:id="1606422004">
      <w:bodyDiv w:val="1"/>
      <w:marLeft w:val="0"/>
      <w:marRight w:val="0"/>
      <w:marTop w:val="0"/>
      <w:marBottom w:val="0"/>
      <w:divBdr>
        <w:top w:val="none" w:sz="0" w:space="0" w:color="auto"/>
        <w:left w:val="none" w:sz="0" w:space="0" w:color="auto"/>
        <w:bottom w:val="none" w:sz="0" w:space="0" w:color="auto"/>
        <w:right w:val="none" w:sz="0" w:space="0" w:color="auto"/>
      </w:divBdr>
    </w:div>
    <w:div w:id="1609311769">
      <w:bodyDiv w:val="1"/>
      <w:marLeft w:val="0"/>
      <w:marRight w:val="0"/>
      <w:marTop w:val="0"/>
      <w:marBottom w:val="0"/>
      <w:divBdr>
        <w:top w:val="none" w:sz="0" w:space="0" w:color="auto"/>
        <w:left w:val="none" w:sz="0" w:space="0" w:color="auto"/>
        <w:bottom w:val="none" w:sz="0" w:space="0" w:color="auto"/>
        <w:right w:val="none" w:sz="0" w:space="0" w:color="auto"/>
      </w:divBdr>
    </w:div>
    <w:div w:id="1630625063">
      <w:bodyDiv w:val="1"/>
      <w:marLeft w:val="0"/>
      <w:marRight w:val="0"/>
      <w:marTop w:val="0"/>
      <w:marBottom w:val="0"/>
      <w:divBdr>
        <w:top w:val="none" w:sz="0" w:space="0" w:color="auto"/>
        <w:left w:val="none" w:sz="0" w:space="0" w:color="auto"/>
        <w:bottom w:val="none" w:sz="0" w:space="0" w:color="auto"/>
        <w:right w:val="none" w:sz="0" w:space="0" w:color="auto"/>
      </w:divBdr>
    </w:div>
    <w:div w:id="1641030737">
      <w:bodyDiv w:val="1"/>
      <w:marLeft w:val="0"/>
      <w:marRight w:val="0"/>
      <w:marTop w:val="0"/>
      <w:marBottom w:val="0"/>
      <w:divBdr>
        <w:top w:val="none" w:sz="0" w:space="0" w:color="auto"/>
        <w:left w:val="none" w:sz="0" w:space="0" w:color="auto"/>
        <w:bottom w:val="none" w:sz="0" w:space="0" w:color="auto"/>
        <w:right w:val="none" w:sz="0" w:space="0" w:color="auto"/>
      </w:divBdr>
    </w:div>
    <w:div w:id="1673146160">
      <w:bodyDiv w:val="1"/>
      <w:marLeft w:val="0"/>
      <w:marRight w:val="0"/>
      <w:marTop w:val="0"/>
      <w:marBottom w:val="0"/>
      <w:divBdr>
        <w:top w:val="none" w:sz="0" w:space="0" w:color="auto"/>
        <w:left w:val="none" w:sz="0" w:space="0" w:color="auto"/>
        <w:bottom w:val="none" w:sz="0" w:space="0" w:color="auto"/>
        <w:right w:val="none" w:sz="0" w:space="0" w:color="auto"/>
      </w:divBdr>
    </w:div>
    <w:div w:id="1674335360">
      <w:bodyDiv w:val="1"/>
      <w:marLeft w:val="0"/>
      <w:marRight w:val="0"/>
      <w:marTop w:val="0"/>
      <w:marBottom w:val="0"/>
      <w:divBdr>
        <w:top w:val="none" w:sz="0" w:space="0" w:color="auto"/>
        <w:left w:val="none" w:sz="0" w:space="0" w:color="auto"/>
        <w:bottom w:val="none" w:sz="0" w:space="0" w:color="auto"/>
        <w:right w:val="none" w:sz="0" w:space="0" w:color="auto"/>
      </w:divBdr>
    </w:div>
    <w:div w:id="1684015426">
      <w:bodyDiv w:val="1"/>
      <w:marLeft w:val="0"/>
      <w:marRight w:val="0"/>
      <w:marTop w:val="0"/>
      <w:marBottom w:val="0"/>
      <w:divBdr>
        <w:top w:val="none" w:sz="0" w:space="0" w:color="auto"/>
        <w:left w:val="none" w:sz="0" w:space="0" w:color="auto"/>
        <w:bottom w:val="none" w:sz="0" w:space="0" w:color="auto"/>
        <w:right w:val="none" w:sz="0" w:space="0" w:color="auto"/>
      </w:divBdr>
    </w:div>
    <w:div w:id="1690251493">
      <w:bodyDiv w:val="1"/>
      <w:marLeft w:val="0"/>
      <w:marRight w:val="0"/>
      <w:marTop w:val="0"/>
      <w:marBottom w:val="0"/>
      <w:divBdr>
        <w:top w:val="none" w:sz="0" w:space="0" w:color="auto"/>
        <w:left w:val="none" w:sz="0" w:space="0" w:color="auto"/>
        <w:bottom w:val="none" w:sz="0" w:space="0" w:color="auto"/>
        <w:right w:val="none" w:sz="0" w:space="0" w:color="auto"/>
      </w:divBdr>
    </w:div>
    <w:div w:id="1698655550">
      <w:bodyDiv w:val="1"/>
      <w:marLeft w:val="0"/>
      <w:marRight w:val="0"/>
      <w:marTop w:val="0"/>
      <w:marBottom w:val="0"/>
      <w:divBdr>
        <w:top w:val="none" w:sz="0" w:space="0" w:color="auto"/>
        <w:left w:val="none" w:sz="0" w:space="0" w:color="auto"/>
        <w:bottom w:val="none" w:sz="0" w:space="0" w:color="auto"/>
        <w:right w:val="none" w:sz="0" w:space="0" w:color="auto"/>
      </w:divBdr>
    </w:div>
    <w:div w:id="1711762517">
      <w:bodyDiv w:val="1"/>
      <w:marLeft w:val="0"/>
      <w:marRight w:val="0"/>
      <w:marTop w:val="0"/>
      <w:marBottom w:val="0"/>
      <w:divBdr>
        <w:top w:val="none" w:sz="0" w:space="0" w:color="auto"/>
        <w:left w:val="none" w:sz="0" w:space="0" w:color="auto"/>
        <w:bottom w:val="none" w:sz="0" w:space="0" w:color="auto"/>
        <w:right w:val="none" w:sz="0" w:space="0" w:color="auto"/>
      </w:divBdr>
    </w:div>
    <w:div w:id="1732382248">
      <w:bodyDiv w:val="1"/>
      <w:marLeft w:val="0"/>
      <w:marRight w:val="0"/>
      <w:marTop w:val="0"/>
      <w:marBottom w:val="0"/>
      <w:divBdr>
        <w:top w:val="none" w:sz="0" w:space="0" w:color="auto"/>
        <w:left w:val="none" w:sz="0" w:space="0" w:color="auto"/>
        <w:bottom w:val="none" w:sz="0" w:space="0" w:color="auto"/>
        <w:right w:val="none" w:sz="0" w:space="0" w:color="auto"/>
      </w:divBdr>
    </w:div>
    <w:div w:id="1742941155">
      <w:bodyDiv w:val="1"/>
      <w:marLeft w:val="0"/>
      <w:marRight w:val="0"/>
      <w:marTop w:val="0"/>
      <w:marBottom w:val="0"/>
      <w:divBdr>
        <w:top w:val="none" w:sz="0" w:space="0" w:color="auto"/>
        <w:left w:val="none" w:sz="0" w:space="0" w:color="auto"/>
        <w:bottom w:val="none" w:sz="0" w:space="0" w:color="auto"/>
        <w:right w:val="none" w:sz="0" w:space="0" w:color="auto"/>
      </w:divBdr>
    </w:div>
    <w:div w:id="1775785114">
      <w:bodyDiv w:val="1"/>
      <w:marLeft w:val="0"/>
      <w:marRight w:val="0"/>
      <w:marTop w:val="0"/>
      <w:marBottom w:val="0"/>
      <w:divBdr>
        <w:top w:val="none" w:sz="0" w:space="0" w:color="auto"/>
        <w:left w:val="none" w:sz="0" w:space="0" w:color="auto"/>
        <w:bottom w:val="none" w:sz="0" w:space="0" w:color="auto"/>
        <w:right w:val="none" w:sz="0" w:space="0" w:color="auto"/>
      </w:divBdr>
    </w:div>
    <w:div w:id="1815678927">
      <w:bodyDiv w:val="1"/>
      <w:marLeft w:val="0"/>
      <w:marRight w:val="0"/>
      <w:marTop w:val="0"/>
      <w:marBottom w:val="0"/>
      <w:divBdr>
        <w:top w:val="none" w:sz="0" w:space="0" w:color="auto"/>
        <w:left w:val="none" w:sz="0" w:space="0" w:color="auto"/>
        <w:bottom w:val="none" w:sz="0" w:space="0" w:color="auto"/>
        <w:right w:val="none" w:sz="0" w:space="0" w:color="auto"/>
      </w:divBdr>
    </w:div>
    <w:div w:id="1825076987">
      <w:bodyDiv w:val="1"/>
      <w:marLeft w:val="0"/>
      <w:marRight w:val="0"/>
      <w:marTop w:val="0"/>
      <w:marBottom w:val="0"/>
      <w:divBdr>
        <w:top w:val="none" w:sz="0" w:space="0" w:color="auto"/>
        <w:left w:val="none" w:sz="0" w:space="0" w:color="auto"/>
        <w:bottom w:val="none" w:sz="0" w:space="0" w:color="auto"/>
        <w:right w:val="none" w:sz="0" w:space="0" w:color="auto"/>
      </w:divBdr>
    </w:div>
    <w:div w:id="1835223428">
      <w:bodyDiv w:val="1"/>
      <w:marLeft w:val="0"/>
      <w:marRight w:val="0"/>
      <w:marTop w:val="0"/>
      <w:marBottom w:val="0"/>
      <w:divBdr>
        <w:top w:val="none" w:sz="0" w:space="0" w:color="auto"/>
        <w:left w:val="none" w:sz="0" w:space="0" w:color="auto"/>
        <w:bottom w:val="none" w:sz="0" w:space="0" w:color="auto"/>
        <w:right w:val="none" w:sz="0" w:space="0" w:color="auto"/>
      </w:divBdr>
    </w:div>
    <w:div w:id="1856070607">
      <w:bodyDiv w:val="1"/>
      <w:marLeft w:val="0"/>
      <w:marRight w:val="0"/>
      <w:marTop w:val="0"/>
      <w:marBottom w:val="0"/>
      <w:divBdr>
        <w:top w:val="none" w:sz="0" w:space="0" w:color="auto"/>
        <w:left w:val="none" w:sz="0" w:space="0" w:color="auto"/>
        <w:bottom w:val="none" w:sz="0" w:space="0" w:color="auto"/>
        <w:right w:val="none" w:sz="0" w:space="0" w:color="auto"/>
      </w:divBdr>
    </w:div>
    <w:div w:id="1865628311">
      <w:bodyDiv w:val="1"/>
      <w:marLeft w:val="0"/>
      <w:marRight w:val="0"/>
      <w:marTop w:val="0"/>
      <w:marBottom w:val="0"/>
      <w:divBdr>
        <w:top w:val="none" w:sz="0" w:space="0" w:color="auto"/>
        <w:left w:val="none" w:sz="0" w:space="0" w:color="auto"/>
        <w:bottom w:val="none" w:sz="0" w:space="0" w:color="auto"/>
        <w:right w:val="none" w:sz="0" w:space="0" w:color="auto"/>
      </w:divBdr>
    </w:div>
    <w:div w:id="1866749382">
      <w:bodyDiv w:val="1"/>
      <w:marLeft w:val="0"/>
      <w:marRight w:val="0"/>
      <w:marTop w:val="0"/>
      <w:marBottom w:val="0"/>
      <w:divBdr>
        <w:top w:val="none" w:sz="0" w:space="0" w:color="auto"/>
        <w:left w:val="none" w:sz="0" w:space="0" w:color="auto"/>
        <w:bottom w:val="none" w:sz="0" w:space="0" w:color="auto"/>
        <w:right w:val="none" w:sz="0" w:space="0" w:color="auto"/>
      </w:divBdr>
    </w:div>
    <w:div w:id="1873691235">
      <w:bodyDiv w:val="1"/>
      <w:marLeft w:val="0"/>
      <w:marRight w:val="0"/>
      <w:marTop w:val="0"/>
      <w:marBottom w:val="0"/>
      <w:divBdr>
        <w:top w:val="none" w:sz="0" w:space="0" w:color="auto"/>
        <w:left w:val="none" w:sz="0" w:space="0" w:color="auto"/>
        <w:bottom w:val="none" w:sz="0" w:space="0" w:color="auto"/>
        <w:right w:val="none" w:sz="0" w:space="0" w:color="auto"/>
      </w:divBdr>
    </w:div>
    <w:div w:id="1878158786">
      <w:bodyDiv w:val="1"/>
      <w:marLeft w:val="0"/>
      <w:marRight w:val="0"/>
      <w:marTop w:val="0"/>
      <w:marBottom w:val="0"/>
      <w:divBdr>
        <w:top w:val="none" w:sz="0" w:space="0" w:color="auto"/>
        <w:left w:val="none" w:sz="0" w:space="0" w:color="auto"/>
        <w:bottom w:val="none" w:sz="0" w:space="0" w:color="auto"/>
        <w:right w:val="none" w:sz="0" w:space="0" w:color="auto"/>
      </w:divBdr>
    </w:div>
    <w:div w:id="1879315369">
      <w:bodyDiv w:val="1"/>
      <w:marLeft w:val="0"/>
      <w:marRight w:val="0"/>
      <w:marTop w:val="0"/>
      <w:marBottom w:val="0"/>
      <w:divBdr>
        <w:top w:val="none" w:sz="0" w:space="0" w:color="auto"/>
        <w:left w:val="none" w:sz="0" w:space="0" w:color="auto"/>
        <w:bottom w:val="none" w:sz="0" w:space="0" w:color="auto"/>
        <w:right w:val="none" w:sz="0" w:space="0" w:color="auto"/>
      </w:divBdr>
    </w:div>
    <w:div w:id="1893074450">
      <w:bodyDiv w:val="1"/>
      <w:marLeft w:val="0"/>
      <w:marRight w:val="0"/>
      <w:marTop w:val="0"/>
      <w:marBottom w:val="0"/>
      <w:divBdr>
        <w:top w:val="none" w:sz="0" w:space="0" w:color="auto"/>
        <w:left w:val="none" w:sz="0" w:space="0" w:color="auto"/>
        <w:bottom w:val="none" w:sz="0" w:space="0" w:color="auto"/>
        <w:right w:val="none" w:sz="0" w:space="0" w:color="auto"/>
      </w:divBdr>
    </w:div>
    <w:div w:id="1904635579">
      <w:bodyDiv w:val="1"/>
      <w:marLeft w:val="0"/>
      <w:marRight w:val="0"/>
      <w:marTop w:val="0"/>
      <w:marBottom w:val="0"/>
      <w:divBdr>
        <w:top w:val="none" w:sz="0" w:space="0" w:color="auto"/>
        <w:left w:val="none" w:sz="0" w:space="0" w:color="auto"/>
        <w:bottom w:val="none" w:sz="0" w:space="0" w:color="auto"/>
        <w:right w:val="none" w:sz="0" w:space="0" w:color="auto"/>
      </w:divBdr>
    </w:div>
    <w:div w:id="1915968760">
      <w:bodyDiv w:val="1"/>
      <w:marLeft w:val="0"/>
      <w:marRight w:val="0"/>
      <w:marTop w:val="0"/>
      <w:marBottom w:val="0"/>
      <w:divBdr>
        <w:top w:val="none" w:sz="0" w:space="0" w:color="auto"/>
        <w:left w:val="none" w:sz="0" w:space="0" w:color="auto"/>
        <w:bottom w:val="none" w:sz="0" w:space="0" w:color="auto"/>
        <w:right w:val="none" w:sz="0" w:space="0" w:color="auto"/>
      </w:divBdr>
    </w:div>
    <w:div w:id="1935166326">
      <w:bodyDiv w:val="1"/>
      <w:marLeft w:val="0"/>
      <w:marRight w:val="0"/>
      <w:marTop w:val="0"/>
      <w:marBottom w:val="0"/>
      <w:divBdr>
        <w:top w:val="none" w:sz="0" w:space="0" w:color="auto"/>
        <w:left w:val="none" w:sz="0" w:space="0" w:color="auto"/>
        <w:bottom w:val="none" w:sz="0" w:space="0" w:color="auto"/>
        <w:right w:val="none" w:sz="0" w:space="0" w:color="auto"/>
      </w:divBdr>
    </w:div>
    <w:div w:id="1949896470">
      <w:bodyDiv w:val="1"/>
      <w:marLeft w:val="0"/>
      <w:marRight w:val="0"/>
      <w:marTop w:val="0"/>
      <w:marBottom w:val="0"/>
      <w:divBdr>
        <w:top w:val="none" w:sz="0" w:space="0" w:color="auto"/>
        <w:left w:val="none" w:sz="0" w:space="0" w:color="auto"/>
        <w:bottom w:val="none" w:sz="0" w:space="0" w:color="auto"/>
        <w:right w:val="none" w:sz="0" w:space="0" w:color="auto"/>
      </w:divBdr>
    </w:div>
    <w:div w:id="1980331723">
      <w:bodyDiv w:val="1"/>
      <w:marLeft w:val="0"/>
      <w:marRight w:val="0"/>
      <w:marTop w:val="0"/>
      <w:marBottom w:val="0"/>
      <w:divBdr>
        <w:top w:val="none" w:sz="0" w:space="0" w:color="auto"/>
        <w:left w:val="none" w:sz="0" w:space="0" w:color="auto"/>
        <w:bottom w:val="none" w:sz="0" w:space="0" w:color="auto"/>
        <w:right w:val="none" w:sz="0" w:space="0" w:color="auto"/>
      </w:divBdr>
    </w:div>
    <w:div w:id="1980451498">
      <w:bodyDiv w:val="1"/>
      <w:marLeft w:val="0"/>
      <w:marRight w:val="0"/>
      <w:marTop w:val="0"/>
      <w:marBottom w:val="0"/>
      <w:divBdr>
        <w:top w:val="none" w:sz="0" w:space="0" w:color="auto"/>
        <w:left w:val="none" w:sz="0" w:space="0" w:color="auto"/>
        <w:bottom w:val="none" w:sz="0" w:space="0" w:color="auto"/>
        <w:right w:val="none" w:sz="0" w:space="0" w:color="auto"/>
      </w:divBdr>
    </w:div>
    <w:div w:id="1990398204">
      <w:bodyDiv w:val="1"/>
      <w:marLeft w:val="0"/>
      <w:marRight w:val="0"/>
      <w:marTop w:val="0"/>
      <w:marBottom w:val="0"/>
      <w:divBdr>
        <w:top w:val="none" w:sz="0" w:space="0" w:color="auto"/>
        <w:left w:val="none" w:sz="0" w:space="0" w:color="auto"/>
        <w:bottom w:val="none" w:sz="0" w:space="0" w:color="auto"/>
        <w:right w:val="none" w:sz="0" w:space="0" w:color="auto"/>
      </w:divBdr>
    </w:div>
    <w:div w:id="2015721558">
      <w:bodyDiv w:val="1"/>
      <w:marLeft w:val="0"/>
      <w:marRight w:val="0"/>
      <w:marTop w:val="0"/>
      <w:marBottom w:val="0"/>
      <w:divBdr>
        <w:top w:val="none" w:sz="0" w:space="0" w:color="auto"/>
        <w:left w:val="none" w:sz="0" w:space="0" w:color="auto"/>
        <w:bottom w:val="none" w:sz="0" w:space="0" w:color="auto"/>
        <w:right w:val="none" w:sz="0" w:space="0" w:color="auto"/>
      </w:divBdr>
    </w:div>
    <w:div w:id="2016105477">
      <w:bodyDiv w:val="1"/>
      <w:marLeft w:val="0"/>
      <w:marRight w:val="0"/>
      <w:marTop w:val="0"/>
      <w:marBottom w:val="0"/>
      <w:divBdr>
        <w:top w:val="none" w:sz="0" w:space="0" w:color="auto"/>
        <w:left w:val="none" w:sz="0" w:space="0" w:color="auto"/>
        <w:bottom w:val="none" w:sz="0" w:space="0" w:color="auto"/>
        <w:right w:val="none" w:sz="0" w:space="0" w:color="auto"/>
      </w:divBdr>
    </w:div>
    <w:div w:id="2021855424">
      <w:bodyDiv w:val="1"/>
      <w:marLeft w:val="0"/>
      <w:marRight w:val="0"/>
      <w:marTop w:val="0"/>
      <w:marBottom w:val="0"/>
      <w:divBdr>
        <w:top w:val="none" w:sz="0" w:space="0" w:color="auto"/>
        <w:left w:val="none" w:sz="0" w:space="0" w:color="auto"/>
        <w:bottom w:val="none" w:sz="0" w:space="0" w:color="auto"/>
        <w:right w:val="none" w:sz="0" w:space="0" w:color="auto"/>
      </w:divBdr>
      <w:divsChild>
        <w:div w:id="1693648689">
          <w:marLeft w:val="0"/>
          <w:marRight w:val="0"/>
          <w:marTop w:val="0"/>
          <w:marBottom w:val="0"/>
          <w:divBdr>
            <w:top w:val="none" w:sz="0" w:space="0" w:color="auto"/>
            <w:left w:val="none" w:sz="0" w:space="0" w:color="auto"/>
            <w:bottom w:val="none" w:sz="0" w:space="0" w:color="auto"/>
            <w:right w:val="none" w:sz="0" w:space="0" w:color="auto"/>
          </w:divBdr>
          <w:divsChild>
            <w:div w:id="408617907">
              <w:marLeft w:val="0"/>
              <w:marRight w:val="0"/>
              <w:marTop w:val="0"/>
              <w:marBottom w:val="0"/>
              <w:divBdr>
                <w:top w:val="none" w:sz="0" w:space="0" w:color="auto"/>
                <w:left w:val="none" w:sz="0" w:space="0" w:color="auto"/>
                <w:bottom w:val="none" w:sz="0" w:space="0" w:color="auto"/>
                <w:right w:val="none" w:sz="0" w:space="0" w:color="auto"/>
              </w:divBdr>
              <w:divsChild>
                <w:div w:id="994336371">
                  <w:marLeft w:val="0"/>
                  <w:marRight w:val="0"/>
                  <w:marTop w:val="0"/>
                  <w:marBottom w:val="0"/>
                  <w:divBdr>
                    <w:top w:val="none" w:sz="0" w:space="0" w:color="auto"/>
                    <w:left w:val="none" w:sz="0" w:space="0" w:color="auto"/>
                    <w:bottom w:val="none" w:sz="0" w:space="0" w:color="auto"/>
                    <w:right w:val="none" w:sz="0" w:space="0" w:color="auto"/>
                  </w:divBdr>
                  <w:divsChild>
                    <w:div w:id="1873378209">
                      <w:marLeft w:val="0"/>
                      <w:marRight w:val="0"/>
                      <w:marTop w:val="0"/>
                      <w:marBottom w:val="0"/>
                      <w:divBdr>
                        <w:top w:val="none" w:sz="0" w:space="0" w:color="auto"/>
                        <w:left w:val="none" w:sz="0" w:space="0" w:color="auto"/>
                        <w:bottom w:val="none" w:sz="0" w:space="0" w:color="auto"/>
                        <w:right w:val="none" w:sz="0" w:space="0" w:color="auto"/>
                      </w:divBdr>
                      <w:divsChild>
                        <w:div w:id="895509087">
                          <w:marLeft w:val="0"/>
                          <w:marRight w:val="0"/>
                          <w:marTop w:val="0"/>
                          <w:marBottom w:val="0"/>
                          <w:divBdr>
                            <w:top w:val="none" w:sz="0" w:space="0" w:color="auto"/>
                            <w:left w:val="none" w:sz="0" w:space="0" w:color="auto"/>
                            <w:bottom w:val="none" w:sz="0" w:space="0" w:color="auto"/>
                            <w:right w:val="none" w:sz="0" w:space="0" w:color="auto"/>
                          </w:divBdr>
                          <w:divsChild>
                            <w:div w:id="816147328">
                              <w:marLeft w:val="0"/>
                              <w:marRight w:val="0"/>
                              <w:marTop w:val="0"/>
                              <w:marBottom w:val="0"/>
                              <w:divBdr>
                                <w:top w:val="none" w:sz="0" w:space="0" w:color="auto"/>
                                <w:left w:val="none" w:sz="0" w:space="0" w:color="auto"/>
                                <w:bottom w:val="none" w:sz="0" w:space="0" w:color="auto"/>
                                <w:right w:val="none" w:sz="0" w:space="0" w:color="auto"/>
                              </w:divBdr>
                              <w:divsChild>
                                <w:div w:id="312224459">
                                  <w:marLeft w:val="0"/>
                                  <w:marRight w:val="0"/>
                                  <w:marTop w:val="0"/>
                                  <w:marBottom w:val="0"/>
                                  <w:divBdr>
                                    <w:top w:val="none" w:sz="0" w:space="0" w:color="auto"/>
                                    <w:left w:val="none" w:sz="0" w:space="0" w:color="auto"/>
                                    <w:bottom w:val="none" w:sz="0" w:space="0" w:color="auto"/>
                                    <w:right w:val="none" w:sz="0" w:space="0" w:color="auto"/>
                                  </w:divBdr>
                                  <w:divsChild>
                                    <w:div w:id="9541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554067">
                      <w:marLeft w:val="0"/>
                      <w:marRight w:val="0"/>
                      <w:marTop w:val="0"/>
                      <w:marBottom w:val="0"/>
                      <w:divBdr>
                        <w:top w:val="none" w:sz="0" w:space="0" w:color="auto"/>
                        <w:left w:val="none" w:sz="0" w:space="0" w:color="auto"/>
                        <w:bottom w:val="none" w:sz="0" w:space="0" w:color="auto"/>
                        <w:right w:val="none" w:sz="0" w:space="0" w:color="auto"/>
                      </w:divBdr>
                      <w:divsChild>
                        <w:div w:id="7741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446468">
      <w:bodyDiv w:val="1"/>
      <w:marLeft w:val="0"/>
      <w:marRight w:val="0"/>
      <w:marTop w:val="0"/>
      <w:marBottom w:val="0"/>
      <w:divBdr>
        <w:top w:val="none" w:sz="0" w:space="0" w:color="auto"/>
        <w:left w:val="none" w:sz="0" w:space="0" w:color="auto"/>
        <w:bottom w:val="none" w:sz="0" w:space="0" w:color="auto"/>
        <w:right w:val="none" w:sz="0" w:space="0" w:color="auto"/>
      </w:divBdr>
    </w:div>
    <w:div w:id="2035031262">
      <w:bodyDiv w:val="1"/>
      <w:marLeft w:val="0"/>
      <w:marRight w:val="0"/>
      <w:marTop w:val="0"/>
      <w:marBottom w:val="0"/>
      <w:divBdr>
        <w:top w:val="none" w:sz="0" w:space="0" w:color="auto"/>
        <w:left w:val="none" w:sz="0" w:space="0" w:color="auto"/>
        <w:bottom w:val="none" w:sz="0" w:space="0" w:color="auto"/>
        <w:right w:val="none" w:sz="0" w:space="0" w:color="auto"/>
      </w:divBdr>
    </w:div>
    <w:div w:id="2048019018">
      <w:bodyDiv w:val="1"/>
      <w:marLeft w:val="0"/>
      <w:marRight w:val="0"/>
      <w:marTop w:val="0"/>
      <w:marBottom w:val="0"/>
      <w:divBdr>
        <w:top w:val="none" w:sz="0" w:space="0" w:color="auto"/>
        <w:left w:val="none" w:sz="0" w:space="0" w:color="auto"/>
        <w:bottom w:val="none" w:sz="0" w:space="0" w:color="auto"/>
        <w:right w:val="none" w:sz="0" w:space="0" w:color="auto"/>
      </w:divBdr>
    </w:div>
    <w:div w:id="2062708516">
      <w:bodyDiv w:val="1"/>
      <w:marLeft w:val="0"/>
      <w:marRight w:val="0"/>
      <w:marTop w:val="0"/>
      <w:marBottom w:val="0"/>
      <w:divBdr>
        <w:top w:val="none" w:sz="0" w:space="0" w:color="auto"/>
        <w:left w:val="none" w:sz="0" w:space="0" w:color="auto"/>
        <w:bottom w:val="none" w:sz="0" w:space="0" w:color="auto"/>
        <w:right w:val="none" w:sz="0" w:space="0" w:color="auto"/>
      </w:divBdr>
    </w:div>
    <w:div w:id="2069568292">
      <w:bodyDiv w:val="1"/>
      <w:marLeft w:val="0"/>
      <w:marRight w:val="0"/>
      <w:marTop w:val="0"/>
      <w:marBottom w:val="0"/>
      <w:divBdr>
        <w:top w:val="none" w:sz="0" w:space="0" w:color="auto"/>
        <w:left w:val="none" w:sz="0" w:space="0" w:color="auto"/>
        <w:bottom w:val="none" w:sz="0" w:space="0" w:color="auto"/>
        <w:right w:val="none" w:sz="0" w:space="0" w:color="auto"/>
      </w:divBdr>
    </w:div>
    <w:div w:id="2076972273">
      <w:bodyDiv w:val="1"/>
      <w:marLeft w:val="0"/>
      <w:marRight w:val="0"/>
      <w:marTop w:val="0"/>
      <w:marBottom w:val="0"/>
      <w:divBdr>
        <w:top w:val="none" w:sz="0" w:space="0" w:color="auto"/>
        <w:left w:val="none" w:sz="0" w:space="0" w:color="auto"/>
        <w:bottom w:val="none" w:sz="0" w:space="0" w:color="auto"/>
        <w:right w:val="none" w:sz="0" w:space="0" w:color="auto"/>
      </w:divBdr>
    </w:div>
    <w:div w:id="2099448971">
      <w:bodyDiv w:val="1"/>
      <w:marLeft w:val="0"/>
      <w:marRight w:val="0"/>
      <w:marTop w:val="0"/>
      <w:marBottom w:val="0"/>
      <w:divBdr>
        <w:top w:val="none" w:sz="0" w:space="0" w:color="auto"/>
        <w:left w:val="none" w:sz="0" w:space="0" w:color="auto"/>
        <w:bottom w:val="none" w:sz="0" w:space="0" w:color="auto"/>
        <w:right w:val="none" w:sz="0" w:space="0" w:color="auto"/>
      </w:divBdr>
    </w:div>
    <w:div w:id="2125925517">
      <w:bodyDiv w:val="1"/>
      <w:marLeft w:val="0"/>
      <w:marRight w:val="0"/>
      <w:marTop w:val="0"/>
      <w:marBottom w:val="0"/>
      <w:divBdr>
        <w:top w:val="none" w:sz="0" w:space="0" w:color="auto"/>
        <w:left w:val="none" w:sz="0" w:space="0" w:color="auto"/>
        <w:bottom w:val="none" w:sz="0" w:space="0" w:color="auto"/>
        <w:right w:val="none" w:sz="0" w:space="0" w:color="auto"/>
      </w:divBdr>
    </w:div>
    <w:div w:id="2142765384">
      <w:bodyDiv w:val="1"/>
      <w:marLeft w:val="0"/>
      <w:marRight w:val="0"/>
      <w:marTop w:val="0"/>
      <w:marBottom w:val="0"/>
      <w:divBdr>
        <w:top w:val="none" w:sz="0" w:space="0" w:color="auto"/>
        <w:left w:val="none" w:sz="0" w:space="0" w:color="auto"/>
        <w:bottom w:val="none" w:sz="0" w:space="0" w:color="auto"/>
        <w:right w:val="none" w:sz="0" w:space="0" w:color="auto"/>
      </w:divBdr>
    </w:div>
    <w:div w:id="2144469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4" Target="https://clinicaltrials.gov/study/NCT06625775" TargetMode="External" /><Relationship Type="http://schemas.openxmlformats.org/officeDocument/2006/relationships/hyperlink" Id="rId35" Target="https://datacommons.cancer.gov/cloud-resources" TargetMode="External" /><Relationship Type="http://schemas.openxmlformats.org/officeDocument/2006/relationships/hyperlink" Id="rId113" Target="https://dpcpsi.nih.gov/thro/tribal-consultations/national-institute-minority-health-and-health-disparities-nimhd-initiative-improving-american" TargetMode="External" /><Relationship Type="http://schemas.openxmlformats.org/officeDocument/2006/relationships/hyperlink" Id="rId115" Target="https://grants.nih.gov/grants/guide/notice-files/NOT-MD-24-015.html" TargetMode="External" /><Relationship Type="http://schemas.openxmlformats.org/officeDocument/2006/relationships/hyperlink" Id="rId29" Target="https://onlinelibrary.wiley.com/doi/10.1002/em.22534" TargetMode="External" /><Relationship Type="http://schemas.openxmlformats.org/officeDocument/2006/relationships/hyperlink" Id="rId90" Target="https://prevention.cancer.gov/major-programs/cancer-screening-research-network-csrn" TargetMode="External" /><Relationship Type="http://schemas.openxmlformats.org/officeDocument/2006/relationships/hyperlink" Id="rId37" Target="https://progressreport.cancer.gov" TargetMode="External" /><Relationship Type="http://schemas.openxmlformats.org/officeDocument/2006/relationships/hyperlink" Id="rId126" Target="https://pubmed.ncbi.nlm.nih.gov/34081848" TargetMode="External" /><Relationship Type="http://schemas.openxmlformats.org/officeDocument/2006/relationships/hyperlink" Id="rId96" Target="https://pubmed.ncbi.nlm.nih.gov/34548310" TargetMode="External" /><Relationship Type="http://schemas.openxmlformats.org/officeDocument/2006/relationships/hyperlink" Id="rId102" Target="https://pubmed.ncbi.nlm.nih.gov/34739844" TargetMode="External" /><Relationship Type="http://schemas.openxmlformats.org/officeDocument/2006/relationships/hyperlink" Id="rId135" Target="https://pubmed.ncbi.nlm.nih.gov/34913949" TargetMode="External" /><Relationship Type="http://schemas.openxmlformats.org/officeDocument/2006/relationships/hyperlink" Id="rId151" Target="https://pubmed.ncbi.nlm.nih.gov/34944874" TargetMode="External" /><Relationship Type="http://schemas.openxmlformats.org/officeDocument/2006/relationships/hyperlink" Id="rId25" Target="https://pubmed.ncbi.nlm.nih.gov/35355015" TargetMode="External" /><Relationship Type="http://schemas.openxmlformats.org/officeDocument/2006/relationships/hyperlink" Id="rId107" Target="https://pubmed.ncbi.nlm.nih.gov/35410377" TargetMode="External" /><Relationship Type="http://schemas.openxmlformats.org/officeDocument/2006/relationships/hyperlink" Id="rId31" Target="https://pubmed.ncbi.nlm.nih.gov/35469018" TargetMode="External" /><Relationship Type="http://schemas.openxmlformats.org/officeDocument/2006/relationships/hyperlink" Id="rId104" Target="https://pubmed.ncbi.nlm.nih.gov/35587980" TargetMode="External" /><Relationship Type="http://schemas.openxmlformats.org/officeDocument/2006/relationships/hyperlink" Id="rId83" Target="https://pubmed.ncbi.nlm.nih.gov/35648703" TargetMode="External" /><Relationship Type="http://schemas.openxmlformats.org/officeDocument/2006/relationships/hyperlink" Id="rId169" Target="https://pubmed.ncbi.nlm.nih.gov/35704479" TargetMode="External" /><Relationship Type="http://schemas.openxmlformats.org/officeDocument/2006/relationships/hyperlink" Id="rId65" Target="https://pubmed.ncbi.nlm.nih.gov/35773409" TargetMode="External" /><Relationship Type="http://schemas.openxmlformats.org/officeDocument/2006/relationships/hyperlink" Id="rId23" Target="https://pubmed.ncbi.nlm.nih.gov/36001316" TargetMode="External" /><Relationship Type="http://schemas.openxmlformats.org/officeDocument/2006/relationships/hyperlink" Id="rId111" Target="https://pubmed.ncbi.nlm.nih.gov/36093740" TargetMode="External" /><Relationship Type="http://schemas.openxmlformats.org/officeDocument/2006/relationships/hyperlink" Id="rId49" Target="https://pubmed.ncbi.nlm.nih.gov/36175679" TargetMode="External" /><Relationship Type="http://schemas.openxmlformats.org/officeDocument/2006/relationships/hyperlink" Id="rId137" Target="https://pubmed.ncbi.nlm.nih.gov/36201196" TargetMode="External" /><Relationship Type="http://schemas.openxmlformats.org/officeDocument/2006/relationships/hyperlink" Id="rId172" Target="https://pubmed.ncbi.nlm.nih.gov/36654656" TargetMode="External" /><Relationship Type="http://schemas.openxmlformats.org/officeDocument/2006/relationships/hyperlink" Id="rId62" Target="https://pubmed.ncbi.nlm.nih.gov/36658220" TargetMode="External" /><Relationship Type="http://schemas.openxmlformats.org/officeDocument/2006/relationships/hyperlink" Id="rId146" Target="https://pubmed.ncbi.nlm.nih.gov/36823587" TargetMode="External" /><Relationship Type="http://schemas.openxmlformats.org/officeDocument/2006/relationships/hyperlink" Id="rId43" Target="https://pubmed.ncbi.nlm.nih.gov/36914816" TargetMode="External" /><Relationship Type="http://schemas.openxmlformats.org/officeDocument/2006/relationships/hyperlink" Id="rId148" Target="https://pubmed.ncbi.nlm.nih.gov/37129007" TargetMode="External" /><Relationship Type="http://schemas.openxmlformats.org/officeDocument/2006/relationships/hyperlink" Id="rId27" Target="https://pubmed.ncbi.nlm.nih.gov/37140427" TargetMode="External" /><Relationship Type="http://schemas.openxmlformats.org/officeDocument/2006/relationships/hyperlink" Id="rId117" Target="https://pubmed.ncbi.nlm.nih.gov/37169842" TargetMode="External" /><Relationship Type="http://schemas.openxmlformats.org/officeDocument/2006/relationships/hyperlink" Id="rId92" Target="https://pubmed.ncbi.nlm.nih.gov/37198494" TargetMode="External" /><Relationship Type="http://schemas.openxmlformats.org/officeDocument/2006/relationships/hyperlink" Id="rId100" Target="https://pubmed.ncbi.nlm.nih.gov/37267580" TargetMode="External" /><Relationship Type="http://schemas.openxmlformats.org/officeDocument/2006/relationships/hyperlink" Id="rId160" Target="https://pubmed.ncbi.nlm.nih.gov/37289928" TargetMode="External" /><Relationship Type="http://schemas.openxmlformats.org/officeDocument/2006/relationships/hyperlink" Id="rId41" Target="https://pubmed.ncbi.nlm.nih.gov/37348462" TargetMode="External" /><Relationship Type="http://schemas.openxmlformats.org/officeDocument/2006/relationships/hyperlink" Id="rId39" Target="https://pubmed.ncbi.nlm.nih.gov/37407814" TargetMode="External" /><Relationship Type="http://schemas.openxmlformats.org/officeDocument/2006/relationships/hyperlink" Id="rId86" Target="https://pubmed.ncbi.nlm.nih.gov/37419119" TargetMode="External" /><Relationship Type="http://schemas.openxmlformats.org/officeDocument/2006/relationships/hyperlink" Id="rId21" Target="https://pubmed.ncbi.nlm.nih.gov/37659676" TargetMode="External" /><Relationship Type="http://schemas.openxmlformats.org/officeDocument/2006/relationships/hyperlink" Id="rId165" Target="https://pubmed.ncbi.nlm.nih.gov/37708516" TargetMode="External" /><Relationship Type="http://schemas.openxmlformats.org/officeDocument/2006/relationships/hyperlink" Id="rId129" Target="https://pubmed.ncbi.nlm.nih.gov/37788089" TargetMode="External" /><Relationship Type="http://schemas.openxmlformats.org/officeDocument/2006/relationships/hyperlink" Id="rId158" Target="https://pubmed.ncbi.nlm.nih.gov/37903316" TargetMode="External" /><Relationship Type="http://schemas.openxmlformats.org/officeDocument/2006/relationships/hyperlink" Id="rId167" Target="https://pubmed.ncbi.nlm.nih.gov/37991759" TargetMode="External" /><Relationship Type="http://schemas.openxmlformats.org/officeDocument/2006/relationships/hyperlink" Id="rId94" Target="https://pubmed.ncbi.nlm.nih.gov/38546644" TargetMode="External" /><Relationship Type="http://schemas.openxmlformats.org/officeDocument/2006/relationships/hyperlink" Id="rId68" Target="https://pubmed.ncbi.nlm.nih.gov/38625612" TargetMode="External" /><Relationship Type="http://schemas.openxmlformats.org/officeDocument/2006/relationships/hyperlink" Id="rId70" Target="https://pubmed.ncbi.nlm.nih.gov/38759225" TargetMode="External" /><Relationship Type="http://schemas.openxmlformats.org/officeDocument/2006/relationships/hyperlink" Id="rId88" Target="https://pubmed.ncbi.nlm.nih.gov/38815010" TargetMode="External" /><Relationship Type="http://schemas.openxmlformats.org/officeDocument/2006/relationships/hyperlink" Id="rId79" Target="https://pubmed.ncbi.nlm.nih.gov/38843329" TargetMode="External" /><Relationship Type="http://schemas.openxmlformats.org/officeDocument/2006/relationships/hyperlink" Id="rId122" Target="https://pubmed.ncbi.nlm.nih.gov/38899693" TargetMode="External" /><Relationship Type="http://schemas.openxmlformats.org/officeDocument/2006/relationships/hyperlink" Id="rId139" Target="https://pubmed.ncbi.nlm.nih.gov/39002121" TargetMode="External" /><Relationship Type="http://schemas.openxmlformats.org/officeDocument/2006/relationships/hyperlink" Id="rId132" Target="https://pubmed.ncbi.nlm.nih.gov/39086924" TargetMode="External" /><Relationship Type="http://schemas.openxmlformats.org/officeDocument/2006/relationships/hyperlink" Id="rId98" Target="https://pubmed.ncbi.nlm.nih.gov/39102723" TargetMode="External" /><Relationship Type="http://schemas.openxmlformats.org/officeDocument/2006/relationships/hyperlink" Id="rId109" Target="https://pubmed.ncbi.nlm.nih.gov/39443743" TargetMode="External" /><Relationship Type="http://schemas.openxmlformats.org/officeDocument/2006/relationships/hyperlink" Id="rId155" Target="https://pubmed.ncbi.nlm.nih.gov/39538339" TargetMode="External" /><Relationship Type="http://schemas.openxmlformats.org/officeDocument/2006/relationships/hyperlink" Id="rId33" Target="https://pubmed.ncbi.nlm.nih.gov/39660744" TargetMode="External" /><Relationship Type="http://schemas.openxmlformats.org/officeDocument/2006/relationships/hyperlink" Id="rId77" Target="https://www.cancer.gov/research/infrastructure/clinical-trials/ctiu" TargetMode="External" /><Relationship Type="http://schemas.openxmlformats.org/officeDocument/2006/relationships/hyperlink" Id="rId81" Target="https://www.cancer.gov/research/leading-progress/stories/cytalux" TargetMode="External" /><Relationship Type="http://schemas.openxmlformats.org/officeDocument/2006/relationships/hyperlink" Id="rId47" Target="https://www.midrc.org" TargetMode="External" /><Relationship Type="http://schemas.openxmlformats.org/officeDocument/2006/relationships/hyperlink" Id="rId45" Target="https://www.nidcr.nih.gov/grants-funding/research-funded-by-nidcr-extramural/ahead" TargetMode="External" /></Relationships>
</file>

<file path=word/_rels/footnotes.xml.rels><?xml version="1.0" encoding="UTF-8"?><Relationships xmlns="http://schemas.openxmlformats.org/package/2006/relationships"><Relationship Type="http://schemas.openxmlformats.org/officeDocument/2006/relationships/hyperlink" Id="rId124" Target="https://clinicaltrials.gov/study/NCT06625775" TargetMode="External" /><Relationship Type="http://schemas.openxmlformats.org/officeDocument/2006/relationships/hyperlink" Id="rId35" Target="https://datacommons.cancer.gov/cloud-resources" TargetMode="External" /><Relationship Type="http://schemas.openxmlformats.org/officeDocument/2006/relationships/hyperlink" Id="rId113" Target="https://dpcpsi.nih.gov/thro/tribal-consultations/national-institute-minority-health-and-health-disparities-nimhd-initiative-improving-american" TargetMode="External" /><Relationship Type="http://schemas.openxmlformats.org/officeDocument/2006/relationships/hyperlink" Id="rId115" Target="https://grants.nih.gov/grants/guide/notice-files/NOT-MD-24-015.html" TargetMode="External" /><Relationship Type="http://schemas.openxmlformats.org/officeDocument/2006/relationships/hyperlink" Id="rId29" Target="https://onlinelibrary.wiley.com/doi/10.1002/em.22534" TargetMode="External" /><Relationship Type="http://schemas.openxmlformats.org/officeDocument/2006/relationships/hyperlink" Id="rId90" Target="https://prevention.cancer.gov/major-programs/cancer-screening-research-network-csrn" TargetMode="External" /><Relationship Type="http://schemas.openxmlformats.org/officeDocument/2006/relationships/hyperlink" Id="rId37" Target="https://progressreport.cancer.gov" TargetMode="External" /><Relationship Type="http://schemas.openxmlformats.org/officeDocument/2006/relationships/hyperlink" Id="rId126" Target="https://pubmed.ncbi.nlm.nih.gov/34081848" TargetMode="External" /><Relationship Type="http://schemas.openxmlformats.org/officeDocument/2006/relationships/hyperlink" Id="rId96" Target="https://pubmed.ncbi.nlm.nih.gov/34548310" TargetMode="External" /><Relationship Type="http://schemas.openxmlformats.org/officeDocument/2006/relationships/hyperlink" Id="rId102" Target="https://pubmed.ncbi.nlm.nih.gov/34739844" TargetMode="External" /><Relationship Type="http://schemas.openxmlformats.org/officeDocument/2006/relationships/hyperlink" Id="rId135" Target="https://pubmed.ncbi.nlm.nih.gov/34913949" TargetMode="External" /><Relationship Type="http://schemas.openxmlformats.org/officeDocument/2006/relationships/hyperlink" Id="rId151" Target="https://pubmed.ncbi.nlm.nih.gov/34944874" TargetMode="External" /><Relationship Type="http://schemas.openxmlformats.org/officeDocument/2006/relationships/hyperlink" Id="rId25" Target="https://pubmed.ncbi.nlm.nih.gov/35355015" TargetMode="External" /><Relationship Type="http://schemas.openxmlformats.org/officeDocument/2006/relationships/hyperlink" Id="rId107" Target="https://pubmed.ncbi.nlm.nih.gov/35410377" TargetMode="External" /><Relationship Type="http://schemas.openxmlformats.org/officeDocument/2006/relationships/hyperlink" Id="rId31" Target="https://pubmed.ncbi.nlm.nih.gov/35469018" TargetMode="External" /><Relationship Type="http://schemas.openxmlformats.org/officeDocument/2006/relationships/hyperlink" Id="rId104" Target="https://pubmed.ncbi.nlm.nih.gov/35587980" TargetMode="External" /><Relationship Type="http://schemas.openxmlformats.org/officeDocument/2006/relationships/hyperlink" Id="rId83" Target="https://pubmed.ncbi.nlm.nih.gov/35648703" TargetMode="External" /><Relationship Type="http://schemas.openxmlformats.org/officeDocument/2006/relationships/hyperlink" Id="rId169" Target="https://pubmed.ncbi.nlm.nih.gov/35704479" TargetMode="External" /><Relationship Type="http://schemas.openxmlformats.org/officeDocument/2006/relationships/hyperlink" Id="rId65" Target="https://pubmed.ncbi.nlm.nih.gov/35773409" TargetMode="External" /><Relationship Type="http://schemas.openxmlformats.org/officeDocument/2006/relationships/hyperlink" Id="rId23" Target="https://pubmed.ncbi.nlm.nih.gov/36001316" TargetMode="External" /><Relationship Type="http://schemas.openxmlformats.org/officeDocument/2006/relationships/hyperlink" Id="rId111" Target="https://pubmed.ncbi.nlm.nih.gov/36093740" TargetMode="External" /><Relationship Type="http://schemas.openxmlformats.org/officeDocument/2006/relationships/hyperlink" Id="rId49" Target="https://pubmed.ncbi.nlm.nih.gov/36175679" TargetMode="External" /><Relationship Type="http://schemas.openxmlformats.org/officeDocument/2006/relationships/hyperlink" Id="rId137" Target="https://pubmed.ncbi.nlm.nih.gov/36201196" TargetMode="External" /><Relationship Type="http://schemas.openxmlformats.org/officeDocument/2006/relationships/hyperlink" Id="rId172" Target="https://pubmed.ncbi.nlm.nih.gov/36654656" TargetMode="External" /><Relationship Type="http://schemas.openxmlformats.org/officeDocument/2006/relationships/hyperlink" Id="rId62" Target="https://pubmed.ncbi.nlm.nih.gov/36658220" TargetMode="External" /><Relationship Type="http://schemas.openxmlformats.org/officeDocument/2006/relationships/hyperlink" Id="rId146" Target="https://pubmed.ncbi.nlm.nih.gov/36823587" TargetMode="External" /><Relationship Type="http://schemas.openxmlformats.org/officeDocument/2006/relationships/hyperlink" Id="rId43" Target="https://pubmed.ncbi.nlm.nih.gov/36914816" TargetMode="External" /><Relationship Type="http://schemas.openxmlformats.org/officeDocument/2006/relationships/hyperlink" Id="rId148" Target="https://pubmed.ncbi.nlm.nih.gov/37129007" TargetMode="External" /><Relationship Type="http://schemas.openxmlformats.org/officeDocument/2006/relationships/hyperlink" Id="rId27" Target="https://pubmed.ncbi.nlm.nih.gov/37140427" TargetMode="External" /><Relationship Type="http://schemas.openxmlformats.org/officeDocument/2006/relationships/hyperlink" Id="rId117" Target="https://pubmed.ncbi.nlm.nih.gov/37169842" TargetMode="External" /><Relationship Type="http://schemas.openxmlformats.org/officeDocument/2006/relationships/hyperlink" Id="rId92" Target="https://pubmed.ncbi.nlm.nih.gov/37198494" TargetMode="External" /><Relationship Type="http://schemas.openxmlformats.org/officeDocument/2006/relationships/hyperlink" Id="rId100" Target="https://pubmed.ncbi.nlm.nih.gov/37267580" TargetMode="External" /><Relationship Type="http://schemas.openxmlformats.org/officeDocument/2006/relationships/hyperlink" Id="rId160" Target="https://pubmed.ncbi.nlm.nih.gov/37289928" TargetMode="External" /><Relationship Type="http://schemas.openxmlformats.org/officeDocument/2006/relationships/hyperlink" Id="rId41" Target="https://pubmed.ncbi.nlm.nih.gov/37348462" TargetMode="External" /><Relationship Type="http://schemas.openxmlformats.org/officeDocument/2006/relationships/hyperlink" Id="rId39" Target="https://pubmed.ncbi.nlm.nih.gov/37407814" TargetMode="External" /><Relationship Type="http://schemas.openxmlformats.org/officeDocument/2006/relationships/hyperlink" Id="rId86" Target="https://pubmed.ncbi.nlm.nih.gov/37419119" TargetMode="External" /><Relationship Type="http://schemas.openxmlformats.org/officeDocument/2006/relationships/hyperlink" Id="rId21" Target="https://pubmed.ncbi.nlm.nih.gov/37659676" TargetMode="External" /><Relationship Type="http://schemas.openxmlformats.org/officeDocument/2006/relationships/hyperlink" Id="rId165" Target="https://pubmed.ncbi.nlm.nih.gov/37708516" TargetMode="External" /><Relationship Type="http://schemas.openxmlformats.org/officeDocument/2006/relationships/hyperlink" Id="rId129" Target="https://pubmed.ncbi.nlm.nih.gov/37788089" TargetMode="External" /><Relationship Type="http://schemas.openxmlformats.org/officeDocument/2006/relationships/hyperlink" Id="rId158" Target="https://pubmed.ncbi.nlm.nih.gov/37903316" TargetMode="External" /><Relationship Type="http://schemas.openxmlformats.org/officeDocument/2006/relationships/hyperlink" Id="rId167" Target="https://pubmed.ncbi.nlm.nih.gov/37991759" TargetMode="External" /><Relationship Type="http://schemas.openxmlformats.org/officeDocument/2006/relationships/hyperlink" Id="rId94" Target="https://pubmed.ncbi.nlm.nih.gov/38546644" TargetMode="External" /><Relationship Type="http://schemas.openxmlformats.org/officeDocument/2006/relationships/hyperlink" Id="rId68" Target="https://pubmed.ncbi.nlm.nih.gov/38625612" TargetMode="External" /><Relationship Type="http://schemas.openxmlformats.org/officeDocument/2006/relationships/hyperlink" Id="rId70" Target="https://pubmed.ncbi.nlm.nih.gov/38759225" TargetMode="External" /><Relationship Type="http://schemas.openxmlformats.org/officeDocument/2006/relationships/hyperlink" Id="rId88" Target="https://pubmed.ncbi.nlm.nih.gov/38815010" TargetMode="External" /><Relationship Type="http://schemas.openxmlformats.org/officeDocument/2006/relationships/hyperlink" Id="rId79" Target="https://pubmed.ncbi.nlm.nih.gov/38843329" TargetMode="External" /><Relationship Type="http://schemas.openxmlformats.org/officeDocument/2006/relationships/hyperlink" Id="rId122" Target="https://pubmed.ncbi.nlm.nih.gov/38899693" TargetMode="External" /><Relationship Type="http://schemas.openxmlformats.org/officeDocument/2006/relationships/hyperlink" Id="rId139" Target="https://pubmed.ncbi.nlm.nih.gov/39002121" TargetMode="External" /><Relationship Type="http://schemas.openxmlformats.org/officeDocument/2006/relationships/hyperlink" Id="rId132" Target="https://pubmed.ncbi.nlm.nih.gov/39086924" TargetMode="External" /><Relationship Type="http://schemas.openxmlformats.org/officeDocument/2006/relationships/hyperlink" Id="rId98" Target="https://pubmed.ncbi.nlm.nih.gov/39102723" TargetMode="External" /><Relationship Type="http://schemas.openxmlformats.org/officeDocument/2006/relationships/hyperlink" Id="rId109" Target="https://pubmed.ncbi.nlm.nih.gov/39443743" TargetMode="External" /><Relationship Type="http://schemas.openxmlformats.org/officeDocument/2006/relationships/hyperlink" Id="rId155" Target="https://pubmed.ncbi.nlm.nih.gov/39538339" TargetMode="External" /><Relationship Type="http://schemas.openxmlformats.org/officeDocument/2006/relationships/hyperlink" Id="rId33" Target="https://pubmed.ncbi.nlm.nih.gov/39660744" TargetMode="External" /><Relationship Type="http://schemas.openxmlformats.org/officeDocument/2006/relationships/hyperlink" Id="rId77" Target="https://www.cancer.gov/research/infrastructure/clinical-trials/ctiu" TargetMode="External" /><Relationship Type="http://schemas.openxmlformats.org/officeDocument/2006/relationships/hyperlink" Id="rId81" Target="https://www.cancer.gov/research/leading-progress/stories/cytalux" TargetMode="External" /><Relationship Type="http://schemas.openxmlformats.org/officeDocument/2006/relationships/hyperlink" Id="rId47" Target="https://www.midrc.org" TargetMode="External" /><Relationship Type="http://schemas.openxmlformats.org/officeDocument/2006/relationships/hyperlink" Id="rId45" Target="https://www.nidcr.nih.gov/grants-funding/research-funded-by-nidcr-extramural/ahea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25</Pages>
  <Words>7981</Words>
  <Characters>45494</Characters>
  <Application>Microsoft Office Word</Application>
  <DocSecurity>0</DocSecurity>
  <Lines>379</Lines>
  <Paragraphs>106</Paragraphs>
  <ScaleCrop>false</ScaleCrop>
  <Company/>
  <LinksUpToDate>false</LinksUpToDate>
  <CharactersWithSpaces>53369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2026-02-10T14:50:51Z</dcterms:created>
  <dcterms:modified xsi:type="dcterms:W3CDTF">2026-02-10T14:50:51Z</dcterms:modified>
</cp:coreProperties>
</file>

<file path=docProps/custom.xml><?xml version="1.0" encoding="utf-8"?>
<Properties xmlns="http://schemas.openxmlformats.org/officeDocument/2006/custom-properties" xmlns:vt="http://schemas.openxmlformats.org/officeDocument/2006/docPropsVTypes"/>
</file>