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5226" w14:textId="6FFD464F" w:rsidR="00F71947" w:rsidRPr="006B3623" w:rsidRDefault="00F71947" w:rsidP="006B3623">
      <w:pPr>
        <w:pStyle w:val="Heading2"/>
      </w:pPr>
      <w:r w:rsidRPr="006B3623">
        <w:t>Introduction</w:t>
      </w:r>
    </w:p>
    <w:p w14:paraId="1CB353E4" w14:textId="77777777" w:rsidR="006E2F8D" w:rsidRPr="006B3623" w:rsidRDefault="006E2F8D" w:rsidP="000D74D5">
      <w:pPr>
        <w:spacing w:after="220"/>
        <w:jc w:val="both"/>
        <w:rPr>
          <w:rFonts w:ascii="Calibri" w:hAnsi="Calibri" w:cs="Calibri"/>
        </w:rPr>
      </w:pPr>
      <w:r w:rsidRPr="006B3623">
        <w:rPr>
          <w:rFonts w:ascii="Calibri" w:hAnsi="Calibri" w:cs="Calibri"/>
        </w:rPr>
        <w:t>Cancer is a complex group of diseases defined by the uncontrolled growth and spread of abnormal cells. This unchecked growth can result in benign tumors, which do not invade other tissues, or malignant tumors, which can spread throughout the body and cause severe illness or death. These diseases are classified by their cell or tissue of origin and, increasingly, by genetic and molecular characteristics that can guide diagnosis and treatment.</w:t>
      </w:r>
    </w:p>
    <w:p w14:paraId="5B5DAD21" w14:textId="4C561FA1" w:rsidR="009F5C9A" w:rsidRPr="006B3623" w:rsidRDefault="009F5C9A" w:rsidP="000D74D5">
      <w:pPr>
        <w:jc w:val="both"/>
        <w:rPr>
          <w:rFonts w:ascii="Calibri" w:hAnsi="Calibri" w:cs="Calibri"/>
        </w:rPr>
      </w:pPr>
      <w:r w:rsidRPr="006B3623">
        <w:rPr>
          <w:rFonts w:ascii="Calibri" w:hAnsi="Calibri" w:cs="Calibri"/>
        </w:rPr>
        <w:t xml:space="preserve">Cancer remains the second-leading cause of death in the United States, and the burden is substantial: </w:t>
      </w:r>
      <w:r w:rsidR="0063450E" w:rsidRPr="006B3623">
        <w:rPr>
          <w:rFonts w:ascii="Calibri" w:hAnsi="Calibri" w:cs="Calibri"/>
        </w:rPr>
        <w:t>the Surveillance, Epidemiology, and End Results (</w:t>
      </w:r>
      <w:r w:rsidRPr="006B3623">
        <w:rPr>
          <w:rFonts w:ascii="Calibri" w:hAnsi="Calibri" w:cs="Calibri"/>
        </w:rPr>
        <w:t>SEER</w:t>
      </w:r>
      <w:r w:rsidR="0063450E" w:rsidRPr="006B3623">
        <w:rPr>
          <w:rFonts w:ascii="Calibri" w:hAnsi="Calibri" w:cs="Calibri"/>
        </w:rPr>
        <w:t>) Program</w:t>
      </w:r>
      <w:r w:rsidRPr="006B3623">
        <w:rPr>
          <w:rFonts w:ascii="Calibri" w:hAnsi="Calibri" w:cs="Calibri"/>
        </w:rPr>
        <w:t xml:space="preserve"> analysts project 2,041,910 new cases and 618</w:t>
      </w:r>
      <w:r w:rsidR="0063450E" w:rsidRPr="006B3623">
        <w:rPr>
          <w:rFonts w:ascii="Calibri" w:hAnsi="Calibri" w:cs="Calibri"/>
        </w:rPr>
        <w:t>,</w:t>
      </w:r>
      <w:r w:rsidRPr="006B3623">
        <w:rPr>
          <w:rFonts w:ascii="Calibri" w:hAnsi="Calibri" w:cs="Calibri"/>
        </w:rPr>
        <w:t>120 deaths across all sites in 2025.</w:t>
      </w:r>
      <w:r w:rsidR="0063450E" w:rsidRPr="006B3623">
        <w:rPr>
          <w:rStyle w:val="FootnoteReference"/>
          <w:rFonts w:ascii="Calibri" w:hAnsi="Calibri" w:cs="Calibri"/>
        </w:rPr>
        <w:footnoteReference w:id="1"/>
      </w:r>
      <w:r w:rsidRPr="006B3623">
        <w:rPr>
          <w:rFonts w:ascii="Calibri" w:hAnsi="Calibri" w:cs="Calibri"/>
        </w:rPr>
        <w:t xml:space="preserve"> Those numbers translate to 5</w:t>
      </w:r>
      <w:r w:rsidR="0063450E" w:rsidRPr="006B3623">
        <w:rPr>
          <w:rFonts w:ascii="Calibri" w:hAnsi="Calibri" w:cs="Calibri"/>
        </w:rPr>
        <w:t>,</w:t>
      </w:r>
      <w:r w:rsidRPr="006B3623">
        <w:rPr>
          <w:rFonts w:ascii="Calibri" w:hAnsi="Calibri" w:cs="Calibri"/>
        </w:rPr>
        <w:t>600 diagnoses and 1</w:t>
      </w:r>
      <w:r w:rsidR="009C0E19" w:rsidRPr="006B3623">
        <w:rPr>
          <w:rFonts w:ascii="Calibri" w:hAnsi="Calibri" w:cs="Calibri"/>
        </w:rPr>
        <w:t>,</w:t>
      </w:r>
      <w:r w:rsidRPr="006B3623">
        <w:rPr>
          <w:rFonts w:ascii="Calibri" w:hAnsi="Calibri" w:cs="Calibri"/>
        </w:rPr>
        <w:t xml:space="preserve">700 deaths every day, underscoring the nation’s ongoing public-health challenge. Yet progress is steady; the latest </w:t>
      </w:r>
      <w:r w:rsidRPr="006B3623">
        <w:rPr>
          <w:rFonts w:ascii="Calibri" w:hAnsi="Calibri" w:cs="Calibri"/>
          <w:i/>
          <w:iCs/>
        </w:rPr>
        <w:t>Annual Report to the Nation</w:t>
      </w:r>
      <w:r w:rsidRPr="006B3623">
        <w:rPr>
          <w:rFonts w:ascii="Calibri" w:hAnsi="Calibri" w:cs="Calibri"/>
        </w:rPr>
        <w:t xml:space="preserve"> shows overall cancer mortality declined each year from 2001 through 2022, even during the COVID-19 pandemic.</w:t>
      </w:r>
      <w:r w:rsidR="00C22A6C" w:rsidRPr="006B3623">
        <w:rPr>
          <w:rStyle w:val="FootnoteReference"/>
          <w:rFonts w:ascii="Calibri" w:hAnsi="Calibri" w:cs="Calibri"/>
        </w:rPr>
        <w:footnoteReference w:id="2"/>
      </w:r>
      <w:r w:rsidRPr="006B3623">
        <w:rPr>
          <w:rFonts w:ascii="Calibri" w:hAnsi="Calibri" w:cs="Calibri"/>
        </w:rPr>
        <w:t xml:space="preserve"> Improvements in prevention, early detection, and treatment—especially in immuno-oncology and targeted therapy—are the major drivers, although disparities by race, ethnicity, and geography remind us that these gains are not yet universal.</w:t>
      </w:r>
    </w:p>
    <w:p w14:paraId="6985793C" w14:textId="77777777" w:rsidR="000D74D5" w:rsidRPr="006B3623" w:rsidRDefault="009F5C9A" w:rsidP="000D74D5">
      <w:pPr>
        <w:jc w:val="both"/>
        <w:rPr>
          <w:rFonts w:ascii="Calibri" w:hAnsi="Calibri" w:cs="Calibri"/>
        </w:rPr>
      </w:pPr>
      <w:r w:rsidRPr="006B3623">
        <w:rPr>
          <w:rFonts w:ascii="Calibri" w:hAnsi="Calibri" w:cs="Calibri"/>
        </w:rPr>
        <w:t xml:space="preserve">Regulatory momentum mirrors these scientific advances. In 2024, FDA’s Oncology Center of Excellence cleared 49 oncology products, including 18 </w:t>
      </w:r>
      <w:r w:rsidR="00E91D98" w:rsidRPr="006B3623">
        <w:rPr>
          <w:rFonts w:ascii="Calibri" w:hAnsi="Calibri" w:cs="Calibri"/>
        </w:rPr>
        <w:t>new medical entities or new biological license applications </w:t>
      </w:r>
      <w:r w:rsidRPr="006B3623">
        <w:rPr>
          <w:rFonts w:ascii="Calibri" w:hAnsi="Calibri" w:cs="Calibri"/>
        </w:rPr>
        <w:t>and 31 new indications for previously approved agents, expanding options across common and rare malignancies.</w:t>
      </w:r>
      <w:r w:rsidR="00E91D98" w:rsidRPr="006B3623">
        <w:rPr>
          <w:rStyle w:val="FootnoteReference"/>
          <w:rFonts w:ascii="Calibri" w:hAnsi="Calibri" w:cs="Calibri"/>
        </w:rPr>
        <w:footnoteReference w:id="3"/>
      </w:r>
      <w:r w:rsidRPr="006B3623">
        <w:rPr>
          <w:rFonts w:ascii="Calibri" w:hAnsi="Calibri" w:cs="Calibri"/>
        </w:rPr>
        <w:t xml:space="preserve"> Among the year’s highlights was the first tumor-agnostic approval of an antibody–drug conjugate for patients with HER2-overexpressing tumors, a milestone in precision oncology.</w:t>
      </w:r>
      <w:r w:rsidR="004E27E1" w:rsidRPr="006B3623">
        <w:rPr>
          <w:rStyle w:val="FootnoteReference"/>
          <w:rFonts w:ascii="Calibri" w:hAnsi="Calibri" w:cs="Calibri"/>
        </w:rPr>
        <w:footnoteReference w:id="4"/>
      </w:r>
      <w:r w:rsidRPr="006B3623">
        <w:rPr>
          <w:rFonts w:ascii="Calibri" w:hAnsi="Calibri" w:cs="Calibri"/>
        </w:rPr>
        <w:t xml:space="preserve"> These actions reflect streamlined review pathways such as Real-Time Oncology Review and Project Orbis, which speed innovative therapies to patients without compromising safety. </w:t>
      </w:r>
      <w:r w:rsidR="004602F3" w:rsidRPr="006B3623">
        <w:rPr>
          <w:rFonts w:ascii="Calibri" w:hAnsi="Calibri" w:cs="Calibri"/>
        </w:rPr>
        <w:t xml:space="preserve">Between FY 2022 and FY 2024, NIH invested billions in cancer-related research. </w:t>
      </w:r>
    </w:p>
    <w:p w14:paraId="33C7B4F9" w14:textId="52E2E519" w:rsidR="009F5C9A" w:rsidRPr="006B3623" w:rsidRDefault="004602F3" w:rsidP="000D74D5">
      <w:pPr>
        <w:jc w:val="both"/>
        <w:rPr>
          <w:rFonts w:ascii="Calibri" w:hAnsi="Calibri" w:cs="Calibri"/>
        </w:rPr>
      </w:pPr>
      <w:r w:rsidRPr="006B3623">
        <w:rPr>
          <w:rFonts w:ascii="Calibri" w:hAnsi="Calibri" w:cs="Calibri"/>
        </w:rPr>
        <w:t>This support advanced understanding of rare genetic syndromes, developed new diagnostic imaging techniques, and investigated environmental exposures and disparities in cancer outcomes. NIH also continued to build infrastructure for data sharing and collaboration across the cancer research ecosystem</w:t>
      </w:r>
      <w:r w:rsidR="000D74D5" w:rsidRPr="006B3623">
        <w:rPr>
          <w:rFonts w:ascii="Calibri" w:hAnsi="Calibri" w:cs="Calibri"/>
        </w:rPr>
        <w:t>.</w:t>
      </w:r>
      <w:r w:rsidR="008656EA" w:rsidRPr="006B3623">
        <w:rPr>
          <w:rStyle w:val="FootnoteReference"/>
          <w:rFonts w:ascii="Calibri" w:hAnsi="Calibri" w:cs="Calibri"/>
        </w:rPr>
        <w:footnoteReference w:id="5"/>
      </w:r>
      <w:r w:rsidR="000D74D5" w:rsidRPr="006B3623">
        <w:rPr>
          <w:rFonts w:ascii="Calibri" w:hAnsi="Calibri" w:cs="Calibri"/>
        </w:rPr>
        <w:t xml:space="preserve"> </w:t>
      </w:r>
      <w:r w:rsidR="009F5C9A" w:rsidRPr="006B3623">
        <w:rPr>
          <w:rFonts w:ascii="Calibri" w:hAnsi="Calibri" w:cs="Calibri"/>
        </w:rPr>
        <w:t xml:space="preserve">The sections that follow illustrate how NIH-supported research </w:t>
      </w:r>
      <w:r w:rsidR="000D74D5" w:rsidRPr="006B3623">
        <w:rPr>
          <w:rFonts w:ascii="Calibri" w:hAnsi="Calibri" w:cs="Calibri"/>
        </w:rPr>
        <w:t>from FY 2022</w:t>
      </w:r>
      <w:r w:rsidR="00D35E6A" w:rsidRPr="006B3623">
        <w:rPr>
          <w:rFonts w:ascii="Calibri" w:hAnsi="Calibri" w:cs="Calibri"/>
        </w:rPr>
        <w:t xml:space="preserve">, FY 2023, FY </w:t>
      </w:r>
      <w:r w:rsidR="000D74D5" w:rsidRPr="006B3623">
        <w:rPr>
          <w:rFonts w:ascii="Calibri" w:hAnsi="Calibri" w:cs="Calibri"/>
        </w:rPr>
        <w:t xml:space="preserve">2024 </w:t>
      </w:r>
      <w:r w:rsidR="009F5C9A" w:rsidRPr="006B3623">
        <w:rPr>
          <w:rFonts w:ascii="Calibri" w:hAnsi="Calibri" w:cs="Calibri"/>
        </w:rPr>
        <w:t>is transforming this regulatory momentum into longer, healthier lives for people at risk for—or living with—cancer.</w:t>
      </w:r>
    </w:p>
    <w:p w14:paraId="45277ED3" w14:textId="5F262E7F" w:rsidR="000D74D5" w:rsidRPr="002A6E68" w:rsidRDefault="000D74D5">
      <w:pPr>
        <w:rPr>
          <w:rFonts w:ascii="Calibri" w:hAnsi="Calibri" w:cs="Calibri"/>
          <w:sz w:val="20"/>
          <w:szCs w:val="20"/>
        </w:rPr>
      </w:pPr>
      <w:r w:rsidRPr="002A6E68">
        <w:rPr>
          <w:rFonts w:ascii="Calibri" w:hAnsi="Calibri" w:cs="Calibri"/>
          <w:sz w:val="20"/>
          <w:szCs w:val="20"/>
        </w:rPr>
        <w:br w:type="page"/>
      </w:r>
    </w:p>
    <w:p w14:paraId="56D2A157" w14:textId="77777777" w:rsidR="00F71947" w:rsidRPr="002A6E68" w:rsidRDefault="00F71947" w:rsidP="00F71947">
      <w:pPr>
        <w:rPr>
          <w:rFonts w:ascii="Calibri" w:hAnsi="Calibri" w:cs="Calibri"/>
          <w:sz w:val="20"/>
          <w:szCs w:val="20"/>
        </w:rPr>
      </w:pPr>
    </w:p>
    <w:p w14:paraId="088FAB6D" w14:textId="17229BD9" w:rsidR="00F71947" w:rsidRPr="006B3623" w:rsidRDefault="00F71947" w:rsidP="006B3623">
      <w:pPr>
        <w:pStyle w:val="Heading2"/>
      </w:pPr>
      <w:r w:rsidRPr="006B3623">
        <w:t>Summary</w:t>
      </w:r>
    </w:p>
    <w:p w14:paraId="5A00D147" w14:textId="759FE826" w:rsidR="00ED5641" w:rsidRPr="006B3623" w:rsidRDefault="00ED5641" w:rsidP="00BF7DED">
      <w:pPr>
        <w:jc w:val="both"/>
        <w:rPr>
          <w:rFonts w:ascii="Calibri" w:hAnsi="Calibri" w:cs="Calibri"/>
        </w:rPr>
      </w:pPr>
      <w:r w:rsidRPr="006B3623">
        <w:rPr>
          <w:rFonts w:ascii="Calibri" w:hAnsi="Calibri" w:cs="Calibri"/>
        </w:rPr>
        <w:t>NIH—led by NCI but joined by CC, NCATS, NHGRI, NIEHS, NIBIB, NIDCR, ONR, and others—invested billions to push progress across the research continuum, from molecular mechanisms and environmental exposures to prevention, screening, treatment, survivorship, and the data and workforce infrastructure that stitches them together.</w:t>
      </w:r>
      <w:r w:rsidR="00AC0020" w:rsidRPr="006B3623">
        <w:rPr>
          <w:rFonts w:ascii="Calibri" w:hAnsi="Calibri" w:cs="Calibri"/>
        </w:rPr>
        <w:t xml:space="preserve"> Total NIH funding for cancer was $</w:t>
      </w:r>
      <w:r w:rsidR="007E46B6" w:rsidRPr="006B3623">
        <w:rPr>
          <w:rFonts w:ascii="Calibri" w:hAnsi="Calibri" w:cs="Calibri"/>
        </w:rPr>
        <w:t>7</w:t>
      </w:r>
      <w:r w:rsidR="00E86DB0" w:rsidRPr="006B3623">
        <w:rPr>
          <w:rFonts w:ascii="Calibri" w:hAnsi="Calibri" w:cs="Calibri"/>
        </w:rPr>
        <w:t>,635</w:t>
      </w:r>
      <w:r w:rsidR="00AC0020" w:rsidRPr="006B3623">
        <w:rPr>
          <w:rFonts w:ascii="Calibri" w:hAnsi="Calibri" w:cs="Calibri"/>
        </w:rPr>
        <w:t xml:space="preserve"> million in FY </w:t>
      </w:r>
      <w:r w:rsidR="007E46B6" w:rsidRPr="006B3623">
        <w:rPr>
          <w:rFonts w:ascii="Calibri" w:hAnsi="Calibri" w:cs="Calibri"/>
        </w:rPr>
        <w:t>2022</w:t>
      </w:r>
      <w:r w:rsidR="00AC0020" w:rsidRPr="006B3623">
        <w:rPr>
          <w:rFonts w:ascii="Calibri" w:hAnsi="Calibri" w:cs="Calibri"/>
        </w:rPr>
        <w:t>, $</w:t>
      </w:r>
      <w:r w:rsidR="00E86DB0" w:rsidRPr="006B3623">
        <w:rPr>
          <w:rFonts w:ascii="Calibri" w:hAnsi="Calibri" w:cs="Calibri"/>
        </w:rPr>
        <w:t>7,969</w:t>
      </w:r>
      <w:r w:rsidR="007E46B6" w:rsidRPr="006B3623">
        <w:rPr>
          <w:rFonts w:ascii="Calibri" w:hAnsi="Calibri" w:cs="Calibri"/>
        </w:rPr>
        <w:t xml:space="preserve"> </w:t>
      </w:r>
      <w:r w:rsidR="00AC0020" w:rsidRPr="006B3623">
        <w:rPr>
          <w:rFonts w:ascii="Calibri" w:hAnsi="Calibri" w:cs="Calibri"/>
        </w:rPr>
        <w:t xml:space="preserve">million in FY </w:t>
      </w:r>
      <w:r w:rsidR="007E46B6" w:rsidRPr="006B3623">
        <w:rPr>
          <w:rFonts w:ascii="Calibri" w:hAnsi="Calibri" w:cs="Calibri"/>
        </w:rPr>
        <w:t>2023</w:t>
      </w:r>
      <w:r w:rsidR="00AC0020" w:rsidRPr="006B3623">
        <w:rPr>
          <w:rFonts w:ascii="Calibri" w:hAnsi="Calibri" w:cs="Calibri"/>
        </w:rPr>
        <w:t>, and $</w:t>
      </w:r>
      <w:r w:rsidR="00E86DB0" w:rsidRPr="006B3623">
        <w:rPr>
          <w:rFonts w:ascii="Calibri" w:hAnsi="Calibri" w:cs="Calibri"/>
        </w:rPr>
        <w:t>8,050</w:t>
      </w:r>
      <w:r w:rsidR="00AC0020" w:rsidRPr="006B3623">
        <w:rPr>
          <w:rFonts w:ascii="Calibri" w:hAnsi="Calibri" w:cs="Calibri"/>
        </w:rPr>
        <w:t xml:space="preserve"> million</w:t>
      </w:r>
      <w:r w:rsidR="007E46B6" w:rsidRPr="006B3623">
        <w:rPr>
          <w:rFonts w:ascii="Calibri" w:hAnsi="Calibri" w:cs="Calibri"/>
        </w:rPr>
        <w:t>(estimated)</w:t>
      </w:r>
      <w:r w:rsidR="00AC0020" w:rsidRPr="006B3623">
        <w:rPr>
          <w:rFonts w:ascii="Calibri" w:hAnsi="Calibri" w:cs="Calibri"/>
        </w:rPr>
        <w:t xml:space="preserve"> in FY </w:t>
      </w:r>
      <w:r w:rsidR="00E86DB0" w:rsidRPr="006B3623">
        <w:rPr>
          <w:rFonts w:ascii="Calibri" w:hAnsi="Calibri" w:cs="Calibri"/>
        </w:rPr>
        <w:t>2024</w:t>
      </w:r>
      <w:r w:rsidR="00AC0020" w:rsidRPr="006B3623">
        <w:rPr>
          <w:rFonts w:ascii="Calibri" w:hAnsi="Calibri" w:cs="Calibri"/>
        </w:rPr>
        <w:t>.</w:t>
      </w:r>
      <w:r w:rsidR="00843B23" w:rsidRPr="006B3623">
        <w:rPr>
          <w:rStyle w:val="FootnoteReference"/>
          <w:rFonts w:ascii="Calibri" w:hAnsi="Calibri" w:cs="Calibri"/>
        </w:rPr>
        <w:footnoteReference w:id="6"/>
      </w:r>
      <w:r w:rsidR="00BE5834" w:rsidRPr="006B3623">
        <w:rPr>
          <w:rFonts w:ascii="Calibri" w:hAnsi="Calibri" w:cs="Calibri"/>
        </w:rPr>
        <w:t xml:space="preserve"> </w:t>
      </w:r>
      <w:r w:rsidRPr="006B3623">
        <w:rPr>
          <w:rFonts w:ascii="Calibri" w:hAnsi="Calibri" w:cs="Calibri"/>
        </w:rPr>
        <w:t xml:space="preserve">Highlights of FY22-24 </w:t>
      </w:r>
      <w:r w:rsidR="00361EDC" w:rsidRPr="006B3623">
        <w:rPr>
          <w:rFonts w:ascii="Calibri" w:hAnsi="Calibri" w:cs="Calibri"/>
        </w:rPr>
        <w:t xml:space="preserve">this </w:t>
      </w:r>
      <w:r w:rsidRPr="006B3623">
        <w:rPr>
          <w:rFonts w:ascii="Calibri" w:hAnsi="Calibri" w:cs="Calibri"/>
        </w:rPr>
        <w:t>Triennial report include AI-ready imaging resources such as MIDRC that now host &gt;570,000 studies for algorithm training</w:t>
      </w:r>
      <w:r w:rsidR="00C16BE1" w:rsidRPr="006B3623">
        <w:rPr>
          <w:rFonts w:ascii="Calibri" w:hAnsi="Calibri" w:cs="Calibri"/>
        </w:rPr>
        <w:t>;</w:t>
      </w:r>
      <w:r w:rsidR="00EE68F9" w:rsidRPr="006B3623">
        <w:rPr>
          <w:rFonts w:ascii="Calibri" w:hAnsi="Calibri" w:cs="Calibri"/>
        </w:rPr>
        <w:t xml:space="preserve"> </w:t>
      </w:r>
      <w:r w:rsidRPr="006B3623">
        <w:rPr>
          <w:rFonts w:ascii="Calibri" w:hAnsi="Calibri" w:cs="Calibri"/>
        </w:rPr>
        <w:t>NCI modeling showed that adding just 10 minutes of daily moderate-to-vigorous physical activity could avert ~100,000 premature deaths each year</w:t>
      </w:r>
      <w:r w:rsidR="00CE6156" w:rsidRPr="006B3623">
        <w:rPr>
          <w:rFonts w:ascii="Calibri" w:hAnsi="Calibri" w:cs="Calibri"/>
        </w:rPr>
        <w:t>.</w:t>
      </w:r>
      <w:r w:rsidR="00EE68F9" w:rsidRPr="006B3623">
        <w:rPr>
          <w:rStyle w:val="FootnoteReference"/>
          <w:rFonts w:ascii="Calibri" w:hAnsi="Calibri" w:cs="Calibri"/>
        </w:rPr>
        <w:footnoteReference w:id="7"/>
      </w:r>
      <w:r w:rsidR="00B8451A" w:rsidRPr="006B3623">
        <w:rPr>
          <w:rFonts w:ascii="Calibri" w:hAnsi="Calibri" w:cs="Calibri"/>
          <w:vertAlign w:val="superscript"/>
        </w:rPr>
        <w:t>,</w:t>
      </w:r>
      <w:r w:rsidR="00EE68F9" w:rsidRPr="006B3623">
        <w:rPr>
          <w:rStyle w:val="FootnoteReference"/>
          <w:rFonts w:ascii="Calibri" w:hAnsi="Calibri" w:cs="Calibri"/>
        </w:rPr>
        <w:footnoteReference w:id="8"/>
      </w:r>
    </w:p>
    <w:p w14:paraId="6C696B01" w14:textId="1299FC55" w:rsidR="00ED5641" w:rsidRPr="006B3623" w:rsidRDefault="00ED5641" w:rsidP="00BF7DED">
      <w:pPr>
        <w:jc w:val="both"/>
        <w:rPr>
          <w:rFonts w:ascii="Calibri" w:hAnsi="Calibri" w:cs="Calibri"/>
        </w:rPr>
      </w:pPr>
      <w:r w:rsidRPr="006B3623">
        <w:rPr>
          <w:rFonts w:ascii="Calibri" w:hAnsi="Calibri" w:cs="Calibri"/>
        </w:rPr>
        <w:t>Finally, NIH addressed quality-of-life and environmental dimensions: Clinical Center teams launched a high-demand online nutrition toolkit for hereditary diffuse gastric cancer survivors navigating life after prophylactic gastrectomy</w:t>
      </w:r>
      <w:r w:rsidR="001157E7" w:rsidRPr="006B3623">
        <w:rPr>
          <w:rFonts w:ascii="Calibri" w:hAnsi="Calibri" w:cs="Calibri"/>
        </w:rPr>
        <w:t xml:space="preserve">, </w:t>
      </w:r>
      <w:r w:rsidRPr="006B3623">
        <w:rPr>
          <w:rFonts w:ascii="Calibri" w:hAnsi="Calibri" w:cs="Calibri"/>
        </w:rPr>
        <w:t>and NIEHS showed that full glyphosate formulations—but not glyphosate itself—drive DNA-damage signatures, reshaping pesticide-risk assessments</w:t>
      </w:r>
      <w:r w:rsidR="001157E7" w:rsidRPr="006B3623">
        <w:rPr>
          <w:rFonts w:ascii="Calibri" w:hAnsi="Calibri" w:cs="Calibri"/>
        </w:rPr>
        <w:t>.</w:t>
      </w:r>
      <w:r w:rsidR="00BE5834" w:rsidRPr="006B3623">
        <w:rPr>
          <w:rStyle w:val="FootnoteReference"/>
          <w:rFonts w:ascii="Calibri" w:hAnsi="Calibri" w:cs="Calibri"/>
        </w:rPr>
        <w:footnoteReference w:id="9"/>
      </w:r>
      <w:r w:rsidR="00B8451A" w:rsidRPr="006B3623">
        <w:rPr>
          <w:rFonts w:ascii="Calibri" w:hAnsi="Calibri" w:cs="Calibri"/>
          <w:vertAlign w:val="superscript"/>
        </w:rPr>
        <w:t>,</w:t>
      </w:r>
      <w:r w:rsidR="00BE5834" w:rsidRPr="006B3623">
        <w:rPr>
          <w:rStyle w:val="FootnoteReference"/>
          <w:rFonts w:ascii="Calibri" w:hAnsi="Calibri" w:cs="Calibri"/>
        </w:rPr>
        <w:footnoteReference w:id="10"/>
      </w:r>
      <w:r w:rsidR="00BE5834" w:rsidRPr="006B3623">
        <w:rPr>
          <w:rFonts w:ascii="Calibri" w:hAnsi="Calibri" w:cs="Calibri"/>
        </w:rPr>
        <w:t xml:space="preserve"> </w:t>
      </w:r>
      <w:r w:rsidRPr="006B3623">
        <w:rPr>
          <w:rFonts w:ascii="Calibri" w:hAnsi="Calibri" w:cs="Calibri"/>
        </w:rPr>
        <w:t>Collectively, these cross-disciplinary advances illustrate how NIH’s sustained, collaborative investment is converting scientific insight into tangible gains in cancer prevention, diagnosis, treatment, and survivorship for people across the United States.</w:t>
      </w:r>
    </w:p>
    <w:p w14:paraId="3DAF3034" w14:textId="77777777" w:rsidR="00ED5641" w:rsidRPr="006B3623" w:rsidRDefault="00ED5641" w:rsidP="00ED5641">
      <w:pPr>
        <w:rPr>
          <w:rFonts w:ascii="Calibri" w:hAnsi="Calibri" w:cs="Calibri"/>
        </w:rPr>
      </w:pPr>
    </w:p>
    <w:p w14:paraId="742AEB9A" w14:textId="66EBCAD6" w:rsidR="004E3160" w:rsidRPr="006B3623" w:rsidRDefault="004E3160" w:rsidP="006B3623">
      <w:pPr>
        <w:pStyle w:val="Heading2"/>
      </w:pPr>
      <w:r w:rsidRPr="006B3623">
        <w:t>Advanced Imaging &amp; AI Tools</w:t>
      </w:r>
    </w:p>
    <w:p w14:paraId="5BFDA164" w14:textId="4BA3CF04" w:rsidR="00D22EAB" w:rsidRPr="006B3623" w:rsidRDefault="00D22EAB" w:rsidP="00D22EAB">
      <w:pPr>
        <w:spacing w:after="0" w:line="240" w:lineRule="auto"/>
        <w:rPr>
          <w:rFonts w:ascii="Calibri" w:eastAsia="Times New Roman" w:hAnsi="Calibri" w:cs="Calibri"/>
          <w:color w:val="000000"/>
          <w:kern w:val="0"/>
          <w14:ligatures w14:val="none"/>
        </w:rPr>
      </w:pPr>
      <w:r w:rsidRPr="006B3623">
        <w:rPr>
          <w:rFonts w:ascii="Calibri" w:eastAsia="Times New Roman" w:hAnsi="Calibri" w:cs="Calibri"/>
          <w:color w:val="000000"/>
          <w:kern w:val="0"/>
          <w14:ligatures w14:val="none"/>
        </w:rPr>
        <w:t xml:space="preserve">272_NCI, 282_NCI, </w:t>
      </w:r>
      <w:r w:rsidR="005C6FB1" w:rsidRPr="006B3623">
        <w:rPr>
          <w:rFonts w:ascii="Calibri" w:eastAsia="Times New Roman" w:hAnsi="Calibri" w:cs="Calibri"/>
          <w:color w:val="000000"/>
          <w:kern w:val="0"/>
          <w14:ligatures w14:val="none"/>
        </w:rPr>
        <w:t>933_NIBIB</w:t>
      </w:r>
    </w:p>
    <w:p w14:paraId="1709AF30" w14:textId="77777777" w:rsidR="00D22EAB" w:rsidRPr="006B3623" w:rsidRDefault="00D22EAB" w:rsidP="00D22EAB">
      <w:pPr>
        <w:jc w:val="both"/>
        <w:rPr>
          <w:rFonts w:ascii="Calibri" w:hAnsi="Calibri" w:cs="Calibri"/>
          <w:b/>
          <w:bCs/>
        </w:rPr>
      </w:pPr>
    </w:p>
    <w:p w14:paraId="4D363616" w14:textId="77777777" w:rsidR="002F24B2" w:rsidRPr="006B3623" w:rsidRDefault="002F24B2" w:rsidP="00D22EAB">
      <w:pPr>
        <w:jc w:val="both"/>
        <w:rPr>
          <w:rFonts w:ascii="Calibri" w:hAnsi="Calibri" w:cs="Calibri"/>
          <w:b/>
          <w:bCs/>
        </w:rPr>
      </w:pPr>
      <w:r w:rsidRPr="006B3623">
        <w:rPr>
          <w:rFonts w:ascii="Calibri" w:hAnsi="Calibri" w:cs="Calibri"/>
          <w:b/>
          <w:bCs/>
        </w:rPr>
        <w:t xml:space="preserve">UID </w:t>
      </w:r>
      <w:r w:rsidR="00D22EAB" w:rsidRPr="006B3623">
        <w:rPr>
          <w:rFonts w:ascii="Calibri" w:hAnsi="Calibri" w:cs="Calibri"/>
          <w:b/>
          <w:bCs/>
        </w:rPr>
        <w:t>272_NCI</w:t>
      </w:r>
    </w:p>
    <w:p w14:paraId="36029B24" w14:textId="121EBEB6" w:rsidR="002A0EC5" w:rsidRPr="006B3623" w:rsidRDefault="002A0EC5" w:rsidP="00D22EAB">
      <w:pPr>
        <w:jc w:val="both"/>
        <w:rPr>
          <w:rFonts w:ascii="Calibri" w:hAnsi="Calibri" w:cs="Calibri"/>
        </w:rPr>
      </w:pPr>
      <w:r w:rsidRPr="006B3623">
        <w:rPr>
          <w:rFonts w:ascii="Calibri" w:hAnsi="Calibri" w:cs="Calibri"/>
        </w:rPr>
        <w:t xml:space="preserve">Surveying U.S. oncologists, this NCI-supported investigation explored clinician perspectives on the ethical deployment of artificial intelligence (AI) in cancer care. Respondents welcomed AI’s potential to boost diagnostic accuracy and workflow efficiency yet emphasized the need for algorithmic transparency and </w:t>
      </w:r>
      <w:r w:rsidR="00E266EE" w:rsidRPr="006B3623">
        <w:rPr>
          <w:rFonts w:ascii="Calibri" w:hAnsi="Calibri" w:cs="Calibri"/>
        </w:rPr>
        <w:t>ethical</w:t>
      </w:r>
      <w:r w:rsidRPr="006B3623">
        <w:rPr>
          <w:rFonts w:ascii="Calibri" w:hAnsi="Calibri" w:cs="Calibri"/>
        </w:rPr>
        <w:t xml:space="preserve"> model performance across </w:t>
      </w:r>
      <w:r w:rsidR="00884AA4" w:rsidRPr="006B3623">
        <w:rPr>
          <w:rFonts w:ascii="Calibri" w:hAnsi="Calibri" w:cs="Calibri"/>
        </w:rPr>
        <w:t>many</w:t>
      </w:r>
      <w:r w:rsidRPr="006B3623">
        <w:rPr>
          <w:rFonts w:ascii="Calibri" w:hAnsi="Calibri" w:cs="Calibri"/>
        </w:rPr>
        <w:t xml:space="preserve"> patient populations</w:t>
      </w:r>
      <w:r w:rsidR="00087A22" w:rsidRPr="006B3623">
        <w:rPr>
          <w:rFonts w:ascii="Calibri" w:hAnsi="Calibri" w:cs="Calibri"/>
        </w:rPr>
        <w:t>.</w:t>
      </w:r>
      <w:r w:rsidRPr="006B3623">
        <w:rPr>
          <w:rStyle w:val="FootnoteReference"/>
          <w:rFonts w:ascii="Calibri" w:hAnsi="Calibri" w:cs="Calibri"/>
        </w:rPr>
        <w:footnoteReference w:id="11"/>
      </w:r>
      <w:r w:rsidRPr="006B3623">
        <w:rPr>
          <w:rFonts w:ascii="Calibri" w:hAnsi="Calibri" w:cs="Calibri"/>
        </w:rPr>
        <w:t xml:space="preserve"> Most favored educating patients on how AI guides recommendations and supported obtaining explicit consent, reinforcing shared decision-making principles. At the same time, the majority insisted that physicians—not algorithms—retain decisional responsibility and liability should AI-informed care lead to harm. Together, these insights identify priority areas for future guidelines: rigorous validation, clear patient communication, and clarified lines of accountability as AI tools proliferate in oncology practice.</w:t>
      </w:r>
    </w:p>
    <w:p w14:paraId="5DBA26D6" w14:textId="77777777" w:rsidR="007B7EF4" w:rsidRPr="006B3623" w:rsidRDefault="00D22EAB" w:rsidP="00D22EAB">
      <w:pPr>
        <w:jc w:val="both"/>
        <w:rPr>
          <w:rFonts w:ascii="Calibri" w:hAnsi="Calibri" w:cs="Calibri"/>
          <w:b/>
          <w:bCs/>
        </w:rPr>
      </w:pPr>
      <w:r w:rsidRPr="006B3623">
        <w:rPr>
          <w:rFonts w:ascii="Calibri" w:hAnsi="Calibri" w:cs="Calibri"/>
          <w:b/>
          <w:bCs/>
        </w:rPr>
        <w:t>UID 282_NCI</w:t>
      </w:r>
    </w:p>
    <w:p w14:paraId="5D89F604" w14:textId="1C96BDCD" w:rsidR="00D22EAB" w:rsidRPr="006B3623" w:rsidRDefault="00D22EAB" w:rsidP="00D22EAB">
      <w:pPr>
        <w:jc w:val="both"/>
        <w:rPr>
          <w:rFonts w:ascii="Calibri" w:hAnsi="Calibri" w:cs="Calibri"/>
        </w:rPr>
      </w:pPr>
      <w:r w:rsidRPr="006B3623">
        <w:rPr>
          <w:rFonts w:ascii="Calibri" w:hAnsi="Calibri" w:cs="Calibri"/>
        </w:rPr>
        <w:lastRenderedPageBreak/>
        <w:t xml:space="preserve">In a landmark study, NCI researchers have combined a robotic platform with machine learning to measure </w:t>
      </w:r>
      <w:r w:rsidR="00CF7385" w:rsidRPr="006B3623">
        <w:rPr>
          <w:rFonts w:ascii="Calibri" w:hAnsi="Calibri" w:cs="Calibri"/>
        </w:rPr>
        <w:t>experimentally</w:t>
      </w:r>
      <w:r w:rsidR="00CF7385" w:rsidRPr="006B3623">
        <w:rPr>
          <w:rFonts w:ascii="Calibri" w:hAnsi="Calibri" w:cs="Calibri"/>
        </w:rPr>
        <w:t xml:space="preserve"> </w:t>
      </w:r>
      <w:r w:rsidRPr="006B3623">
        <w:rPr>
          <w:rFonts w:ascii="Calibri" w:hAnsi="Calibri" w:cs="Calibri"/>
        </w:rPr>
        <w:t>and theoretically model the activation of a population of immune cells called CD8+ T cells. These cells can identify and kill cancer cells, and their activity is regulated by cytokines, proteins that can either stimulate or slow down immune system responses. This process is not fully understood because existing methods do not capture time-dependent dynamics of immune responses.</w:t>
      </w:r>
      <w:r w:rsidRPr="006B3623">
        <w:rPr>
          <w:rStyle w:val="FootnoteReference"/>
          <w:rFonts w:ascii="Calibri" w:hAnsi="Calibri" w:cs="Calibri"/>
        </w:rPr>
        <w:footnoteReference w:id="12"/>
      </w:r>
      <w:r w:rsidRPr="006B3623">
        <w:rPr>
          <w:rFonts w:ascii="Calibri" w:hAnsi="Calibri" w:cs="Calibri"/>
        </w:rPr>
        <w:t xml:space="preserve"> They generalized their approach to multiple immune process including responses to drug treatments and activation of patient-derived immune cells engineered to attack cancer cells chimeric antigen receptor T cells. By training neural networks on this rich dataset, the team uncovered a “universal antigen code” that accurately predicts T-cell activation state across tumor targets, laying computational groundwork for next-generation adoptive-cell therapies. Looking ahead, this fusion of robotics, single-cell imaging, and predictive modeling promises to accelerate personalized immunotherapies and offers a scalable blueprint for deciphering other high-dimensional cellular responses to cancer.</w:t>
      </w:r>
    </w:p>
    <w:p w14:paraId="776C59DC" w14:textId="77777777" w:rsidR="005C6FB1" w:rsidRPr="006B3623" w:rsidRDefault="005C6FB1" w:rsidP="005C6FB1">
      <w:pPr>
        <w:jc w:val="both"/>
        <w:rPr>
          <w:rFonts w:ascii="Calibri" w:hAnsi="Calibri" w:cs="Calibri"/>
          <w:b/>
          <w:bCs/>
        </w:rPr>
      </w:pPr>
      <w:r w:rsidRPr="006B3623">
        <w:rPr>
          <w:rFonts w:ascii="Calibri" w:hAnsi="Calibri" w:cs="Calibri"/>
          <w:b/>
          <w:bCs/>
        </w:rPr>
        <w:t>UID 933_NIBIB</w:t>
      </w:r>
    </w:p>
    <w:p w14:paraId="68B5DF24" w14:textId="79A30184" w:rsidR="005C6FB1" w:rsidRPr="006B3623" w:rsidRDefault="005C6FB1" w:rsidP="005C6FB1">
      <w:pPr>
        <w:jc w:val="both"/>
        <w:rPr>
          <w:rFonts w:ascii="Calibri" w:hAnsi="Calibri" w:cs="Calibri"/>
        </w:rPr>
      </w:pPr>
      <w:r w:rsidRPr="006B3623">
        <w:rPr>
          <w:rFonts w:ascii="Calibri" w:hAnsi="Calibri" w:cs="Calibri"/>
        </w:rPr>
        <w:t>To catalyze AI-ready imaging across diseases, NIBIB partnered with RSNA and ACR to establish the Medical Imaging and Data Resource Center (MIDRC)</w:t>
      </w:r>
      <w:r w:rsidR="00276204" w:rsidRPr="006B3623">
        <w:rPr>
          <w:rFonts w:ascii="Calibri" w:hAnsi="Calibri" w:cs="Calibri"/>
        </w:rPr>
        <w:t>.</w:t>
      </w:r>
      <w:r w:rsidRPr="006B3623">
        <w:rPr>
          <w:rStyle w:val="FootnoteReference"/>
          <w:rFonts w:ascii="Calibri" w:hAnsi="Calibri" w:cs="Calibri"/>
        </w:rPr>
        <w:footnoteReference w:id="13"/>
      </w:r>
      <w:r w:rsidRPr="006B3623">
        <w:rPr>
          <w:rFonts w:ascii="Calibri" w:hAnsi="Calibri" w:cs="Calibri"/>
        </w:rPr>
        <w:t xml:space="preserve"> MIDRC aggregates millions of de-identified clinical images with harmonized metadata and makes them accessible through cloud-based AI-training workspaces. Currently, MIDRC is expanding to include more image types, more anatomies, and different disease types with a focus on cancer. So far, nearly 570</w:t>
      </w:r>
      <w:r w:rsidR="00276204" w:rsidRPr="006B3623">
        <w:rPr>
          <w:rFonts w:ascii="Calibri" w:hAnsi="Calibri" w:cs="Calibri"/>
        </w:rPr>
        <w:t xml:space="preserve">,000 </w:t>
      </w:r>
      <w:r w:rsidRPr="006B3623">
        <w:rPr>
          <w:rFonts w:ascii="Calibri" w:hAnsi="Calibri" w:cs="Calibri"/>
        </w:rPr>
        <w:t>imaging studies have been ingested and nearly 200</w:t>
      </w:r>
      <w:r w:rsidR="00276204" w:rsidRPr="006B3623">
        <w:rPr>
          <w:rFonts w:ascii="Calibri" w:hAnsi="Calibri" w:cs="Calibri"/>
        </w:rPr>
        <w:t>,000</w:t>
      </w:r>
      <w:r w:rsidRPr="006B3623">
        <w:rPr>
          <w:rFonts w:ascii="Calibri" w:hAnsi="Calibri" w:cs="Calibri"/>
        </w:rPr>
        <w:t xml:space="preserve"> have been released to the public to develop AI tools and resources for health care. By setting interoperability and FAIR data standards, MIDRC anchors NIH’s strategy for scalable, trustworthy imaging AI.</w:t>
      </w:r>
    </w:p>
    <w:p w14:paraId="1FB43C68" w14:textId="77777777" w:rsidR="00D22EAB" w:rsidRPr="002A6E68" w:rsidRDefault="00D22EAB">
      <w:pPr>
        <w:rPr>
          <w:rFonts w:ascii="Calibri" w:hAnsi="Calibri" w:cs="Calibri"/>
          <w:sz w:val="20"/>
          <w:szCs w:val="20"/>
        </w:rPr>
      </w:pPr>
    </w:p>
    <w:p w14:paraId="0DE24EC2" w14:textId="1D1091C0" w:rsidR="00D22EAB" w:rsidRPr="002A6E68" w:rsidRDefault="00D22EAB">
      <w:pPr>
        <w:rPr>
          <w:rFonts w:ascii="Calibri" w:hAnsi="Calibri" w:cs="Calibri"/>
          <w:sz w:val="20"/>
          <w:szCs w:val="20"/>
        </w:rPr>
      </w:pPr>
      <w:r w:rsidRPr="002A6E68">
        <w:rPr>
          <w:rFonts w:ascii="Calibri" w:hAnsi="Calibri" w:cs="Calibri"/>
          <w:sz w:val="20"/>
          <w:szCs w:val="20"/>
        </w:rPr>
        <w:br w:type="page"/>
      </w:r>
    </w:p>
    <w:p w14:paraId="6F87CAB6" w14:textId="7C01DF45" w:rsidR="00C75B1F" w:rsidRPr="002A6E68" w:rsidRDefault="00C75B1F">
      <w:pPr>
        <w:rPr>
          <w:rFonts w:ascii="Calibri" w:hAnsi="Calibri" w:cs="Calibri"/>
          <w:sz w:val="20"/>
          <w:szCs w:val="20"/>
        </w:rPr>
      </w:pPr>
    </w:p>
    <w:p w14:paraId="191A2BD2" w14:textId="5899B00D" w:rsidR="00E42723" w:rsidRPr="002A6E68" w:rsidRDefault="00404050" w:rsidP="00E20D25">
      <w:pPr>
        <w:pStyle w:val="Heading2"/>
        <w:rPr>
          <w:rFonts w:ascii="Calibri" w:hAnsi="Calibri" w:cs="Calibri"/>
          <w:sz w:val="28"/>
          <w:szCs w:val="28"/>
        </w:rPr>
      </w:pPr>
      <w:r w:rsidRPr="002A6E68">
        <w:rPr>
          <w:rFonts w:ascii="Calibri" w:hAnsi="Calibri" w:cs="Calibri"/>
          <w:sz w:val="28"/>
          <w:szCs w:val="28"/>
        </w:rPr>
        <w:t>Combination &amp; Targeted Therapies</w:t>
      </w:r>
    </w:p>
    <w:p w14:paraId="336A1E84" w14:textId="67BFBA10" w:rsidR="009E4C4F" w:rsidRPr="002A6E68" w:rsidRDefault="00B81E19" w:rsidP="0033511C">
      <w:pPr>
        <w:jc w:val="both"/>
        <w:rPr>
          <w:rFonts w:ascii="Calibri" w:hAnsi="Calibri" w:cs="Calibri"/>
          <w:sz w:val="20"/>
          <w:szCs w:val="20"/>
        </w:rPr>
      </w:pPr>
      <w:r w:rsidRPr="002A6E68">
        <w:rPr>
          <w:rFonts w:ascii="Calibri" w:hAnsi="Calibri" w:cs="Calibri"/>
          <w:sz w:val="20"/>
          <w:szCs w:val="20"/>
        </w:rPr>
        <w:t>UIDs</w:t>
      </w:r>
      <w:r w:rsidR="007A4C68" w:rsidRPr="002A6E68">
        <w:rPr>
          <w:rFonts w:ascii="Calibri" w:hAnsi="Calibri" w:cs="Calibri"/>
          <w:sz w:val="20"/>
          <w:szCs w:val="20"/>
        </w:rPr>
        <w:t xml:space="preserve">: </w:t>
      </w:r>
      <w:r w:rsidR="004760BB">
        <w:rPr>
          <w:rFonts w:ascii="Calibri" w:hAnsi="Calibri" w:cs="Calibri"/>
          <w:sz w:val="20"/>
          <w:szCs w:val="20"/>
        </w:rPr>
        <w:t xml:space="preserve">212_NCATS, </w:t>
      </w:r>
      <w:r w:rsidR="009E4C4F" w:rsidRPr="002A6E68">
        <w:rPr>
          <w:rFonts w:ascii="Calibri" w:hAnsi="Calibri" w:cs="Calibri"/>
          <w:sz w:val="20"/>
          <w:szCs w:val="20"/>
        </w:rPr>
        <w:t>258_NCI, 263_NCI,</w:t>
      </w:r>
      <w:r w:rsidR="005C10F8" w:rsidRPr="002A6E68">
        <w:rPr>
          <w:rFonts w:ascii="Calibri" w:hAnsi="Calibri" w:cs="Calibri"/>
          <w:sz w:val="20"/>
          <w:szCs w:val="20"/>
        </w:rPr>
        <w:t xml:space="preserve"> 268_NCI,</w:t>
      </w:r>
      <w:r w:rsidR="00602913" w:rsidRPr="002A6E68">
        <w:rPr>
          <w:rFonts w:ascii="Calibri" w:hAnsi="Calibri" w:cs="Calibri"/>
          <w:sz w:val="20"/>
          <w:szCs w:val="20"/>
        </w:rPr>
        <w:t xml:space="preserve"> 275_NCI,</w:t>
      </w:r>
      <w:r w:rsidR="009E6DF6" w:rsidRPr="002A6E68">
        <w:rPr>
          <w:rFonts w:ascii="Calibri" w:hAnsi="Calibri" w:cs="Calibri"/>
          <w:sz w:val="20"/>
          <w:szCs w:val="20"/>
        </w:rPr>
        <w:t xml:space="preserve"> 277_NCI, 281_NCI</w:t>
      </w:r>
      <w:r w:rsidR="006E2AF5" w:rsidRPr="002A6E68">
        <w:rPr>
          <w:rFonts w:ascii="Calibri" w:hAnsi="Calibri" w:cs="Calibri"/>
          <w:sz w:val="20"/>
          <w:szCs w:val="20"/>
        </w:rPr>
        <w:t>, 493_NIEHS</w:t>
      </w:r>
    </w:p>
    <w:p w14:paraId="0AD9DF7F" w14:textId="77777777" w:rsidR="004760BB" w:rsidRDefault="004760BB" w:rsidP="0033511C">
      <w:pPr>
        <w:jc w:val="both"/>
        <w:rPr>
          <w:rFonts w:ascii="Calibri" w:hAnsi="Calibri" w:cs="Calibri"/>
        </w:rPr>
      </w:pPr>
    </w:p>
    <w:p w14:paraId="6C98EDC3" w14:textId="12EE14EC" w:rsidR="004760BB" w:rsidRPr="004760BB" w:rsidRDefault="004760BB" w:rsidP="0033511C">
      <w:pPr>
        <w:jc w:val="both"/>
        <w:rPr>
          <w:rFonts w:ascii="Calibri" w:hAnsi="Calibri" w:cs="Calibri"/>
          <w:b/>
          <w:bCs/>
        </w:rPr>
      </w:pPr>
      <w:r>
        <w:rPr>
          <w:rFonts w:ascii="Calibri" w:hAnsi="Calibri" w:cs="Calibri"/>
          <w:b/>
          <w:bCs/>
        </w:rPr>
        <w:t>UID 212_NCATS</w:t>
      </w:r>
    </w:p>
    <w:p w14:paraId="70DCE706" w14:textId="5406F4DE" w:rsidR="002C3B42" w:rsidRDefault="002C3B42" w:rsidP="0033511C">
      <w:pPr>
        <w:jc w:val="both"/>
        <w:rPr>
          <w:rFonts w:ascii="Calibri" w:hAnsi="Calibri" w:cs="Calibri"/>
          <w:b/>
          <w:bCs/>
        </w:rPr>
      </w:pPr>
      <w:r w:rsidRPr="002C3B42">
        <w:rPr>
          <w:rFonts w:ascii="Calibri" w:hAnsi="Calibri" w:cs="Calibri"/>
        </w:rPr>
        <w:t>Scientists at the National Institutes of Health and Massachusetts General Hospital have spotlighted a promising new way to fight liver cancer that could usher in an entirely new class of anticancer medicines. Their work focuses on cholangiocarcinoma—an aggressive bile-duct tumor often driven by faulty versions of the enzyme IDH1. By rapidly screening thousands of approved drugs and experimental agents designed to hit IDH1, the NCATS team pinpointed several molecules that kill cholangiocarcinoma cells with unusual potency.</w:t>
      </w:r>
      <w:r w:rsidR="00D303A2">
        <w:rPr>
          <w:rStyle w:val="FootnoteReference"/>
          <w:rFonts w:ascii="Calibri" w:hAnsi="Calibri" w:cs="Calibri"/>
        </w:rPr>
        <w:footnoteReference w:id="14"/>
      </w:r>
      <w:r w:rsidRPr="002C3B42">
        <w:rPr>
          <w:rFonts w:ascii="Calibri" w:hAnsi="Calibri" w:cs="Calibri"/>
        </w:rPr>
        <w:t xml:space="preserve"> Those “hit” compounds now serve as starting blueprints: chemists can tweak different parts of each molecule so the drug locks onto proteins displayed on the outside of cancer cells, creating a versatile “toolkit” that could be retargeted to many disease-related receptors. </w:t>
      </w:r>
      <w:r w:rsidR="005A1ADD" w:rsidRPr="005A1ADD">
        <w:rPr>
          <w:rFonts w:ascii="Calibri" w:hAnsi="Calibri" w:cs="Calibri"/>
        </w:rPr>
        <w:t>By exploiting enzymes that the tumor itself produces, this strategy could yield highly selective treatments for liver cancer—and potentially for other malignancies and diseases as well.</w:t>
      </w:r>
    </w:p>
    <w:p w14:paraId="0A1DA763" w14:textId="77777777" w:rsidR="002C3B42" w:rsidRDefault="002C3B42" w:rsidP="0033511C">
      <w:pPr>
        <w:jc w:val="both"/>
        <w:rPr>
          <w:rFonts w:ascii="Calibri" w:hAnsi="Calibri" w:cs="Calibri"/>
          <w:b/>
          <w:bCs/>
        </w:rPr>
      </w:pPr>
    </w:p>
    <w:p w14:paraId="050B1521" w14:textId="6597C2EB" w:rsidR="008859D7" w:rsidRPr="006B3623" w:rsidRDefault="0033511C" w:rsidP="0033511C">
      <w:pPr>
        <w:jc w:val="both"/>
        <w:rPr>
          <w:rFonts w:ascii="Calibri" w:hAnsi="Calibri" w:cs="Calibri"/>
          <w:b/>
          <w:bCs/>
        </w:rPr>
      </w:pPr>
      <w:r w:rsidRPr="006B3623">
        <w:rPr>
          <w:rFonts w:ascii="Calibri" w:hAnsi="Calibri" w:cs="Calibri"/>
          <w:b/>
          <w:bCs/>
        </w:rPr>
        <w:t>UID 258_NCI</w:t>
      </w:r>
    </w:p>
    <w:p w14:paraId="39E34CC0" w14:textId="153647F7" w:rsidR="0033511C" w:rsidRPr="006B3623" w:rsidRDefault="0033511C" w:rsidP="0033511C">
      <w:pPr>
        <w:jc w:val="both"/>
        <w:rPr>
          <w:rFonts w:ascii="Calibri" w:hAnsi="Calibri" w:cs="Calibri"/>
          <w:b/>
          <w:bCs/>
        </w:rPr>
      </w:pPr>
      <w:r w:rsidRPr="006B3623">
        <w:rPr>
          <w:rFonts w:ascii="Calibri" w:hAnsi="Calibri" w:cs="Calibri"/>
        </w:rPr>
        <w:t>NCI support—from early SBIR awards—was instrumental in the 2021 FDA approval of CYTALUX™ (pafolacianine), the first fluorescence-guided imaging agent that targets folate-receptors on lung and ovarian tumors. Surgeons administering CYTALUX intra-operatively can now visualize otherwise occult cancer deposits, enabling more complete detection cancer cells for removal and helping to ensure surgical margins are clear improving the effectiveness of subsequent chemotherapeutic and targeted regimens.</w:t>
      </w:r>
      <w:r w:rsidRPr="006B3623">
        <w:rPr>
          <w:rStyle w:val="FootnoteReference"/>
          <w:rFonts w:ascii="Calibri" w:hAnsi="Calibri" w:cs="Calibri"/>
        </w:rPr>
        <w:footnoteReference w:id="15"/>
      </w:r>
    </w:p>
    <w:p w14:paraId="2AE1227A" w14:textId="77777777" w:rsidR="0033511C" w:rsidRPr="006B3623" w:rsidRDefault="0033511C" w:rsidP="0033511C">
      <w:pPr>
        <w:rPr>
          <w:rFonts w:ascii="Calibri" w:hAnsi="Calibri" w:cs="Calibri"/>
          <w:b/>
          <w:bCs/>
        </w:rPr>
      </w:pPr>
      <w:r w:rsidRPr="006B3623">
        <w:rPr>
          <w:rFonts w:ascii="Calibri" w:hAnsi="Calibri" w:cs="Calibri"/>
          <w:b/>
          <w:bCs/>
        </w:rPr>
        <w:t>UID 263_NCI</w:t>
      </w:r>
    </w:p>
    <w:p w14:paraId="51AE1530" w14:textId="14A19A82" w:rsidR="0033511C" w:rsidRPr="006B3623" w:rsidRDefault="0033511C" w:rsidP="0033511C">
      <w:pPr>
        <w:jc w:val="both"/>
        <w:rPr>
          <w:rFonts w:ascii="Calibri" w:hAnsi="Calibri" w:cs="Calibri"/>
        </w:rPr>
      </w:pPr>
      <w:r w:rsidRPr="006B3623">
        <w:rPr>
          <w:rFonts w:ascii="Calibri" w:hAnsi="Calibri" w:cs="Calibri"/>
        </w:rPr>
        <w:t xml:space="preserve">Ewing sarcoma is an aggressive childhood cancer with limited treatment options, especially for patients whose disease has metastasized or recurred after initial therapy. </w:t>
      </w:r>
      <w:r w:rsidR="00EE1CA7" w:rsidRPr="00EE1CA7">
        <w:rPr>
          <w:rFonts w:ascii="Calibri" w:hAnsi="Calibri" w:cs="Calibri"/>
        </w:rPr>
        <w:t>Despite its clear dependence on the EWS-FLI fusion oncoprotein, efforts to inhibit this driver directly have persisted</w:t>
      </w:r>
      <w:r w:rsidR="007923EC" w:rsidRPr="006B3623">
        <w:rPr>
          <w:rFonts w:ascii="Calibri" w:hAnsi="Calibri" w:cs="Calibri"/>
        </w:rPr>
        <w:t>.</w:t>
      </w:r>
      <w:r w:rsidRPr="006B3623">
        <w:rPr>
          <w:rFonts w:ascii="Calibri" w:hAnsi="Calibri" w:cs="Calibri"/>
        </w:rPr>
        <w:t xml:space="preserve"> NCI-supported research teams have independently identified a promising new target: a protein called ETV6. Using advanced genetic screening techniques, researchers discovered that ETV6 plays a key role in helping Ewing sarcoma tumors grow. It does this by influencing the activity of the fusion protein that causes the cancer. Importantly, ETV6 appears to be critical for cancer cell survival—but not for healthy cells—making it an attractive candidate for targeted therapy.</w:t>
      </w:r>
      <w:r w:rsidR="008859D7" w:rsidRPr="006B3623">
        <w:rPr>
          <w:rFonts w:ascii="Calibri" w:hAnsi="Calibri" w:cs="Calibri"/>
        </w:rPr>
        <w:t xml:space="preserve"> </w:t>
      </w:r>
      <w:r w:rsidRPr="006B3623">
        <w:rPr>
          <w:rFonts w:ascii="Calibri" w:hAnsi="Calibri" w:cs="Calibri"/>
        </w:rPr>
        <w:t>These new insights could lead to the development of drugs that block ETV6, offering a new strategy for treating Ewing sarcoma. In addition, this discovery may also benefit efforts to treat other cancers driven by fusion proteins, potentially broadening its impact across multiple cancer types.</w:t>
      </w:r>
      <w:r w:rsidRPr="006B3623">
        <w:rPr>
          <w:rStyle w:val="FootnoteReference"/>
          <w:rFonts w:ascii="Calibri" w:hAnsi="Calibri" w:cs="Calibri"/>
        </w:rPr>
        <w:footnoteReference w:id="16"/>
      </w:r>
      <w:r w:rsidR="0030317E" w:rsidRPr="006B3623">
        <w:rPr>
          <w:rFonts w:ascii="Calibri" w:hAnsi="Calibri" w:cs="Calibri"/>
          <w:vertAlign w:val="superscript"/>
        </w:rPr>
        <w:t>,</w:t>
      </w:r>
      <w:r w:rsidRPr="006B3623">
        <w:rPr>
          <w:rStyle w:val="FootnoteReference"/>
          <w:rFonts w:ascii="Calibri" w:hAnsi="Calibri" w:cs="Calibri"/>
        </w:rPr>
        <w:footnoteReference w:id="17"/>
      </w:r>
    </w:p>
    <w:p w14:paraId="7696FEC4" w14:textId="77777777" w:rsidR="008859D7" w:rsidRPr="006B3623" w:rsidRDefault="008859D7" w:rsidP="0033511C">
      <w:pPr>
        <w:jc w:val="both"/>
        <w:rPr>
          <w:rFonts w:ascii="Calibri" w:hAnsi="Calibri" w:cs="Calibri"/>
          <w:b/>
          <w:bCs/>
        </w:rPr>
      </w:pPr>
    </w:p>
    <w:p w14:paraId="64D29D1B" w14:textId="3CCF4501" w:rsidR="008859D7" w:rsidRPr="006B3623" w:rsidRDefault="0033511C" w:rsidP="0033511C">
      <w:pPr>
        <w:jc w:val="both"/>
        <w:rPr>
          <w:rFonts w:ascii="Calibri" w:hAnsi="Calibri" w:cs="Calibri"/>
          <w:b/>
          <w:bCs/>
        </w:rPr>
      </w:pPr>
      <w:r w:rsidRPr="006B3623">
        <w:rPr>
          <w:rFonts w:ascii="Calibri" w:hAnsi="Calibri" w:cs="Calibri"/>
          <w:b/>
          <w:bCs/>
        </w:rPr>
        <w:t>UID 268_NCI</w:t>
      </w:r>
    </w:p>
    <w:p w14:paraId="2BDE8903" w14:textId="59258FC6" w:rsidR="0033511C" w:rsidRPr="006B3623" w:rsidRDefault="0033511C" w:rsidP="0033511C">
      <w:pPr>
        <w:jc w:val="both"/>
        <w:rPr>
          <w:rFonts w:ascii="Calibri" w:hAnsi="Calibri" w:cs="Calibri"/>
        </w:rPr>
      </w:pPr>
      <w:r w:rsidRPr="006B3623">
        <w:rPr>
          <w:rFonts w:ascii="Calibri" w:hAnsi="Calibri" w:cs="Calibri"/>
        </w:rPr>
        <w:t>Too often, a person’s cancer initially responds to standard treatments, but then the cancer returns, necessitating the critical need for alternative treatment options that are tolerable to the patient and effective against the cancer. Building on precision-oncology insights, NCI investigators launched the VIPOR trial to test a four-drug, mechanism-based cocktail—venetoclax, ibrutinib, prednisone, obinutuzumab, and lenalidomide—in adults with relapsed or refractory aggressive B-cell lymphoma. The phase II study reported an overall response rate of 89 percent and complete remissions in 38 percent of participants, markedly surpassing historical controls. Translational correlative work suggests that simultaneous disruption of B-cell receptor signaling, apoptosis regulation, and micro-environmental crosstalk underpins these outcomes.</w:t>
      </w:r>
      <w:r w:rsidRPr="006B3623">
        <w:rPr>
          <w:rStyle w:val="FootnoteReference"/>
          <w:rFonts w:ascii="Calibri" w:hAnsi="Calibri" w:cs="Calibri"/>
        </w:rPr>
        <w:footnoteReference w:id="18"/>
      </w:r>
      <w:r w:rsidR="007923EC" w:rsidRPr="006B3623">
        <w:rPr>
          <w:rFonts w:ascii="Calibri" w:hAnsi="Calibri" w:cs="Calibri"/>
          <w:vertAlign w:val="superscript"/>
        </w:rPr>
        <w:t>,</w:t>
      </w:r>
      <w:r w:rsidRPr="006B3623">
        <w:rPr>
          <w:rStyle w:val="FootnoteReference"/>
          <w:rFonts w:ascii="Calibri" w:hAnsi="Calibri" w:cs="Calibri"/>
        </w:rPr>
        <w:footnoteReference w:id="19"/>
      </w:r>
    </w:p>
    <w:p w14:paraId="6E7BF671" w14:textId="77777777" w:rsidR="0033511C" w:rsidRPr="006B3623" w:rsidRDefault="0033511C" w:rsidP="0033511C">
      <w:pPr>
        <w:jc w:val="both"/>
        <w:rPr>
          <w:rFonts w:ascii="Calibri" w:hAnsi="Calibri" w:cs="Calibri"/>
        </w:rPr>
      </w:pPr>
    </w:p>
    <w:p w14:paraId="7A0E333A" w14:textId="77777777" w:rsidR="00130469" w:rsidRPr="006B3623" w:rsidRDefault="00130469" w:rsidP="00130469">
      <w:pPr>
        <w:rPr>
          <w:rFonts w:ascii="Calibri" w:hAnsi="Calibri" w:cs="Calibri"/>
          <w:b/>
          <w:bCs/>
        </w:rPr>
      </w:pPr>
      <w:r w:rsidRPr="006B3623">
        <w:rPr>
          <w:rFonts w:ascii="Calibri" w:hAnsi="Calibri" w:cs="Calibri"/>
          <w:b/>
          <w:bCs/>
        </w:rPr>
        <w:t>UID 275_NCI</w:t>
      </w:r>
    </w:p>
    <w:p w14:paraId="0DD02552" w14:textId="16DC7CE1" w:rsidR="00130469" w:rsidRPr="006B3623" w:rsidRDefault="00130469" w:rsidP="00130469">
      <w:pPr>
        <w:jc w:val="both"/>
        <w:rPr>
          <w:rFonts w:ascii="Calibri" w:hAnsi="Calibri" w:cs="Calibri"/>
        </w:rPr>
      </w:pPr>
      <w:r w:rsidRPr="006B3623">
        <w:rPr>
          <w:rFonts w:ascii="Calibri" w:hAnsi="Calibri" w:cs="Calibri"/>
        </w:rPr>
        <w:t>Through the NCI RAS Initiative, two innovative first-in-class compounds targeting RAS-driven cancers have entered clinical trials after receiving FDA Investigational New Drug (IND) approval. The first drug BBIO-10203 began trials in October 2024 and blocks the interaction between RAS</w:t>
      </w:r>
      <w:r w:rsidR="00610F37">
        <w:rPr>
          <w:rFonts w:ascii="Calibri" w:hAnsi="Calibri" w:cs="Calibri"/>
        </w:rPr>
        <w:t xml:space="preserve"> </w:t>
      </w:r>
      <w:r w:rsidR="0060691E" w:rsidRPr="0060691E">
        <w:rPr>
          <w:rFonts w:ascii="Calibri" w:hAnsi="Calibri" w:cs="Calibri"/>
        </w:rPr>
        <w:t>—</w:t>
      </w:r>
      <w:r w:rsidR="0060691E">
        <w:rPr>
          <w:rFonts w:ascii="Calibri" w:hAnsi="Calibri" w:cs="Calibri"/>
        </w:rPr>
        <w:t xml:space="preserve"> </w:t>
      </w:r>
      <w:r w:rsidRPr="006B3623">
        <w:rPr>
          <w:rFonts w:ascii="Calibri" w:hAnsi="Calibri" w:cs="Calibri"/>
        </w:rPr>
        <w:t>a gene commonly mutated in cancer</w:t>
      </w:r>
      <w:r w:rsidR="0060691E" w:rsidRPr="0060691E">
        <w:rPr>
          <w:rFonts w:ascii="Calibri" w:hAnsi="Calibri" w:cs="Calibri"/>
        </w:rPr>
        <w:t>—</w:t>
      </w:r>
      <w:r w:rsidRPr="006B3623">
        <w:rPr>
          <w:rFonts w:ascii="Calibri" w:hAnsi="Calibri" w:cs="Calibri"/>
        </w:rPr>
        <w:t>a protein involved in cell growth and survival. The second drug, BBIO-10203 targets both active and inactive forms of the KRAS G12C mutation a common mutation found in several types of cancer; it received Fast Track Designation from the FDA in January 2025. Both drugs were developed using a structure-guided approach and are designed to work across multiple KRAS mutations, offering a foundation for future combination treatments. Adaptive trial designs will enable the addition of drugs like MEK or immune checkpoint inhibitors as resistance mechanisms emerge.</w:t>
      </w:r>
      <w:r w:rsidRPr="006B3623">
        <w:rPr>
          <w:rStyle w:val="FootnoteReference"/>
          <w:rFonts w:ascii="Calibri" w:hAnsi="Calibri" w:cs="Calibri"/>
        </w:rPr>
        <w:footnoteReference w:id="20"/>
      </w:r>
    </w:p>
    <w:p w14:paraId="5C46B199" w14:textId="77777777" w:rsidR="008859D7" w:rsidRPr="006B3623" w:rsidRDefault="008859D7" w:rsidP="00130469">
      <w:pPr>
        <w:jc w:val="both"/>
        <w:rPr>
          <w:rFonts w:ascii="Calibri" w:hAnsi="Calibri" w:cs="Calibri"/>
        </w:rPr>
      </w:pPr>
    </w:p>
    <w:p w14:paraId="79648827" w14:textId="77777777" w:rsidR="008859D7" w:rsidRPr="006B3623" w:rsidRDefault="00130469" w:rsidP="00130469">
      <w:pPr>
        <w:jc w:val="both"/>
        <w:rPr>
          <w:rFonts w:ascii="Calibri" w:hAnsi="Calibri" w:cs="Calibri"/>
          <w:b/>
          <w:bCs/>
        </w:rPr>
      </w:pPr>
      <w:r w:rsidRPr="006B3623">
        <w:rPr>
          <w:rFonts w:ascii="Calibri" w:hAnsi="Calibri" w:cs="Calibri"/>
          <w:b/>
          <w:bCs/>
        </w:rPr>
        <w:t>UID 277_NCI</w:t>
      </w:r>
    </w:p>
    <w:p w14:paraId="72C4412B" w14:textId="20C83D9A" w:rsidR="00130469" w:rsidRPr="006B3623" w:rsidRDefault="00130469" w:rsidP="00130469">
      <w:pPr>
        <w:jc w:val="both"/>
        <w:rPr>
          <w:rFonts w:ascii="Calibri" w:hAnsi="Calibri" w:cs="Calibri"/>
          <w:b/>
          <w:bCs/>
        </w:rPr>
      </w:pPr>
      <w:r w:rsidRPr="006B3623">
        <w:rPr>
          <w:rFonts w:ascii="Calibri" w:hAnsi="Calibri" w:cs="Calibri"/>
        </w:rPr>
        <w:t xml:space="preserve">An NCI-supported international clinical trial demonstrated that adding a PARP inhibitor—a class of drugs that target cancer cells by interfering with DNA repair—to standard therapy significantly improved outcomes for patients with BRCA1/2-associated breast cancer. Results from the OlympiA phase III trial showed that one year of adjuvant olaparib significantly reduced invasive disease recurrence and improved overall survival in patients with high-risk, HER2-negative breast cancer harboring germline BRCA1 or BRCA2 mutations. The treatment was associated with a 38 percent reduction in the risk of death compared to placebo. In March 2022, findings from the OlympiA trial led to U.S. Food and Drug Administration approval of olaparib as an additional treatment following primary standard therapy for patients with high-risk, BRCA-associated breast cancer. These results prompted rapid incorporation into clinical guidelines, establishing the first genetically targeted therapy in the adjuvant breast cancer setting and highlighting the </w:t>
      </w:r>
      <w:r w:rsidRPr="006B3623">
        <w:rPr>
          <w:rFonts w:ascii="Calibri" w:hAnsi="Calibri" w:cs="Calibri"/>
        </w:rPr>
        <w:lastRenderedPageBreak/>
        <w:t>value of germline testing to guide the use of DNA-repair inhibition alongside surgery, radiation, and chemotherapy.</w:t>
      </w:r>
      <w:r w:rsidRPr="006B3623">
        <w:rPr>
          <w:rStyle w:val="FootnoteReference"/>
          <w:rFonts w:ascii="Calibri" w:hAnsi="Calibri" w:cs="Calibri"/>
        </w:rPr>
        <w:footnoteReference w:id="21"/>
      </w:r>
    </w:p>
    <w:p w14:paraId="5C4EAC40" w14:textId="77777777" w:rsidR="008859D7" w:rsidRPr="006B3623" w:rsidRDefault="00130469" w:rsidP="00130469">
      <w:pPr>
        <w:jc w:val="both"/>
        <w:rPr>
          <w:rFonts w:ascii="Calibri" w:hAnsi="Calibri" w:cs="Calibri"/>
          <w:b/>
          <w:bCs/>
        </w:rPr>
      </w:pPr>
      <w:r w:rsidRPr="006B3623">
        <w:rPr>
          <w:rFonts w:ascii="Calibri" w:hAnsi="Calibri" w:cs="Calibri"/>
          <w:b/>
          <w:bCs/>
        </w:rPr>
        <w:t>UID 281_NCI</w:t>
      </w:r>
    </w:p>
    <w:p w14:paraId="22B0F8F1" w14:textId="716AC56E" w:rsidR="00130469" w:rsidRPr="006B3623" w:rsidRDefault="00130469" w:rsidP="00130469">
      <w:pPr>
        <w:jc w:val="both"/>
        <w:rPr>
          <w:rFonts w:ascii="Calibri" w:hAnsi="Calibri" w:cs="Calibri"/>
        </w:rPr>
      </w:pPr>
      <w:r w:rsidRPr="006B3623">
        <w:rPr>
          <w:rFonts w:ascii="Calibri" w:hAnsi="Calibri" w:cs="Calibri"/>
        </w:rPr>
        <w:t>Researchers at the National Cancer Institute (NCI) helped lead a large international clinical trial to test a new treatment option for patients with an aggressive type of blood cancer called diffuse large B-cell lymphoma (DLBCL). This cancer occurs when a subset of white blood cells, called B-cells, undergo rapid and uncontrolled growth. The standard treatment for DLBCL is a combination of chemotherapy drugs, a targeted antibody treatment, and a steroid—known together as R-CHOP. The phase III trial, “Phoenix” tested the benefit of adding ibrutinib, a drug that inhibits the survival and growth of B-cells, to standard R-CHOP therapy in patients with DLBCL. Ibrutinib works by blocking signals that help cancerous B-cells survive and grow. Overall, the trial failed to demonstrate a benefit of ibrutinib in the broader population, it did show a 12</w:t>
      </w:r>
      <w:r w:rsidR="002A6E68" w:rsidRPr="006B3623">
        <w:rPr>
          <w:rFonts w:ascii="Calibri" w:hAnsi="Calibri" w:cs="Calibri"/>
        </w:rPr>
        <w:t xml:space="preserve"> percent</w:t>
      </w:r>
      <w:r w:rsidRPr="006B3623">
        <w:rPr>
          <w:rFonts w:ascii="Calibri" w:hAnsi="Calibri" w:cs="Calibri"/>
        </w:rPr>
        <w:t xml:space="preserve"> improvement in survival for younger patients (60 or younger) with a specific type of DLBCL called non-GCB. Patients with certain genetic features (known as MCD and N1 subtypes) saw especially strong benefits. Based on these findings, the National Comprehensive Cancer Network will consider a recommendation that oncologists add ibrutinib to R-CHOP for younger patients newly diagnosed with non-GCB DLBCL subtype of lymphoma.</w:t>
      </w:r>
      <w:r w:rsidRPr="006B3623">
        <w:rPr>
          <w:rStyle w:val="FootnoteReference"/>
          <w:rFonts w:ascii="Calibri" w:hAnsi="Calibri" w:cs="Calibri"/>
        </w:rPr>
        <w:footnoteReference w:id="22"/>
      </w:r>
    </w:p>
    <w:p w14:paraId="7E738FC7" w14:textId="77777777" w:rsidR="00130469" w:rsidRPr="006B3623" w:rsidRDefault="00130469" w:rsidP="00130469">
      <w:pPr>
        <w:rPr>
          <w:rFonts w:ascii="Calibri" w:hAnsi="Calibri" w:cs="Calibri"/>
          <w:b/>
          <w:bCs/>
        </w:rPr>
      </w:pPr>
      <w:r w:rsidRPr="006B3623">
        <w:rPr>
          <w:rFonts w:ascii="Calibri" w:hAnsi="Calibri" w:cs="Calibri"/>
          <w:b/>
          <w:bCs/>
        </w:rPr>
        <w:t>UID 493_NIEHS</w:t>
      </w:r>
    </w:p>
    <w:p w14:paraId="60B373A6" w14:textId="515A4E80" w:rsidR="00130469" w:rsidRPr="006B3623" w:rsidRDefault="00130469" w:rsidP="00130469">
      <w:pPr>
        <w:jc w:val="both"/>
        <w:rPr>
          <w:rFonts w:ascii="Calibri" w:hAnsi="Calibri" w:cs="Calibri"/>
        </w:rPr>
      </w:pPr>
      <w:r w:rsidRPr="006B3623">
        <w:rPr>
          <w:rFonts w:ascii="Calibri" w:hAnsi="Calibri" w:cs="Calibri"/>
        </w:rPr>
        <w:t>Scientific assays are essential tools in precision medicine, helping researchers understand how toxic exposures—like tobacco smoke—cause genetic mutations that can lead to cancer. The NIEHS/NCI Genome Integrity Consortium is at the forefront of developing faster, more accurate assays to measure how environmental exposures affect DNA and predict individual cancer risk.</w:t>
      </w:r>
      <w:r w:rsidR="008859D7" w:rsidRPr="006B3623">
        <w:rPr>
          <w:rFonts w:ascii="Calibri" w:hAnsi="Calibri" w:cs="Calibri"/>
        </w:rPr>
        <w:t xml:space="preserve"> </w:t>
      </w:r>
      <w:r w:rsidRPr="006B3623">
        <w:rPr>
          <w:rFonts w:ascii="Calibri" w:hAnsi="Calibri" w:cs="Calibri"/>
        </w:rPr>
        <w:t>In a recent study, NIEHS scientists used single-cell whole-genome sequencing to map the accumulation of DNA mutations in lung cells from never-, former-, and current-smokers aged 11 to 86. The findings showed that heavy smokers eventually reach a plateau in their ability to avoid mutations, suggesting a "ceiling effect" that could influence how lung cancer develops and how patients respond to targeted therapies.</w:t>
      </w:r>
      <w:r w:rsidRPr="006B3623">
        <w:rPr>
          <w:rStyle w:val="FootnoteReference"/>
          <w:rFonts w:ascii="Calibri" w:hAnsi="Calibri" w:cs="Calibri"/>
        </w:rPr>
        <w:footnoteReference w:id="23"/>
      </w:r>
      <w:r w:rsidR="008859D7" w:rsidRPr="006B3623">
        <w:rPr>
          <w:rFonts w:ascii="Calibri" w:hAnsi="Calibri" w:cs="Calibri"/>
        </w:rPr>
        <w:t xml:space="preserve"> </w:t>
      </w:r>
      <w:r w:rsidRPr="006B3623">
        <w:rPr>
          <w:rFonts w:ascii="Calibri" w:hAnsi="Calibri" w:cs="Calibri"/>
        </w:rPr>
        <w:t>The study highlights the potential of using combination prevention strategies to reduce cancer risk in high-risk individuals. It also demonstrates how these new assays can track the effects of environmental exposures on genomic health, offering a powerful platform for tailoring cancer prevention to individual needs.</w:t>
      </w:r>
    </w:p>
    <w:p w14:paraId="78858FD8" w14:textId="77777777" w:rsidR="00130469" w:rsidRPr="002A6E68" w:rsidRDefault="00130469" w:rsidP="0033511C">
      <w:pPr>
        <w:jc w:val="both"/>
        <w:rPr>
          <w:rFonts w:ascii="Calibri" w:hAnsi="Calibri" w:cs="Calibri"/>
          <w:sz w:val="20"/>
          <w:szCs w:val="20"/>
        </w:rPr>
      </w:pPr>
    </w:p>
    <w:p w14:paraId="3A0681E5" w14:textId="6191D702" w:rsidR="0033511C" w:rsidRPr="002A6E68" w:rsidRDefault="0033511C">
      <w:pPr>
        <w:rPr>
          <w:rFonts w:ascii="Calibri" w:hAnsi="Calibri" w:cs="Calibri"/>
          <w:sz w:val="20"/>
          <w:szCs w:val="20"/>
        </w:rPr>
      </w:pPr>
      <w:r w:rsidRPr="002A6E68">
        <w:rPr>
          <w:rFonts w:ascii="Calibri" w:hAnsi="Calibri" w:cs="Calibri"/>
          <w:sz w:val="20"/>
          <w:szCs w:val="20"/>
        </w:rPr>
        <w:br w:type="page"/>
      </w:r>
    </w:p>
    <w:p w14:paraId="238B91EF" w14:textId="082AE29E" w:rsidR="00780F06" w:rsidRPr="002A6E68" w:rsidRDefault="00780F06" w:rsidP="00780F06">
      <w:pPr>
        <w:pStyle w:val="Heading2"/>
        <w:rPr>
          <w:rFonts w:ascii="Calibri" w:hAnsi="Calibri" w:cs="Calibri"/>
          <w:sz w:val="28"/>
          <w:szCs w:val="28"/>
        </w:rPr>
      </w:pPr>
      <w:r w:rsidRPr="002A6E68">
        <w:rPr>
          <w:rFonts w:ascii="Calibri" w:hAnsi="Calibri" w:cs="Calibri"/>
          <w:sz w:val="28"/>
          <w:szCs w:val="28"/>
        </w:rPr>
        <w:lastRenderedPageBreak/>
        <w:t>Data Commons and Computational Resources</w:t>
      </w:r>
    </w:p>
    <w:p w14:paraId="4D0F9F3C" w14:textId="16A739C8" w:rsidR="000D4659" w:rsidRPr="002A6E68" w:rsidRDefault="00E20942" w:rsidP="00780F06">
      <w:pPr>
        <w:rPr>
          <w:rFonts w:ascii="Calibri" w:hAnsi="Calibri" w:cs="Calibri"/>
          <w:sz w:val="20"/>
          <w:szCs w:val="20"/>
        </w:rPr>
      </w:pPr>
      <w:r w:rsidRPr="002A6E68">
        <w:rPr>
          <w:rFonts w:ascii="Calibri" w:hAnsi="Calibri" w:cs="Calibri"/>
          <w:sz w:val="20"/>
          <w:szCs w:val="20"/>
        </w:rPr>
        <w:t xml:space="preserve">UIDs: </w:t>
      </w:r>
      <w:r w:rsidR="000D4659" w:rsidRPr="002A6E68">
        <w:rPr>
          <w:rFonts w:ascii="Calibri" w:hAnsi="Calibri" w:cs="Calibri"/>
          <w:sz w:val="20"/>
          <w:szCs w:val="20"/>
        </w:rPr>
        <w:t>206_NCATS</w:t>
      </w:r>
      <w:r w:rsidR="00F95F37" w:rsidRPr="002A6E68">
        <w:rPr>
          <w:rFonts w:ascii="Calibri" w:hAnsi="Calibri" w:cs="Calibri"/>
          <w:sz w:val="20"/>
          <w:szCs w:val="20"/>
        </w:rPr>
        <w:t>, 248_NCI</w:t>
      </w:r>
    </w:p>
    <w:p w14:paraId="7D062D3F" w14:textId="77777777" w:rsidR="00CD7458" w:rsidRPr="006B3623" w:rsidRDefault="00CD7458" w:rsidP="00CD7458">
      <w:pPr>
        <w:rPr>
          <w:rFonts w:ascii="Calibri" w:hAnsi="Calibri" w:cs="Calibri"/>
          <w:b/>
          <w:bCs/>
        </w:rPr>
      </w:pPr>
      <w:r w:rsidRPr="006B3623">
        <w:rPr>
          <w:rFonts w:ascii="Calibri" w:hAnsi="Calibri" w:cs="Calibri"/>
          <w:b/>
          <w:bCs/>
        </w:rPr>
        <w:t>UID:206_NCATS</w:t>
      </w:r>
    </w:p>
    <w:p w14:paraId="7102CE5B" w14:textId="77777777" w:rsidR="00CD7458" w:rsidRPr="006B3623" w:rsidRDefault="00CD7458" w:rsidP="00CD7458">
      <w:pPr>
        <w:jc w:val="both"/>
        <w:rPr>
          <w:rFonts w:ascii="Calibri" w:hAnsi="Calibri" w:cs="Calibri"/>
        </w:rPr>
      </w:pPr>
      <w:r w:rsidRPr="006B3623">
        <w:rPr>
          <w:rFonts w:ascii="Calibri" w:hAnsi="Calibri" w:cs="Calibri"/>
        </w:rPr>
        <w:t>A new database developed by Center for Cancer Research (CCR) scientists links extensive drug activity data from the National Center for Advancing Translational Sciences (NCATS) to detailed molecular information about the cancer cell lines in which those drugs have been tested. CCR scientists assembled CellMinerCDB-NCATS, expands a set of CellMiner tools that have been freely available since 2009 through CCR’s Genomics and Pharmacology Facility. It is an open web portal that details how 2,675 different compounds affect the growth of cancer cells. It includes drug response data from 183 cancer cell lines that have been tested at NCATS. By harmonizing pharmacogenomic data across NCI, Broad, Sanger, and other repositories, the platform lets investigators explore relationships between cancer cells’ molecular makeup and their response to potential therapies in seconds—an invaluable capability for rational combination design.</w:t>
      </w:r>
      <w:r w:rsidRPr="006B3623">
        <w:rPr>
          <w:rStyle w:val="FootnoteReference"/>
          <w:rFonts w:ascii="Calibri" w:hAnsi="Calibri" w:cs="Calibri"/>
        </w:rPr>
        <w:footnoteReference w:id="24"/>
      </w:r>
    </w:p>
    <w:p w14:paraId="1316B6A7" w14:textId="1F4A535F" w:rsidR="006F7B6B" w:rsidRPr="006B3623" w:rsidRDefault="006F7B6B" w:rsidP="006F7B6B">
      <w:pPr>
        <w:rPr>
          <w:rFonts w:ascii="Calibri" w:hAnsi="Calibri" w:cs="Calibri"/>
        </w:rPr>
      </w:pPr>
      <w:r w:rsidRPr="006B3623">
        <w:rPr>
          <w:rFonts w:ascii="Calibri" w:hAnsi="Calibri" w:cs="Calibri"/>
          <w:b/>
          <w:bCs/>
        </w:rPr>
        <w:t>UID 248_NCI</w:t>
      </w:r>
    </w:p>
    <w:p w14:paraId="1DE905DB" w14:textId="16BD8BCC" w:rsidR="006F7B6B" w:rsidRPr="006B3623" w:rsidRDefault="006F7B6B" w:rsidP="006F7B6B">
      <w:pPr>
        <w:jc w:val="both"/>
        <w:rPr>
          <w:rFonts w:ascii="Calibri" w:hAnsi="Calibri" w:cs="Calibri"/>
        </w:rPr>
      </w:pPr>
      <w:r w:rsidRPr="006B3623">
        <w:rPr>
          <w:rFonts w:ascii="Calibri" w:hAnsi="Calibri" w:cs="Calibri"/>
        </w:rPr>
        <w:t>The National Cancer Institute’s Cancer Research Data Commons (CRDC) is a cloud-based ecosystem that allows researchers to access and analyze vast cancer datasets—including genomic, proteomic, imaging, and clinical trial data—without the need for local downloads.</w:t>
      </w:r>
      <w:r w:rsidR="00E266EE" w:rsidRPr="006B3623">
        <w:rPr>
          <w:rFonts w:ascii="Calibri" w:hAnsi="Calibri" w:cs="Calibri"/>
        </w:rPr>
        <w:t xml:space="preserve"> </w:t>
      </w:r>
      <w:r w:rsidRPr="006B3623">
        <w:rPr>
          <w:rFonts w:ascii="Calibri" w:hAnsi="Calibri" w:cs="Calibri"/>
        </w:rPr>
        <w:t>These platforms, called the NCI Cloud Resources, helped lead the effort for global genomic data standards by establishing a unified framework for secure and responsible data sharing in genomics research worldwide, streamlining data ingestion, enhancing user experience, and facilitating file sharing across platforms. As of 2024, CRDC maintained about 10 petabytes of data across 55 million files and provided over 2,000 public tools and workflows through the NCI Cloud Resources. The CRDC also supports training, collaboration, and user growth in emerging fields like multi-omics, RNA editing, and cancer biomarker identification.</w:t>
      </w:r>
      <w:r w:rsidRPr="006B3623">
        <w:rPr>
          <w:rStyle w:val="FootnoteReference"/>
          <w:rFonts w:ascii="Calibri" w:hAnsi="Calibri" w:cs="Calibri"/>
        </w:rPr>
        <w:footnoteReference w:id="25"/>
      </w:r>
    </w:p>
    <w:p w14:paraId="44F6428B" w14:textId="35C7F43F" w:rsidR="00E93C45" w:rsidRPr="002A6E68" w:rsidRDefault="006F7B6B" w:rsidP="009D07C4">
      <w:pPr>
        <w:pStyle w:val="Heading2"/>
        <w:rPr>
          <w:rFonts w:ascii="Calibri" w:hAnsi="Calibri" w:cs="Calibri"/>
          <w:sz w:val="28"/>
          <w:szCs w:val="28"/>
        </w:rPr>
      </w:pPr>
      <w:r w:rsidRPr="002A6E68">
        <w:rPr>
          <w:rFonts w:ascii="Calibri" w:hAnsi="Calibri" w:cs="Calibri"/>
          <w:color w:val="FF0000"/>
          <w:sz w:val="28"/>
          <w:szCs w:val="28"/>
        </w:rPr>
        <w:br w:type="page"/>
      </w:r>
      <w:r w:rsidR="00E93C45" w:rsidRPr="002A6E68">
        <w:rPr>
          <w:rFonts w:ascii="Calibri" w:hAnsi="Calibri" w:cs="Calibri"/>
          <w:sz w:val="28"/>
          <w:szCs w:val="28"/>
        </w:rPr>
        <w:lastRenderedPageBreak/>
        <w:t>Environmental Health and Cancer</w:t>
      </w:r>
    </w:p>
    <w:p w14:paraId="6BACF266" w14:textId="5FA31A96" w:rsidR="00DB5BF8" w:rsidRPr="002A6E68" w:rsidRDefault="00E20942" w:rsidP="00DB5BF8">
      <w:pPr>
        <w:spacing w:after="0" w:line="240" w:lineRule="auto"/>
        <w:rPr>
          <w:rFonts w:ascii="Calibri" w:eastAsia="Times New Roman" w:hAnsi="Calibri" w:cs="Calibri"/>
          <w:color w:val="000000"/>
          <w:kern w:val="0"/>
          <w:sz w:val="20"/>
          <w:szCs w:val="20"/>
          <w14:ligatures w14:val="none"/>
        </w:rPr>
      </w:pPr>
      <w:r w:rsidRPr="002A6E68">
        <w:rPr>
          <w:rFonts w:ascii="Calibri" w:eastAsia="Times New Roman" w:hAnsi="Calibri" w:cs="Calibri"/>
          <w:color w:val="000000"/>
          <w:kern w:val="0"/>
          <w:sz w:val="20"/>
          <w:szCs w:val="20"/>
          <w14:ligatures w14:val="none"/>
        </w:rPr>
        <w:t xml:space="preserve">UIDs: </w:t>
      </w:r>
      <w:r w:rsidR="00DB5BF8" w:rsidRPr="002A6E68">
        <w:rPr>
          <w:rFonts w:ascii="Calibri" w:eastAsia="Times New Roman" w:hAnsi="Calibri" w:cs="Calibri"/>
          <w:color w:val="000000"/>
          <w:kern w:val="0"/>
          <w:sz w:val="20"/>
          <w:szCs w:val="20"/>
          <w14:ligatures w14:val="none"/>
        </w:rPr>
        <w:t xml:space="preserve">273_NCI, </w:t>
      </w:r>
      <w:r w:rsidR="00DB5BF8" w:rsidRPr="002A6E68">
        <w:rPr>
          <w:rFonts w:ascii="Calibri" w:hAnsi="Calibri" w:cs="Calibri"/>
          <w:sz w:val="20"/>
          <w:szCs w:val="20"/>
        </w:rPr>
        <w:t>482_NIEHS</w:t>
      </w:r>
    </w:p>
    <w:p w14:paraId="7B0F2137" w14:textId="77777777" w:rsidR="009D07C4" w:rsidRPr="006B3623" w:rsidRDefault="009D07C4" w:rsidP="00E93C45">
      <w:pPr>
        <w:rPr>
          <w:rFonts w:ascii="Calibri" w:hAnsi="Calibri" w:cs="Calibri"/>
          <w:b/>
          <w:bCs/>
        </w:rPr>
      </w:pPr>
    </w:p>
    <w:p w14:paraId="3FD3CFF7" w14:textId="0D1F0BAA" w:rsidR="00E93C45" w:rsidRPr="006B3623" w:rsidRDefault="00E93C45" w:rsidP="00E93C45">
      <w:pPr>
        <w:rPr>
          <w:rFonts w:ascii="Calibri" w:hAnsi="Calibri" w:cs="Calibri"/>
          <w:b/>
          <w:bCs/>
        </w:rPr>
      </w:pPr>
      <w:r w:rsidRPr="006B3623">
        <w:rPr>
          <w:rFonts w:ascii="Calibri" w:hAnsi="Calibri" w:cs="Calibri"/>
          <w:b/>
          <w:bCs/>
        </w:rPr>
        <w:t>UID 273_NCI</w:t>
      </w:r>
    </w:p>
    <w:p w14:paraId="3BDE100C" w14:textId="77777777" w:rsidR="00E93C45" w:rsidRPr="006B3623" w:rsidRDefault="00E93C45" w:rsidP="00E93C45">
      <w:pPr>
        <w:jc w:val="both"/>
        <w:rPr>
          <w:rFonts w:ascii="Calibri" w:hAnsi="Calibri" w:cs="Calibri"/>
        </w:rPr>
      </w:pPr>
      <w:r w:rsidRPr="006B3623">
        <w:rPr>
          <w:rFonts w:ascii="Calibri" w:hAnsi="Calibri" w:cs="Calibri"/>
        </w:rPr>
        <w:t>Meningioma is the most common brain tumor to emerge decades after cranial radiotherapy for pediatric cancers, yet the magnitude and modifiers of that risk had remained uncertain. A pooled case-control analysis of 1,011 survivors from Europe and North America showed a clear, linear increase in meningioma incidence was higher for children exposed to radiation before the age of 10, and this risk persisted for 30 years.</w:t>
      </w:r>
      <w:r w:rsidRPr="006B3623">
        <w:rPr>
          <w:rStyle w:val="FootnoteReference"/>
          <w:rFonts w:ascii="Calibri" w:hAnsi="Calibri" w:cs="Calibri"/>
        </w:rPr>
        <w:footnoteReference w:id="26"/>
      </w:r>
      <w:r w:rsidRPr="006B3623">
        <w:rPr>
          <w:rFonts w:ascii="Calibri" w:hAnsi="Calibri" w:cs="Calibri"/>
        </w:rPr>
        <w:t xml:space="preserve"> The study also implicated high-dose intravenous methotrexate—independent of radiation—as an additional risk factor, suggesting a synergistic pathway of neuro-inflammation or impaired DNA repair. These results strengthen the rationale for today’s treatment protocols that trim whole-brain doses and favor conformal or proton techniques that spare healthy tissue. Just as importantly, they provide quantitative inputs for survivorship guidelines, indicating the need for lifelong neurologic surveillance, especially in those treated at younger ages or exposed to methotrexate.</w:t>
      </w:r>
    </w:p>
    <w:p w14:paraId="511A639E" w14:textId="48FA11D3" w:rsidR="00E93C45" w:rsidRPr="006B3623" w:rsidRDefault="00E1235F" w:rsidP="00E93C45">
      <w:pPr>
        <w:jc w:val="both"/>
        <w:rPr>
          <w:rFonts w:ascii="Calibri" w:hAnsi="Calibri" w:cs="Calibri"/>
          <w:b/>
          <w:bCs/>
        </w:rPr>
      </w:pPr>
      <w:r w:rsidRPr="006B3623">
        <w:rPr>
          <w:rFonts w:ascii="Calibri" w:hAnsi="Calibri" w:cs="Calibri"/>
          <w:b/>
          <w:bCs/>
        </w:rPr>
        <w:t>UID 482_</w:t>
      </w:r>
      <w:r w:rsidR="00442BF3" w:rsidRPr="006B3623">
        <w:rPr>
          <w:rFonts w:ascii="Calibri" w:hAnsi="Calibri" w:cs="Calibri"/>
          <w:b/>
          <w:bCs/>
        </w:rPr>
        <w:t>NIEHS</w:t>
      </w:r>
    </w:p>
    <w:p w14:paraId="79B5892B" w14:textId="423BAD61" w:rsidR="00182A2D" w:rsidRPr="006B3623" w:rsidRDefault="00182A2D" w:rsidP="00182A2D">
      <w:pPr>
        <w:jc w:val="both"/>
        <w:rPr>
          <w:rFonts w:ascii="Calibri" w:hAnsi="Calibri" w:cs="Calibri"/>
        </w:rPr>
      </w:pPr>
      <w:r w:rsidRPr="006B3623">
        <w:rPr>
          <w:rFonts w:ascii="Calibri" w:hAnsi="Calibri" w:cs="Calibri"/>
        </w:rPr>
        <w:t>Using a battery of complementary in vitro assays—including bacterial reverse-mutation, a human TK6 micronucleus test, and a multiplexed DNA-damage panel—NIEHS scientists compared glyphosate, its primary metabolite aminomethylphosphonic acid (AMPA), nine high-use agricultural and four residential glyphosate-based formulations (GBFs), and several co-applied herbicides. The active ingredient glyphosate and AMPA exhibited no mutagenic or clastogenic activity, in line with prior NTP in-vivo observations, whereas multiple GBFs triggered DNA-damage signatures that pointed to surfactants or other formulation components as the toxic agents. These findings underscore the importance of evaluating complete pesticide formulations rather than isolated actives and illustrate how high-throughput new-approach methodologies (NAMs) can streamline hazard identification. Collectively, the work provides critical context for ongoing regulatory deliberations around glyphosate safety and supports a formulation-focused approach to pesticide risk assessment.</w:t>
      </w:r>
      <w:r w:rsidR="00D71B9D" w:rsidRPr="006B3623">
        <w:rPr>
          <w:rStyle w:val="FootnoteReference"/>
          <w:rFonts w:ascii="Calibri" w:hAnsi="Calibri" w:cs="Calibri"/>
        </w:rPr>
        <w:footnoteReference w:id="27"/>
      </w:r>
    </w:p>
    <w:p w14:paraId="2DFBA472" w14:textId="77777777" w:rsidR="00442BF3" w:rsidRPr="002A6E68" w:rsidRDefault="00442BF3" w:rsidP="00E93C45">
      <w:pPr>
        <w:jc w:val="both"/>
        <w:rPr>
          <w:rFonts w:ascii="Calibri" w:hAnsi="Calibri" w:cs="Calibri"/>
          <w:b/>
          <w:bCs/>
          <w:sz w:val="20"/>
          <w:szCs w:val="20"/>
        </w:rPr>
      </w:pPr>
    </w:p>
    <w:p w14:paraId="76886F4F" w14:textId="77777777" w:rsidR="00E93C45" w:rsidRPr="002A6E68" w:rsidRDefault="00E93C45" w:rsidP="00E93C45">
      <w:pPr>
        <w:jc w:val="both"/>
        <w:rPr>
          <w:rFonts w:ascii="Calibri" w:hAnsi="Calibri" w:cs="Calibri"/>
          <w:sz w:val="20"/>
          <w:szCs w:val="20"/>
        </w:rPr>
      </w:pPr>
    </w:p>
    <w:p w14:paraId="6B232D1F" w14:textId="77777777" w:rsidR="00E93C45" w:rsidRPr="002A6E68" w:rsidRDefault="00E93C45" w:rsidP="00E93C45">
      <w:pPr>
        <w:rPr>
          <w:rFonts w:ascii="Calibri" w:hAnsi="Calibri" w:cs="Calibri"/>
          <w:sz w:val="20"/>
          <w:szCs w:val="20"/>
        </w:rPr>
      </w:pPr>
      <w:r w:rsidRPr="002A6E68">
        <w:rPr>
          <w:rFonts w:ascii="Calibri" w:hAnsi="Calibri" w:cs="Calibri"/>
          <w:sz w:val="20"/>
          <w:szCs w:val="20"/>
        </w:rPr>
        <w:br w:type="page"/>
      </w:r>
    </w:p>
    <w:p w14:paraId="05F53145" w14:textId="77777777" w:rsidR="00E93C45" w:rsidRPr="00AA7DA9" w:rsidRDefault="00E93C45" w:rsidP="00AA7DA9">
      <w:pPr>
        <w:pStyle w:val="Heading2"/>
      </w:pPr>
      <w:r w:rsidRPr="00AA7DA9">
        <w:lastRenderedPageBreak/>
        <w:t>Epidemiology &amp; Surveillance</w:t>
      </w:r>
    </w:p>
    <w:p w14:paraId="258A09EB" w14:textId="6D5C0CDE" w:rsidR="00466AE7" w:rsidRPr="002A6E68" w:rsidRDefault="00EB5417" w:rsidP="00E93C45">
      <w:pPr>
        <w:rPr>
          <w:rFonts w:ascii="Calibri" w:hAnsi="Calibri" w:cs="Calibri"/>
          <w:b/>
          <w:bCs/>
          <w:sz w:val="20"/>
          <w:szCs w:val="20"/>
        </w:rPr>
      </w:pPr>
      <w:r w:rsidRPr="002A6E68">
        <w:rPr>
          <w:rFonts w:ascii="Calibri" w:hAnsi="Calibri" w:cs="Calibri"/>
          <w:sz w:val="20"/>
          <w:szCs w:val="20"/>
        </w:rPr>
        <w:t xml:space="preserve">UID: </w:t>
      </w:r>
      <w:r w:rsidR="00882519" w:rsidRPr="002A6E68">
        <w:rPr>
          <w:rFonts w:ascii="Calibri" w:hAnsi="Calibri" w:cs="Calibri"/>
          <w:sz w:val="20"/>
          <w:szCs w:val="20"/>
        </w:rPr>
        <w:t>249_NCI, 254_NCI, 255_NCI, 260_NCI</w:t>
      </w:r>
    </w:p>
    <w:p w14:paraId="2762FFF0" w14:textId="77777777" w:rsidR="00E93C45" w:rsidRPr="002A6E68" w:rsidRDefault="00E93C45" w:rsidP="00E93C45">
      <w:pPr>
        <w:rPr>
          <w:rFonts w:ascii="Calibri" w:hAnsi="Calibri" w:cs="Calibri"/>
          <w:sz w:val="20"/>
          <w:szCs w:val="20"/>
        </w:rPr>
      </w:pPr>
    </w:p>
    <w:p w14:paraId="37E59887" w14:textId="77777777" w:rsidR="0048326E" w:rsidRPr="002A6E68" w:rsidRDefault="0048326E" w:rsidP="0048326E">
      <w:pPr>
        <w:rPr>
          <w:rFonts w:ascii="Calibri" w:hAnsi="Calibri" w:cs="Calibri"/>
          <w:b/>
          <w:bCs/>
          <w:sz w:val="20"/>
          <w:szCs w:val="20"/>
        </w:rPr>
      </w:pPr>
      <w:r w:rsidRPr="002A6E68">
        <w:rPr>
          <w:rFonts w:ascii="Calibri" w:hAnsi="Calibri" w:cs="Calibri"/>
          <w:b/>
          <w:bCs/>
          <w:sz w:val="20"/>
          <w:szCs w:val="20"/>
        </w:rPr>
        <w:t>UID 249_NCI</w:t>
      </w:r>
    </w:p>
    <w:p w14:paraId="7E194BE8" w14:textId="7B786676" w:rsidR="0048326E" w:rsidRPr="006B3623" w:rsidRDefault="0048326E" w:rsidP="00833EDA">
      <w:pPr>
        <w:jc w:val="both"/>
        <w:rPr>
          <w:rFonts w:ascii="Calibri" w:hAnsi="Calibri" w:cs="Calibri"/>
        </w:rPr>
      </w:pPr>
      <w:r w:rsidRPr="006B3623">
        <w:rPr>
          <w:rFonts w:ascii="Calibri" w:hAnsi="Calibri" w:cs="Calibri"/>
        </w:rPr>
        <w:t>Published annually, the NCI Cancer Trends Progress Report (CTPR) aggregates the newest national surveillance data to show where the United States is advancing—or falling behind—across the cancer control continuum.</w:t>
      </w:r>
      <w:r w:rsidR="00A00818" w:rsidRPr="006B3623">
        <w:rPr>
          <w:rStyle w:val="FootnoteReference"/>
          <w:rFonts w:ascii="Calibri" w:hAnsi="Calibri" w:cs="Calibri"/>
        </w:rPr>
        <w:footnoteReference w:id="28"/>
      </w:r>
      <w:r w:rsidRPr="006B3623">
        <w:rPr>
          <w:rFonts w:ascii="Calibri" w:hAnsi="Calibri" w:cs="Calibri"/>
        </w:rPr>
        <w:t xml:space="preserve"> The interactive site blends CDC and SEER statistics on incidence, mortality, survival, prevalence, risk factors, screening uptake, treatment patterns, and economic burden, giving researchers and policymakers a single, authoritative dashboard for monitoring Cancer Moonshot goals. Recent updates expanded content on sleep, melanoma therapies, and cost trajectories for bladder and kidney cancers, illustrating CTPR’s responsiveness to emerging public-health questions. By highlighting sustained gains (e.g., pediatric leukemia survival) alongside stubborn gaps (e.g., HPV vaccination), the report guides evidence-based priority setting and resource allocation to accelerate progress toward equity in cancer outcomes.</w:t>
      </w:r>
    </w:p>
    <w:p w14:paraId="48257F7E" w14:textId="77777777" w:rsidR="00E93C45" w:rsidRPr="006B3623" w:rsidRDefault="00E93C45" w:rsidP="00E93C45">
      <w:pPr>
        <w:rPr>
          <w:rFonts w:ascii="Calibri" w:hAnsi="Calibri" w:cs="Calibri"/>
        </w:rPr>
      </w:pPr>
    </w:p>
    <w:p w14:paraId="6198E0DC" w14:textId="77777777" w:rsidR="00E93C45" w:rsidRPr="006B3623" w:rsidRDefault="00E93C45" w:rsidP="00E93C45">
      <w:pPr>
        <w:rPr>
          <w:rFonts w:ascii="Calibri" w:hAnsi="Calibri" w:cs="Calibri"/>
          <w:b/>
          <w:bCs/>
        </w:rPr>
      </w:pPr>
      <w:r w:rsidRPr="006B3623">
        <w:rPr>
          <w:rFonts w:ascii="Calibri" w:hAnsi="Calibri" w:cs="Calibri"/>
          <w:b/>
          <w:bCs/>
        </w:rPr>
        <w:t>UID 254_NCI</w:t>
      </w:r>
    </w:p>
    <w:p w14:paraId="40F73AD4" w14:textId="77777777" w:rsidR="00E93C45" w:rsidRPr="006B3623" w:rsidRDefault="00E93C45" w:rsidP="00876927">
      <w:pPr>
        <w:jc w:val="both"/>
        <w:rPr>
          <w:rFonts w:ascii="Calibri" w:hAnsi="Calibri" w:cs="Calibri"/>
          <w:i/>
          <w:iCs/>
        </w:rPr>
      </w:pPr>
      <w:r w:rsidRPr="006B3623">
        <w:rPr>
          <w:rFonts w:ascii="Calibri" w:hAnsi="Calibri" w:cs="Calibri"/>
        </w:rPr>
        <w:t>Serum metabolites can leave a molecular fingerprint of the hidden toll that cancer and its treatments take on survivors. In a large, NCI-funded metabolomics analysis of more than 1,400 breast-cancer survivors, investigators uncovered ancestry-specific patterns that point to heightened long-term risk among African-American women. Compared with survivors of other ancestries and with women in the general population, African-American survivors exhibited elevated intermediates in two inflammation-related pathways (arachidonic-acid and kynurenine metabolism) and depressed sphingomyelins within a lipid-metabolism pathway—three biochemical routes long tied to cardiometabolic disease and chronic inflammation. The work underscores the importance of tailoring follow-up care to genetic ancestry and molecular risk rather than relying solely on clinical history.</w:t>
      </w:r>
      <w:r w:rsidRPr="006B3623">
        <w:rPr>
          <w:rStyle w:val="FootnoteReference"/>
          <w:rFonts w:ascii="Calibri" w:hAnsi="Calibri" w:cs="Calibri"/>
        </w:rPr>
        <w:footnoteReference w:id="29"/>
      </w:r>
      <w:r w:rsidRPr="006B3623">
        <w:rPr>
          <w:rFonts w:ascii="Calibri" w:hAnsi="Calibri" w:cs="Calibri"/>
          <w:i/>
          <w:iCs/>
        </w:rPr>
        <w:t xml:space="preserve"> </w:t>
      </w:r>
    </w:p>
    <w:p w14:paraId="090B0A25" w14:textId="77777777" w:rsidR="00D5769D" w:rsidRPr="006B3623" w:rsidRDefault="00D5769D" w:rsidP="00D5769D">
      <w:pPr>
        <w:jc w:val="both"/>
        <w:rPr>
          <w:rFonts w:ascii="Calibri" w:hAnsi="Calibri" w:cs="Calibri"/>
          <w:b/>
          <w:bCs/>
        </w:rPr>
      </w:pPr>
      <w:r w:rsidRPr="006B3623">
        <w:rPr>
          <w:rFonts w:ascii="Calibri" w:hAnsi="Calibri" w:cs="Calibri"/>
          <w:b/>
          <w:bCs/>
        </w:rPr>
        <w:t>UID 255_NCI</w:t>
      </w:r>
    </w:p>
    <w:p w14:paraId="0790D109" w14:textId="4E8F9B9C" w:rsidR="00D5769D" w:rsidRPr="006B3623" w:rsidRDefault="00D5769D" w:rsidP="00D5769D">
      <w:pPr>
        <w:jc w:val="both"/>
        <w:rPr>
          <w:rFonts w:ascii="Calibri" w:hAnsi="Calibri" w:cs="Calibri"/>
        </w:rPr>
      </w:pPr>
      <w:r w:rsidRPr="006B3623">
        <w:rPr>
          <w:rFonts w:ascii="Calibri" w:hAnsi="Calibri" w:cs="Calibri"/>
        </w:rPr>
        <w:t>Through decision-analytic modeling, NCI investigators projected the gains from raising U.S. Preventive Services Task Force-recommended lung, colorectal, breast, and cervical cancer screening rates by just 10 percentage points.</w:t>
      </w:r>
      <w:r w:rsidRPr="006B3623">
        <w:rPr>
          <w:rStyle w:val="FootnoteReference"/>
          <w:rFonts w:ascii="Calibri" w:hAnsi="Calibri" w:cs="Calibri"/>
        </w:rPr>
        <w:footnoteReference w:id="30"/>
      </w:r>
      <w:r w:rsidRPr="006B3623">
        <w:rPr>
          <w:rFonts w:ascii="Calibri" w:hAnsi="Calibri" w:cs="Calibri"/>
        </w:rPr>
        <w:t xml:space="preserve"> Using Cancer Intervention and Surveillance Modeling Network simulations, they estimated this modest bump would avert 226 lung, 283 colorectal, 82 breast, and 81 cervical cancer deaths per 100</w:t>
      </w:r>
      <w:r w:rsidR="00F77527" w:rsidRPr="006B3623">
        <w:rPr>
          <w:rFonts w:ascii="Calibri" w:hAnsi="Calibri" w:cs="Calibri"/>
        </w:rPr>
        <w:t>,</w:t>
      </w:r>
      <w:r w:rsidRPr="006B3623">
        <w:rPr>
          <w:rFonts w:ascii="Calibri" w:hAnsi="Calibri" w:cs="Calibri"/>
        </w:rPr>
        <w:t>000 eligible individuals—more than 15</w:t>
      </w:r>
      <w:r w:rsidR="00F77527" w:rsidRPr="006B3623">
        <w:rPr>
          <w:rFonts w:ascii="Calibri" w:hAnsi="Calibri" w:cs="Calibri"/>
        </w:rPr>
        <w:t>,</w:t>
      </w:r>
      <w:r w:rsidRPr="006B3623">
        <w:rPr>
          <w:rFonts w:ascii="Calibri" w:hAnsi="Calibri" w:cs="Calibri"/>
        </w:rPr>
        <w:t>000 lives among adults screened in 2021—and quantified attendant harms such as 100</w:t>
      </w:r>
      <w:r w:rsidR="00F77527" w:rsidRPr="006B3623">
        <w:rPr>
          <w:rFonts w:ascii="Calibri" w:hAnsi="Calibri" w:cs="Calibri"/>
        </w:rPr>
        <w:t>,</w:t>
      </w:r>
      <w:r w:rsidRPr="006B3623">
        <w:rPr>
          <w:rFonts w:ascii="Calibri" w:hAnsi="Calibri" w:cs="Calibri"/>
        </w:rPr>
        <w:t>000 false-positive CT scans, 6</w:t>
      </w:r>
      <w:r w:rsidR="00F77527" w:rsidRPr="006B3623">
        <w:rPr>
          <w:rFonts w:ascii="Calibri" w:hAnsi="Calibri" w:cs="Calibri"/>
        </w:rPr>
        <w:t>,</w:t>
      </w:r>
      <w:r w:rsidRPr="006B3623">
        <w:rPr>
          <w:rFonts w:ascii="Calibri" w:hAnsi="Calibri" w:cs="Calibri"/>
        </w:rPr>
        <w:t>000 colonoscopy complications, 300</w:t>
      </w:r>
      <w:r w:rsidR="00F77527" w:rsidRPr="006B3623">
        <w:rPr>
          <w:rFonts w:ascii="Calibri" w:hAnsi="Calibri" w:cs="Calibri"/>
        </w:rPr>
        <w:t>,</w:t>
      </w:r>
      <w:r w:rsidRPr="006B3623">
        <w:rPr>
          <w:rFonts w:ascii="Calibri" w:hAnsi="Calibri" w:cs="Calibri"/>
        </w:rPr>
        <w:t>000 mammography call-backs, and 348</w:t>
      </w:r>
      <w:r w:rsidR="00F77527" w:rsidRPr="006B3623">
        <w:rPr>
          <w:rFonts w:ascii="Calibri" w:hAnsi="Calibri" w:cs="Calibri"/>
        </w:rPr>
        <w:t>,</w:t>
      </w:r>
      <w:r w:rsidRPr="006B3623">
        <w:rPr>
          <w:rFonts w:ascii="Calibri" w:hAnsi="Calibri" w:cs="Calibri"/>
        </w:rPr>
        <w:t xml:space="preserve">000 excess colposcopies. These balanced projections give policymakers concrete trade-offs as they strive to meet the Cancer Moonshot goal of halving cancer mortality. An NCI </w:t>
      </w:r>
      <w:r w:rsidRPr="006B3623">
        <w:rPr>
          <w:rFonts w:ascii="Calibri" w:hAnsi="Calibri" w:cs="Calibri"/>
          <w:i/>
          <w:iCs/>
        </w:rPr>
        <w:lastRenderedPageBreak/>
        <w:t>Cancer Currents</w:t>
      </w:r>
      <w:r w:rsidRPr="006B3623">
        <w:rPr>
          <w:rFonts w:ascii="Calibri" w:hAnsi="Calibri" w:cs="Calibri"/>
        </w:rPr>
        <w:t xml:space="preserve"> blog post translates the findings for the public and underscores how incremental gains in screening participation could accelerate progress.</w:t>
      </w:r>
      <w:r w:rsidRPr="006B3623">
        <w:rPr>
          <w:rStyle w:val="FootnoteReference"/>
          <w:rFonts w:ascii="Calibri" w:hAnsi="Calibri" w:cs="Calibri"/>
        </w:rPr>
        <w:footnoteReference w:id="31"/>
      </w:r>
    </w:p>
    <w:p w14:paraId="78C3C289" w14:textId="77777777" w:rsidR="00D5769D" w:rsidRPr="006B3623" w:rsidRDefault="00D5769D" w:rsidP="00E93C45">
      <w:pPr>
        <w:rPr>
          <w:rFonts w:ascii="Calibri" w:hAnsi="Calibri" w:cs="Calibri"/>
          <w:b/>
          <w:bCs/>
        </w:rPr>
      </w:pPr>
    </w:p>
    <w:p w14:paraId="6798A7DC" w14:textId="16F965D1" w:rsidR="00E93C45" w:rsidRPr="006B3623" w:rsidRDefault="00E93C45" w:rsidP="00E93C45">
      <w:pPr>
        <w:rPr>
          <w:rFonts w:ascii="Calibri" w:hAnsi="Calibri" w:cs="Calibri"/>
          <w:b/>
          <w:bCs/>
        </w:rPr>
      </w:pPr>
      <w:r w:rsidRPr="006B3623">
        <w:rPr>
          <w:rFonts w:ascii="Calibri" w:hAnsi="Calibri" w:cs="Calibri"/>
          <w:b/>
          <w:bCs/>
        </w:rPr>
        <w:t xml:space="preserve">UID 260_NCI </w:t>
      </w:r>
    </w:p>
    <w:p w14:paraId="4B90C452" w14:textId="58431986" w:rsidR="00E93C45" w:rsidRPr="006B3623" w:rsidRDefault="00E93C45" w:rsidP="00C67132">
      <w:pPr>
        <w:jc w:val="both"/>
        <w:rPr>
          <w:rFonts w:ascii="Calibri" w:hAnsi="Calibri" w:cs="Calibri"/>
        </w:rPr>
      </w:pPr>
      <w:r w:rsidRPr="006B3623">
        <w:rPr>
          <w:rFonts w:ascii="Calibri" w:hAnsi="Calibri" w:cs="Calibri"/>
        </w:rPr>
        <w:t xml:space="preserve">Gastric cancer was once overwhelmingly linked to </w:t>
      </w:r>
      <w:r w:rsidRPr="006B3623">
        <w:rPr>
          <w:rFonts w:ascii="Calibri" w:hAnsi="Calibri" w:cs="Calibri"/>
          <w:i/>
          <w:iCs/>
        </w:rPr>
        <w:t>Helicobacter pylori</w:t>
      </w:r>
      <w:r w:rsidRPr="006B3623">
        <w:rPr>
          <w:rFonts w:ascii="Calibri" w:hAnsi="Calibri" w:cs="Calibri"/>
        </w:rPr>
        <w:t xml:space="preserve">, yet incidence has begun climbing among younger U.S. women even as </w:t>
      </w:r>
      <w:r w:rsidRPr="006B3623">
        <w:rPr>
          <w:rFonts w:ascii="Calibri" w:hAnsi="Calibri" w:cs="Calibri"/>
          <w:i/>
          <w:iCs/>
        </w:rPr>
        <w:t>H. pylori</w:t>
      </w:r>
      <w:r w:rsidRPr="006B3623">
        <w:rPr>
          <w:rFonts w:ascii="Calibri" w:hAnsi="Calibri" w:cs="Calibri"/>
        </w:rPr>
        <w:t xml:space="preserve"> prevalence falls. To probe this paradox, NCI investigators nested a case–control study and showed that serum antibodies against gastric parietal cells or intrinsic factor—hallmarks of autoimmune gastritis—more than doubled the risk of intestinal-type gastric cancer in women who were </w:t>
      </w:r>
      <w:r w:rsidRPr="006B3623">
        <w:rPr>
          <w:rFonts w:ascii="Calibri" w:hAnsi="Calibri" w:cs="Calibri"/>
          <w:i/>
          <w:iCs/>
        </w:rPr>
        <w:t>H. pylori</w:t>
      </w:r>
      <w:r w:rsidRPr="006B3623">
        <w:rPr>
          <w:rFonts w:ascii="Calibri" w:hAnsi="Calibri" w:cs="Calibri"/>
        </w:rPr>
        <w:t>–negative.</w:t>
      </w:r>
      <w:r w:rsidRPr="006B3623">
        <w:rPr>
          <w:rStyle w:val="FootnoteReference"/>
          <w:rFonts w:ascii="Calibri" w:hAnsi="Calibri" w:cs="Calibri"/>
        </w:rPr>
        <w:footnoteReference w:id="32"/>
      </w:r>
      <w:r w:rsidRPr="006B3623">
        <w:rPr>
          <w:rFonts w:ascii="Calibri" w:hAnsi="Calibri" w:cs="Calibri"/>
        </w:rPr>
        <w:t xml:space="preserve"> The findings advance a new etiologic model in which autoimmune inflammation, rather than infection, increasingly seeds malignant transformation in the gastric corpus. Because these antibodies can be detected years before symptoms, incorporating them into population registries and risk-assessment panels could flag high-risk individuals for endoscopic surveillance while sparing others unnecessary procedures. The work also highlights an at-risk demographic—young, </w:t>
      </w:r>
      <w:r w:rsidRPr="006B3623">
        <w:rPr>
          <w:rFonts w:ascii="Calibri" w:hAnsi="Calibri" w:cs="Calibri"/>
          <w:i/>
          <w:iCs/>
        </w:rPr>
        <w:t>H. pylori</w:t>
      </w:r>
      <w:r w:rsidRPr="006B3623">
        <w:rPr>
          <w:rFonts w:ascii="Calibri" w:hAnsi="Calibri" w:cs="Calibri"/>
        </w:rPr>
        <w:t xml:space="preserve">–negative women—that traditional screening guidelines overlook, underscoring the need to adapt prevention strategies to an evolving pathogenic landscape. </w:t>
      </w:r>
    </w:p>
    <w:p w14:paraId="0BC859BB" w14:textId="77777777" w:rsidR="00E93C45" w:rsidRPr="002A6E68" w:rsidRDefault="00E93C45" w:rsidP="00E93C45">
      <w:pPr>
        <w:rPr>
          <w:rFonts w:ascii="Calibri" w:hAnsi="Calibri" w:cs="Calibri"/>
          <w:sz w:val="20"/>
          <w:szCs w:val="20"/>
        </w:rPr>
      </w:pPr>
      <w:r w:rsidRPr="002A6E68">
        <w:rPr>
          <w:rFonts w:ascii="Calibri" w:hAnsi="Calibri" w:cs="Calibri"/>
          <w:sz w:val="20"/>
          <w:szCs w:val="20"/>
        </w:rPr>
        <w:br w:type="page"/>
      </w:r>
    </w:p>
    <w:p w14:paraId="113D94E8" w14:textId="77777777" w:rsidR="00196BC6" w:rsidRPr="002A6E68" w:rsidRDefault="00196BC6" w:rsidP="001354ED">
      <w:pPr>
        <w:pStyle w:val="Heading2"/>
        <w:rPr>
          <w:rFonts w:ascii="Calibri" w:hAnsi="Calibri" w:cs="Calibri"/>
          <w:sz w:val="28"/>
          <w:szCs w:val="28"/>
        </w:rPr>
      </w:pPr>
      <w:r w:rsidRPr="002A6E68">
        <w:rPr>
          <w:rFonts w:ascii="Calibri" w:hAnsi="Calibri" w:cs="Calibri"/>
          <w:sz w:val="28"/>
          <w:szCs w:val="28"/>
        </w:rPr>
        <w:lastRenderedPageBreak/>
        <w:t>Genetics, Cell Biology, and -Omics</w:t>
      </w:r>
    </w:p>
    <w:p w14:paraId="3E17AAF3" w14:textId="413030F5" w:rsidR="00D83D78" w:rsidRPr="002A6E68" w:rsidRDefault="00EB5417" w:rsidP="00196BC6">
      <w:pPr>
        <w:rPr>
          <w:rFonts w:ascii="Calibri" w:hAnsi="Calibri" w:cs="Calibri"/>
          <w:b/>
          <w:bCs/>
          <w:sz w:val="20"/>
          <w:szCs w:val="20"/>
        </w:rPr>
      </w:pPr>
      <w:r w:rsidRPr="002A6E68">
        <w:rPr>
          <w:rFonts w:ascii="Calibri" w:hAnsi="Calibri" w:cs="Calibri"/>
          <w:sz w:val="20"/>
          <w:szCs w:val="20"/>
        </w:rPr>
        <w:t xml:space="preserve">UIDs: </w:t>
      </w:r>
      <w:r w:rsidR="00163D07" w:rsidRPr="002A6E68">
        <w:rPr>
          <w:rFonts w:ascii="Calibri" w:hAnsi="Calibri" w:cs="Calibri"/>
          <w:sz w:val="20"/>
          <w:szCs w:val="20"/>
        </w:rPr>
        <w:t xml:space="preserve">109_NIAMS, </w:t>
      </w:r>
      <w:r w:rsidR="00163D07" w:rsidRPr="002A6E68">
        <w:rPr>
          <w:rFonts w:ascii="Calibri" w:hAnsi="Calibri" w:cs="Calibri"/>
          <w:color w:val="000000" w:themeColor="text1"/>
          <w:sz w:val="20"/>
          <w:szCs w:val="20"/>
        </w:rPr>
        <w:t>211_NCATS</w:t>
      </w:r>
      <w:r w:rsidR="00163D07" w:rsidRPr="002A6E68">
        <w:rPr>
          <w:rFonts w:ascii="Calibri" w:hAnsi="Calibri" w:cs="Calibri"/>
          <w:sz w:val="20"/>
          <w:szCs w:val="20"/>
        </w:rPr>
        <w:t xml:space="preserve">, </w:t>
      </w:r>
      <w:r w:rsidR="00163D07" w:rsidRPr="002A6E68">
        <w:rPr>
          <w:rFonts w:ascii="Calibri" w:hAnsi="Calibri" w:cs="Calibri"/>
          <w:color w:val="000000" w:themeColor="text1"/>
          <w:sz w:val="20"/>
          <w:szCs w:val="20"/>
        </w:rPr>
        <w:t xml:space="preserve">250_NCI, </w:t>
      </w:r>
      <w:r w:rsidR="00163D07" w:rsidRPr="002A6E68">
        <w:rPr>
          <w:rFonts w:ascii="Calibri" w:hAnsi="Calibri" w:cs="Calibri"/>
          <w:sz w:val="20"/>
          <w:szCs w:val="20"/>
        </w:rPr>
        <w:t>253_NCI</w:t>
      </w:r>
      <w:r w:rsidR="003651B6" w:rsidRPr="002A6E68">
        <w:rPr>
          <w:rFonts w:ascii="Calibri" w:hAnsi="Calibri" w:cs="Calibri"/>
          <w:sz w:val="20"/>
          <w:szCs w:val="20"/>
        </w:rPr>
        <w:t xml:space="preserve">, 279_NCI, </w:t>
      </w:r>
      <w:r w:rsidR="004A1383" w:rsidRPr="002A6E68">
        <w:rPr>
          <w:rFonts w:ascii="Calibri" w:hAnsi="Calibri" w:cs="Calibri"/>
          <w:sz w:val="20"/>
          <w:szCs w:val="20"/>
        </w:rPr>
        <w:t>519_NHGRI</w:t>
      </w:r>
    </w:p>
    <w:p w14:paraId="1A74DA89" w14:textId="77777777" w:rsidR="00163D07" w:rsidRPr="002A6E68" w:rsidRDefault="00163D07" w:rsidP="00196BC6">
      <w:pPr>
        <w:rPr>
          <w:rFonts w:ascii="Calibri" w:hAnsi="Calibri" w:cs="Calibri"/>
          <w:b/>
          <w:bCs/>
          <w:sz w:val="20"/>
          <w:szCs w:val="20"/>
        </w:rPr>
      </w:pPr>
    </w:p>
    <w:p w14:paraId="740843A0" w14:textId="2AF2C260" w:rsidR="00196BC6" w:rsidRPr="006B3623" w:rsidRDefault="00171BDF" w:rsidP="00196BC6">
      <w:pPr>
        <w:rPr>
          <w:rFonts w:ascii="Calibri" w:hAnsi="Calibri" w:cs="Calibri"/>
          <w:b/>
          <w:bCs/>
        </w:rPr>
      </w:pPr>
      <w:r w:rsidRPr="006B3623">
        <w:rPr>
          <w:rFonts w:ascii="Calibri" w:hAnsi="Calibri" w:cs="Calibri"/>
          <w:b/>
          <w:bCs/>
        </w:rPr>
        <w:t xml:space="preserve">UID </w:t>
      </w:r>
      <w:r w:rsidR="00196BC6" w:rsidRPr="006B3623">
        <w:rPr>
          <w:rFonts w:ascii="Calibri" w:hAnsi="Calibri" w:cs="Calibri"/>
          <w:b/>
          <w:bCs/>
        </w:rPr>
        <w:t>109_NIAMS</w:t>
      </w:r>
    </w:p>
    <w:p w14:paraId="7C175513" w14:textId="5776372C" w:rsidR="00196BC6" w:rsidRPr="006B3623" w:rsidRDefault="00196BC6" w:rsidP="00196BC6">
      <w:pPr>
        <w:jc w:val="both"/>
        <w:rPr>
          <w:rFonts w:ascii="Calibri" w:hAnsi="Calibri" w:cs="Calibri"/>
        </w:rPr>
      </w:pPr>
      <w:r w:rsidRPr="006B3623">
        <w:rPr>
          <w:rFonts w:ascii="Calibri" w:hAnsi="Calibri" w:cs="Calibri"/>
        </w:rPr>
        <w:t>Recognizing the debilitating impact of cancer-associated muscle wasting (cachexia), NIAMS-supported researchers coordinated mechanistic studies that illuminate targetable pathways in skeletal muscle. One team showed that breast cancer cells release tiny particles (called extracellular vesicles) containing a molecule called miR-122, which travels to muscle and disrupts a protective protein modification. This causes an imbalance in calcium signaling that activates enzymes breaking down muscle tissue</w:t>
      </w:r>
      <w:r w:rsidR="0007430E" w:rsidRPr="006B3623">
        <w:rPr>
          <w:rFonts w:ascii="Calibri" w:hAnsi="Calibri" w:cs="Calibri"/>
        </w:rPr>
        <w:t>.</w:t>
      </w:r>
      <w:r w:rsidRPr="006B3623">
        <w:rPr>
          <w:rStyle w:val="FootnoteReference"/>
          <w:rFonts w:ascii="Calibri" w:hAnsi="Calibri" w:cs="Calibri"/>
        </w:rPr>
        <w:footnoteReference w:id="33"/>
      </w:r>
      <w:r w:rsidRPr="006B3623">
        <w:rPr>
          <w:rFonts w:ascii="Calibri" w:hAnsi="Calibri" w:cs="Calibri"/>
        </w:rPr>
        <w:t xml:space="preserve"> Complementing this, investigators revealed that mitochondrial stress emerges before observable muscle mass loss and finding which supports the idea that mitochondrial damage contributes to the development of cachexia</w:t>
      </w:r>
      <w:r w:rsidR="0007430E" w:rsidRPr="006B3623">
        <w:rPr>
          <w:rFonts w:ascii="Calibri" w:hAnsi="Calibri" w:cs="Calibri"/>
        </w:rPr>
        <w:t>.</w:t>
      </w:r>
      <w:r w:rsidRPr="006B3623">
        <w:rPr>
          <w:rStyle w:val="FootnoteReference"/>
          <w:rFonts w:ascii="Calibri" w:hAnsi="Calibri" w:cs="Calibri"/>
        </w:rPr>
        <w:footnoteReference w:id="34"/>
      </w:r>
      <w:r w:rsidRPr="006B3623">
        <w:rPr>
          <w:rFonts w:ascii="Calibri" w:hAnsi="Calibri" w:cs="Calibri"/>
        </w:rPr>
        <w:t xml:space="preserve"> A third line of work identified a gene called KLF-10, which is activated by TGF-β, plays a role causing muscle loss in pancreatic-cancer models</w:t>
      </w:r>
      <w:r w:rsidR="0007430E" w:rsidRPr="006B3623">
        <w:rPr>
          <w:rFonts w:ascii="Calibri" w:hAnsi="Calibri" w:cs="Calibri"/>
        </w:rPr>
        <w:t>.</w:t>
      </w:r>
      <w:r w:rsidRPr="006B3623">
        <w:rPr>
          <w:rStyle w:val="FootnoteReference"/>
          <w:rFonts w:ascii="Calibri" w:hAnsi="Calibri" w:cs="Calibri"/>
        </w:rPr>
        <w:footnoteReference w:id="35"/>
      </w:r>
      <w:r w:rsidRPr="006B3623">
        <w:rPr>
          <w:rFonts w:ascii="Calibri" w:hAnsi="Calibri" w:cs="Calibri"/>
        </w:rPr>
        <w:t xml:space="preserve"> Collectively, these discoveries chart converging and complementary routes toward interventions that may that predict whether a given muscle might be sensitive or resistant to cachexia and may lead to treatments that would improve muscle health in cancer patients.</w:t>
      </w:r>
    </w:p>
    <w:p w14:paraId="279D0C08" w14:textId="77777777" w:rsidR="003C6CD8" w:rsidRPr="006B3623" w:rsidRDefault="003C6CD8" w:rsidP="003C6CD8">
      <w:pPr>
        <w:rPr>
          <w:rFonts w:ascii="Calibri" w:hAnsi="Calibri" w:cs="Calibri"/>
          <w:b/>
          <w:bCs/>
        </w:rPr>
      </w:pPr>
      <w:r w:rsidRPr="006B3623">
        <w:rPr>
          <w:rFonts w:ascii="Calibri" w:hAnsi="Calibri" w:cs="Calibri"/>
          <w:b/>
          <w:bCs/>
        </w:rPr>
        <w:t>UID 211_NCATS</w:t>
      </w:r>
    </w:p>
    <w:p w14:paraId="4A5A7F43" w14:textId="4139710E" w:rsidR="00171BDF" w:rsidRPr="006B3623" w:rsidRDefault="003C6CD8" w:rsidP="00EA0BA6">
      <w:pPr>
        <w:jc w:val="both"/>
        <w:rPr>
          <w:rFonts w:ascii="Calibri" w:hAnsi="Calibri" w:cs="Calibri"/>
          <w:color w:val="000000" w:themeColor="text1"/>
        </w:rPr>
      </w:pPr>
      <w:r w:rsidRPr="006B3623">
        <w:rPr>
          <w:rFonts w:ascii="Calibri" w:hAnsi="Calibri" w:cs="Calibri"/>
        </w:rPr>
        <w:t>Leveraging a novel NCATS-engineered approach called Segmentation by Exogenous Perfusion (SEEP), investigators mapped how the physical position of individual cells within 3-D ovarian cancer spheroids can strongly influence which genes are active.</w:t>
      </w:r>
      <w:r w:rsidRPr="006B3623">
        <w:rPr>
          <w:rStyle w:val="FootnoteReference"/>
          <w:rFonts w:ascii="Calibri" w:hAnsi="Calibri" w:cs="Calibri"/>
        </w:rPr>
        <w:footnoteReference w:id="36"/>
      </w:r>
      <w:r w:rsidRPr="006B3623">
        <w:rPr>
          <w:rFonts w:ascii="Calibri" w:hAnsi="Calibri" w:cs="Calibri"/>
        </w:rPr>
        <w:t xml:space="preserve"> Cells at or near the spheroid surface exhibited heightened proliferation and immune-evasion signatures, whereas interior cells showed diminished growth cues, revealing a sharp functional gradient sculpted by the tumor microenvironment. By coupling fluorescent dye penetration profiles with single-cell RNA-sequencing, the team produced a high-resolution atlas that can explain why tumors with the same histology behave so differently across patients and offers new angles for spatially targeted therapies. An NIH news release underscores SEEP’s translational potential to decode cancer evolution and refine precision-medicine strategies.</w:t>
      </w:r>
      <w:r w:rsidRPr="006B3623">
        <w:rPr>
          <w:rStyle w:val="FootnoteReference"/>
          <w:rFonts w:ascii="Calibri" w:hAnsi="Calibri" w:cs="Calibri"/>
        </w:rPr>
        <w:footnoteReference w:id="37"/>
      </w:r>
      <w:r w:rsidRPr="006B3623">
        <w:rPr>
          <w:rFonts w:ascii="Calibri" w:hAnsi="Calibri" w:cs="Calibri"/>
        </w:rPr>
        <w:t xml:space="preserve">  </w:t>
      </w:r>
    </w:p>
    <w:p w14:paraId="12283C1E" w14:textId="77777777" w:rsidR="00B53A70" w:rsidRPr="006B3623" w:rsidRDefault="00B53A70" w:rsidP="00B53A70">
      <w:pPr>
        <w:jc w:val="both"/>
        <w:rPr>
          <w:rFonts w:ascii="Calibri" w:hAnsi="Calibri" w:cs="Calibri"/>
          <w:b/>
          <w:bCs/>
        </w:rPr>
      </w:pPr>
      <w:r w:rsidRPr="006B3623">
        <w:rPr>
          <w:rFonts w:ascii="Calibri" w:hAnsi="Calibri" w:cs="Calibri"/>
          <w:b/>
          <w:bCs/>
        </w:rPr>
        <w:t>UID 250_NCI</w:t>
      </w:r>
    </w:p>
    <w:p w14:paraId="2C9705B8" w14:textId="6898AC83" w:rsidR="00B53A70" w:rsidRPr="006B3623" w:rsidRDefault="00B53A70" w:rsidP="00B53A70">
      <w:pPr>
        <w:jc w:val="both"/>
        <w:rPr>
          <w:rFonts w:ascii="Calibri" w:hAnsi="Calibri" w:cs="Calibri"/>
        </w:rPr>
      </w:pPr>
      <w:r w:rsidRPr="006B3623">
        <w:rPr>
          <w:rFonts w:ascii="Calibri" w:hAnsi="Calibri" w:cs="Calibri"/>
        </w:rPr>
        <w:t>Challenging the dogma that a cell’s commitment to divide is a one-way path, NCI researchers showed that cycling human cells can abort mitosis and return to quiescence when growth signals are withdrawn soon after the restriction point.</w:t>
      </w:r>
      <w:r w:rsidR="00612B97" w:rsidRPr="006B3623">
        <w:rPr>
          <w:rStyle w:val="FootnoteReference"/>
          <w:rFonts w:ascii="Calibri" w:hAnsi="Calibri" w:cs="Calibri"/>
        </w:rPr>
        <w:footnoteReference w:id="38"/>
      </w:r>
      <w:r w:rsidRPr="006B3623">
        <w:rPr>
          <w:rFonts w:ascii="Calibri" w:hAnsi="Calibri" w:cs="Calibri"/>
        </w:rPr>
        <w:t xml:space="preserve"> Live-cell imaging and biosensor readouts revealed that loss of CDK4/6 activity in S/G₂ re-establishes a reversible “primed” state, overturning textbook models of irreversible cell-cycle progression. This plasticity suggests new therapeutic windows: drugs that transiently strip mitogenic cues could stall tumor expansion more durably and reduce acquired resistance. Fundamentally, the work </w:t>
      </w:r>
      <w:r w:rsidRPr="006B3623">
        <w:rPr>
          <w:rFonts w:ascii="Calibri" w:hAnsi="Calibri" w:cs="Calibri"/>
        </w:rPr>
        <w:lastRenderedPageBreak/>
        <w:t>recasts cell-cycle control as a dynamic balance of extrinsic cues rather than an internal clock, opening lines of inquiry into how oncogenic mutations co-opt this flexibility to drive unchecked proliferation.</w:t>
      </w:r>
    </w:p>
    <w:p w14:paraId="3D9A8AF1" w14:textId="77777777" w:rsidR="00B53A70" w:rsidRPr="006B3623" w:rsidRDefault="00B53A70" w:rsidP="001F287B">
      <w:pPr>
        <w:jc w:val="both"/>
        <w:rPr>
          <w:rFonts w:ascii="Calibri" w:hAnsi="Calibri" w:cs="Calibri"/>
          <w:b/>
          <w:bCs/>
          <w:color w:val="000000" w:themeColor="text1"/>
        </w:rPr>
      </w:pPr>
    </w:p>
    <w:p w14:paraId="3ABD1819" w14:textId="77777777" w:rsidR="008E5A47" w:rsidRPr="006B3623" w:rsidRDefault="001F287B" w:rsidP="001F287B">
      <w:pPr>
        <w:jc w:val="both"/>
        <w:rPr>
          <w:rFonts w:ascii="Calibri" w:hAnsi="Calibri" w:cs="Calibri"/>
          <w:b/>
          <w:bCs/>
          <w:color w:val="000000" w:themeColor="text1"/>
        </w:rPr>
      </w:pPr>
      <w:r w:rsidRPr="006B3623">
        <w:rPr>
          <w:rFonts w:ascii="Calibri" w:hAnsi="Calibri" w:cs="Calibri"/>
          <w:b/>
          <w:bCs/>
          <w:color w:val="000000" w:themeColor="text1"/>
        </w:rPr>
        <w:t>UID 253_NCI</w:t>
      </w:r>
    </w:p>
    <w:p w14:paraId="0421F894" w14:textId="0C4AD758" w:rsidR="002A37F2" w:rsidRPr="006B3623" w:rsidRDefault="002A37F2" w:rsidP="001F287B">
      <w:pPr>
        <w:jc w:val="both"/>
        <w:rPr>
          <w:rFonts w:ascii="Calibri" w:hAnsi="Calibri" w:cs="Calibri"/>
          <w:color w:val="000000" w:themeColor="text1"/>
        </w:rPr>
      </w:pPr>
      <w:r w:rsidRPr="006B3623">
        <w:rPr>
          <w:rFonts w:ascii="Calibri" w:hAnsi="Calibri" w:cs="Calibri"/>
          <w:color w:val="000000" w:themeColor="text1"/>
        </w:rPr>
        <w:t xml:space="preserve">Building on the persistent challenge that KRAS-mutant tumors rapidly acquire resistance to targeted inhibitors, NCI investigators mapped how extracellular signal-regulated kinases 1/2 (ERK1/2) sustain these cancers. By integrating large-scale phosphoproteomics in KRAS-mutant pancreatic cancer cells, the team catalogued 4,666 ERK-dependent phosphorylation sites across 2,123 proteins, </w:t>
      </w:r>
      <w:r w:rsidR="00CB4DA8" w:rsidRPr="006B3623">
        <w:rPr>
          <w:rFonts w:ascii="Calibri" w:hAnsi="Calibri" w:cs="Calibri"/>
          <w:color w:val="000000" w:themeColor="text1"/>
        </w:rPr>
        <w:t>establishing the most comprehensive molecular portrait and mechanisms by which ERK drives KRAS-dependent pancreatic cancer growth.</w:t>
      </w:r>
      <w:r w:rsidR="00CB4DA8" w:rsidRPr="006B3623">
        <w:rPr>
          <w:rStyle w:val="FootnoteReference"/>
          <w:rFonts w:ascii="Calibri" w:hAnsi="Calibri" w:cs="Calibri"/>
          <w:color w:val="000000" w:themeColor="text1"/>
        </w:rPr>
        <w:footnoteReference w:id="39"/>
      </w:r>
      <w:r w:rsidRPr="006B3623">
        <w:rPr>
          <w:rFonts w:ascii="Calibri" w:hAnsi="Calibri" w:cs="Calibri"/>
          <w:color w:val="000000" w:themeColor="text1"/>
        </w:rPr>
        <w:t xml:space="preserve"> </w:t>
      </w:r>
      <w:r w:rsidR="001328E3" w:rsidRPr="006B3623">
        <w:rPr>
          <w:rFonts w:ascii="Calibri" w:hAnsi="Calibri" w:cs="Calibri"/>
          <w:color w:val="000000" w:themeColor="text1"/>
        </w:rPr>
        <w:t>This work provides a more complete portrait of how ERK proteins support tumor growth and can be used to help advance therapies that are effective for long-term treatment of KRAS-mutant cancers.</w:t>
      </w:r>
    </w:p>
    <w:p w14:paraId="5969F318" w14:textId="3FE069A7" w:rsidR="00A74650" w:rsidRPr="006B3623" w:rsidRDefault="00862407" w:rsidP="00862407">
      <w:pPr>
        <w:jc w:val="both"/>
        <w:rPr>
          <w:rFonts w:ascii="Calibri" w:hAnsi="Calibri" w:cs="Calibri"/>
          <w:b/>
          <w:bCs/>
        </w:rPr>
      </w:pPr>
      <w:r w:rsidRPr="006B3623">
        <w:rPr>
          <w:rFonts w:ascii="Calibri" w:hAnsi="Calibri" w:cs="Calibri"/>
          <w:b/>
          <w:bCs/>
        </w:rPr>
        <w:t>UID 268_NCI</w:t>
      </w:r>
    </w:p>
    <w:p w14:paraId="5D1977B4" w14:textId="509FD43B" w:rsidR="00862407" w:rsidRPr="006B3623" w:rsidRDefault="00862407" w:rsidP="00862407">
      <w:pPr>
        <w:jc w:val="both"/>
        <w:rPr>
          <w:rFonts w:ascii="Calibri" w:hAnsi="Calibri" w:cs="Calibri"/>
        </w:rPr>
      </w:pPr>
      <w:r w:rsidRPr="006B3623">
        <w:rPr>
          <w:rFonts w:ascii="Calibri" w:hAnsi="Calibri" w:cs="Calibri"/>
        </w:rPr>
        <w:t>Too often, a person’s cancer initially responds to standard treatments, but then the cancer returns, necessitating the critical need for alternative treatment options that are tolerable to the patient and effective against the cancer. Building on precision-oncology insights, NCI investigators launched the VIPOR trial to test a four-drug, mechanism-based cocktail—venetoclax, ibrutinib, prednisone, obinutuzumab, and lenalidomide—in adults with relapsed or refractory aggressive B-cell lymphoma. The phase II study reported an overall response rate of 89 percent and complete remissions in 38 percent of participants, markedly surpassing historical controls. Translational correlative work suggests that simultaneous disruption of B-cell receptor signaling, apoptosis regulation, and micro-environmental crosstalk underpins these outcomes.</w:t>
      </w:r>
      <w:r w:rsidRPr="006B3623">
        <w:rPr>
          <w:rStyle w:val="FootnoteReference"/>
          <w:rFonts w:ascii="Calibri" w:hAnsi="Calibri" w:cs="Calibri"/>
        </w:rPr>
        <w:footnoteReference w:id="40"/>
      </w:r>
      <w:r w:rsidRPr="006B3623">
        <w:rPr>
          <w:rFonts w:ascii="Calibri" w:hAnsi="Calibri" w:cs="Calibri"/>
          <w:vertAlign w:val="superscript"/>
        </w:rPr>
        <w:t>,</w:t>
      </w:r>
      <w:r w:rsidRPr="006B3623">
        <w:rPr>
          <w:rStyle w:val="FootnoteReference"/>
          <w:rFonts w:ascii="Calibri" w:hAnsi="Calibri" w:cs="Calibri"/>
        </w:rPr>
        <w:footnoteReference w:id="41"/>
      </w:r>
    </w:p>
    <w:p w14:paraId="1AD389E4" w14:textId="77777777" w:rsidR="002C3596" w:rsidRPr="006B3623" w:rsidRDefault="002C3596" w:rsidP="0046236C">
      <w:pPr>
        <w:rPr>
          <w:rFonts w:ascii="Calibri" w:hAnsi="Calibri" w:cs="Calibri"/>
          <w:b/>
          <w:bCs/>
        </w:rPr>
      </w:pPr>
    </w:p>
    <w:p w14:paraId="3AC5CF70" w14:textId="3C0B5BF5" w:rsidR="0046236C" w:rsidRPr="006B3623" w:rsidRDefault="0046236C" w:rsidP="0046236C">
      <w:pPr>
        <w:rPr>
          <w:rFonts w:ascii="Calibri" w:hAnsi="Calibri" w:cs="Calibri"/>
          <w:b/>
          <w:bCs/>
        </w:rPr>
      </w:pPr>
      <w:r w:rsidRPr="006B3623">
        <w:rPr>
          <w:rFonts w:ascii="Calibri" w:hAnsi="Calibri" w:cs="Calibri"/>
          <w:b/>
          <w:bCs/>
        </w:rPr>
        <w:t>UID 275_NCI</w:t>
      </w:r>
    </w:p>
    <w:p w14:paraId="51B3DF91" w14:textId="77777777" w:rsidR="0046236C" w:rsidRPr="006B3623" w:rsidRDefault="0046236C" w:rsidP="0046236C">
      <w:pPr>
        <w:jc w:val="both"/>
        <w:rPr>
          <w:rFonts w:ascii="Calibri" w:hAnsi="Calibri" w:cs="Calibri"/>
        </w:rPr>
      </w:pPr>
      <w:r w:rsidRPr="006B3623">
        <w:rPr>
          <w:rFonts w:ascii="Calibri" w:hAnsi="Calibri" w:cs="Calibri"/>
        </w:rPr>
        <w:t>Through the NCI RAS Initiative, two innovative first-in-class compounds targeting RAS-driven cancers have entered clinical trials after receiving FDA Investigational New Drug (IND) approval. The first drug BBIO-10203 began trials in October 2024 and blocks the interaction between RAS -- a gene commonly mutated in cancer-- a protein involved in cell growth and survival. The second drug, BBIO-10203 targets both active and inactive forms of the KRAS G12C mutation a common mutation found in several types of cancer; it received Fast Track Designation from the FDA in January 2025. Both drugs were developed using a structure-guided approach and are designed to work across multiple KRAS mutations, offering a foundation for future combination treatments. Adaptive trial designs will enable the addition of drugs like MEK or immune checkpoint inhibitors as resistance mechanisms emerge.</w:t>
      </w:r>
      <w:r w:rsidRPr="006B3623">
        <w:rPr>
          <w:rStyle w:val="FootnoteReference"/>
          <w:rFonts w:ascii="Calibri" w:hAnsi="Calibri" w:cs="Calibri"/>
        </w:rPr>
        <w:footnoteReference w:id="42"/>
      </w:r>
    </w:p>
    <w:p w14:paraId="774FF326" w14:textId="77777777" w:rsidR="00346A83" w:rsidRPr="006B3623" w:rsidRDefault="00346A83" w:rsidP="00820929">
      <w:pPr>
        <w:jc w:val="both"/>
        <w:rPr>
          <w:rFonts w:ascii="Calibri" w:hAnsi="Calibri" w:cs="Calibri"/>
          <w:b/>
          <w:bCs/>
        </w:rPr>
      </w:pPr>
    </w:p>
    <w:p w14:paraId="2D4ED357" w14:textId="77777777" w:rsidR="00406061" w:rsidRPr="006B3623" w:rsidRDefault="00406061" w:rsidP="00820929">
      <w:pPr>
        <w:jc w:val="both"/>
        <w:rPr>
          <w:rFonts w:ascii="Calibri" w:hAnsi="Calibri" w:cs="Calibri"/>
          <w:b/>
          <w:bCs/>
        </w:rPr>
      </w:pPr>
      <w:r w:rsidRPr="006B3623">
        <w:rPr>
          <w:rFonts w:ascii="Calibri" w:hAnsi="Calibri" w:cs="Calibri"/>
          <w:b/>
          <w:bCs/>
        </w:rPr>
        <w:lastRenderedPageBreak/>
        <w:t xml:space="preserve">UID </w:t>
      </w:r>
      <w:r w:rsidR="00820929" w:rsidRPr="006B3623">
        <w:rPr>
          <w:rFonts w:ascii="Calibri" w:hAnsi="Calibri" w:cs="Calibri"/>
          <w:b/>
          <w:bCs/>
        </w:rPr>
        <w:t>279_NCI</w:t>
      </w:r>
    </w:p>
    <w:p w14:paraId="21650924" w14:textId="497875DF" w:rsidR="00820929" w:rsidRPr="006B3623" w:rsidRDefault="00820929" w:rsidP="00820929">
      <w:pPr>
        <w:jc w:val="both"/>
        <w:rPr>
          <w:rFonts w:ascii="Calibri" w:hAnsi="Calibri" w:cs="Calibri"/>
        </w:rPr>
      </w:pPr>
      <w:r w:rsidRPr="006B3623">
        <w:rPr>
          <w:rFonts w:ascii="Calibri" w:hAnsi="Calibri" w:cs="Calibri"/>
        </w:rPr>
        <w:t>Comprehensive and meaningful datasets are essential for improving treatments and outcomes for children, adolescents, and young adults (AYAs) with cancer. Through the Childhood Cancer Data Initiative (CCDI), the National Cancer Institute (NCI) is transforming how data are collected, analyzed, and shared to accelerate research and discovery. CCDI has launched secure, cloud-based pipelines that integrate pathology images, radiology, genomics, and clinical data. These harmonized, federated resources now power advanced AI models that help predict therapy responses and long-term side effects, while interactive dashboards make the data accessible to researchers worldwide.</w:t>
      </w:r>
      <w:r w:rsidRPr="006B3623">
        <w:rPr>
          <w:rStyle w:val="FootnoteReference"/>
          <w:rFonts w:ascii="Calibri" w:hAnsi="Calibri" w:cs="Calibri"/>
        </w:rPr>
        <w:footnoteReference w:id="43"/>
      </w:r>
      <w:r w:rsidRPr="006B3623">
        <w:rPr>
          <w:rFonts w:ascii="Calibri" w:hAnsi="Calibri" w:cs="Calibri"/>
        </w:rPr>
        <w:t xml:space="preserve"> Since its launch in 2022, the Molecular Characterization Initiative has enrolled over 2,000 participants, offering state-of-the-art molecular testing for children and AYAs with certain cancer types. Clinical reports and molecular data are submitted directly to the CCDI Data Ecosystem by the Children’s Oncology Group, where they are paired with detailed information on diagnoses, treatments, and outcomes to support large-scale research. To help researchers prioritize potential therapeutic targets, the pediatric Molecular Targets Platform, also released in 2022, offers a searchable knowledgebase linking molecular targets to diseases and drugs. This tool reduces the time scientists spend sifting through medical literature and helps accelerate drug discovery for pediatric cancers.</w:t>
      </w:r>
      <w:r w:rsidRPr="006B3623">
        <w:rPr>
          <w:rStyle w:val="FootnoteReference"/>
          <w:rFonts w:ascii="Calibri" w:hAnsi="Calibri" w:cs="Calibri"/>
        </w:rPr>
        <w:footnoteReference w:id="44"/>
      </w:r>
      <w:r w:rsidRPr="006B3623">
        <w:rPr>
          <w:rFonts w:ascii="Calibri" w:hAnsi="Calibri" w:cs="Calibri"/>
          <w:vertAlign w:val="superscript"/>
        </w:rPr>
        <w:t>,</w:t>
      </w:r>
      <w:r w:rsidRPr="006B3623">
        <w:rPr>
          <w:rStyle w:val="FootnoteReference"/>
          <w:rFonts w:ascii="Calibri" w:hAnsi="Calibri" w:cs="Calibri"/>
        </w:rPr>
        <w:footnoteReference w:id="45"/>
      </w:r>
      <w:r w:rsidRPr="006B3623">
        <w:rPr>
          <w:rFonts w:ascii="Calibri" w:hAnsi="Calibri" w:cs="Calibri"/>
        </w:rPr>
        <w:t xml:space="preserve"> Serving as a central access point, the CCDI Hub—launched in May 2023—connects researchers, data scientists, and citizen scientists with CCDI-related tools, datasets, and resources, making it easier than ever to explore and use data to improve childhood cancer care.</w:t>
      </w:r>
      <w:r w:rsidRPr="006B3623">
        <w:rPr>
          <w:rStyle w:val="FootnoteReference"/>
          <w:rFonts w:ascii="Calibri" w:hAnsi="Calibri" w:cs="Calibri"/>
        </w:rPr>
        <w:footnoteReference w:id="46"/>
      </w:r>
    </w:p>
    <w:p w14:paraId="5C032424" w14:textId="77777777" w:rsidR="00BB4AA6" w:rsidRPr="006B3623" w:rsidRDefault="00BB4AA6" w:rsidP="00F11FB0">
      <w:pPr>
        <w:rPr>
          <w:rFonts w:ascii="Calibri" w:hAnsi="Calibri" w:cs="Calibri"/>
          <w:b/>
          <w:bCs/>
        </w:rPr>
      </w:pPr>
    </w:p>
    <w:p w14:paraId="6DE43E86" w14:textId="77777777" w:rsidR="00983643" w:rsidRPr="006B3623" w:rsidRDefault="00983643" w:rsidP="00983643">
      <w:pPr>
        <w:rPr>
          <w:rFonts w:ascii="Calibri" w:hAnsi="Calibri" w:cs="Calibri"/>
          <w:b/>
          <w:bCs/>
        </w:rPr>
      </w:pPr>
      <w:r w:rsidRPr="006B3623">
        <w:rPr>
          <w:rFonts w:ascii="Calibri" w:hAnsi="Calibri" w:cs="Calibri"/>
          <w:b/>
          <w:bCs/>
        </w:rPr>
        <w:t xml:space="preserve">UID 519_NHGRI </w:t>
      </w:r>
    </w:p>
    <w:p w14:paraId="33CB28DE" w14:textId="2E361029" w:rsidR="00196BC6" w:rsidRPr="002A6E68" w:rsidRDefault="00983643" w:rsidP="00EB5417">
      <w:pPr>
        <w:jc w:val="both"/>
        <w:rPr>
          <w:rFonts w:ascii="Calibri" w:hAnsi="Calibri" w:cs="Calibri"/>
          <w:sz w:val="20"/>
          <w:szCs w:val="20"/>
        </w:rPr>
      </w:pPr>
      <w:r w:rsidRPr="006B3623">
        <w:rPr>
          <w:rFonts w:ascii="Calibri" w:hAnsi="Calibri" w:cs="Calibri"/>
        </w:rPr>
        <w:t>The Clinical Genome Resource (ClinGen) plays a vital role in advancing precision medicine by providing expert-curated information on the clinical relevance of genes and genetic variants. Now in its third phase, ClinGen is expanding its impact by engaging patients, healthcare systems, and genetics professionals; scaling its applications across more clinical specialties; and working to ensure that population databases better reflect diverse patient populations.</w:t>
      </w:r>
      <w:r w:rsidRPr="006B3623">
        <w:rPr>
          <w:rStyle w:val="FootnoteReference"/>
          <w:rFonts w:ascii="Calibri" w:hAnsi="Calibri" w:cs="Calibri"/>
        </w:rPr>
        <w:footnoteReference w:id="47"/>
      </w:r>
      <w:r w:rsidRPr="006B3623">
        <w:rPr>
          <w:rFonts w:ascii="Calibri" w:hAnsi="Calibri" w:cs="Calibri"/>
        </w:rPr>
        <w:t xml:space="preserve"> In FY 2024, ClinGen’s rigorous evidence assessments were recognized by the American Society of Clinical Oncology, which cited ClinGen’s expert panels as a key resource in guiding gene selection for hereditary cancer testing panels.</w:t>
      </w:r>
      <w:r w:rsidR="00196BC6" w:rsidRPr="002A6E68">
        <w:rPr>
          <w:rFonts w:ascii="Calibri" w:hAnsi="Calibri" w:cs="Calibri"/>
          <w:sz w:val="20"/>
          <w:szCs w:val="20"/>
        </w:rPr>
        <w:br w:type="page"/>
      </w:r>
    </w:p>
    <w:p w14:paraId="7CFC66D9" w14:textId="520064CC" w:rsidR="00A01F73" w:rsidRPr="002A6E68" w:rsidRDefault="001F7E75" w:rsidP="001F7E75">
      <w:pPr>
        <w:pStyle w:val="Heading2"/>
        <w:rPr>
          <w:rFonts w:ascii="Calibri" w:hAnsi="Calibri" w:cs="Calibri"/>
          <w:sz w:val="28"/>
          <w:szCs w:val="28"/>
        </w:rPr>
      </w:pPr>
      <w:r w:rsidRPr="002A6E68">
        <w:rPr>
          <w:rFonts w:ascii="Calibri" w:hAnsi="Calibri" w:cs="Calibri"/>
          <w:sz w:val="28"/>
          <w:szCs w:val="28"/>
        </w:rPr>
        <w:lastRenderedPageBreak/>
        <w:t>Immunotherapy</w:t>
      </w:r>
    </w:p>
    <w:p w14:paraId="1626E37C" w14:textId="702542A1" w:rsidR="00A83363" w:rsidRPr="002A6E68" w:rsidRDefault="00EB5417" w:rsidP="00A83363">
      <w:pPr>
        <w:spacing w:after="0" w:line="240" w:lineRule="auto"/>
        <w:rPr>
          <w:rFonts w:ascii="Calibri" w:eastAsia="Times New Roman" w:hAnsi="Calibri" w:cs="Calibri"/>
          <w:color w:val="000000"/>
          <w:kern w:val="0"/>
          <w:sz w:val="20"/>
          <w:szCs w:val="20"/>
          <w14:ligatures w14:val="none"/>
        </w:rPr>
      </w:pPr>
      <w:r w:rsidRPr="002A6E68">
        <w:rPr>
          <w:rFonts w:ascii="Calibri" w:eastAsia="Times New Roman" w:hAnsi="Calibri" w:cs="Calibri"/>
          <w:color w:val="000000"/>
          <w:kern w:val="0"/>
          <w:sz w:val="20"/>
          <w:szCs w:val="20"/>
          <w14:ligatures w14:val="none"/>
        </w:rPr>
        <w:t xml:space="preserve">UIDs: </w:t>
      </w:r>
      <w:r w:rsidR="00A83363" w:rsidRPr="002A6E68">
        <w:rPr>
          <w:rFonts w:ascii="Calibri" w:eastAsia="Times New Roman" w:hAnsi="Calibri" w:cs="Calibri"/>
          <w:color w:val="000000"/>
          <w:kern w:val="0"/>
          <w:sz w:val="20"/>
          <w:szCs w:val="20"/>
          <w14:ligatures w14:val="none"/>
        </w:rPr>
        <w:t>262_NCI</w:t>
      </w:r>
      <w:r w:rsidR="00985C73" w:rsidRPr="002A6E68">
        <w:rPr>
          <w:rFonts w:ascii="Calibri" w:eastAsia="Times New Roman" w:hAnsi="Calibri" w:cs="Calibri"/>
          <w:color w:val="000000"/>
          <w:kern w:val="0"/>
          <w:sz w:val="20"/>
          <w:szCs w:val="20"/>
          <w14:ligatures w14:val="none"/>
        </w:rPr>
        <w:t xml:space="preserve">, </w:t>
      </w:r>
      <w:r w:rsidR="00985C73" w:rsidRPr="002A6E68">
        <w:rPr>
          <w:rFonts w:ascii="Calibri" w:hAnsi="Calibri" w:cs="Calibri"/>
          <w:sz w:val="20"/>
          <w:szCs w:val="20"/>
        </w:rPr>
        <w:t>280_NCI</w:t>
      </w:r>
    </w:p>
    <w:p w14:paraId="5318B94C" w14:textId="77777777" w:rsidR="00A83363" w:rsidRPr="006B3623" w:rsidRDefault="00A83363" w:rsidP="001F7E75">
      <w:pPr>
        <w:rPr>
          <w:rFonts w:ascii="Calibri" w:hAnsi="Calibri" w:cs="Calibri"/>
        </w:rPr>
      </w:pPr>
    </w:p>
    <w:p w14:paraId="46D693DC" w14:textId="6C876FC6" w:rsidR="007B588A" w:rsidRPr="006B3623" w:rsidRDefault="007B588A" w:rsidP="00A77915">
      <w:pPr>
        <w:rPr>
          <w:rFonts w:ascii="Calibri" w:hAnsi="Calibri" w:cs="Calibri"/>
          <w:b/>
          <w:bCs/>
          <w:color w:val="000000" w:themeColor="text1"/>
        </w:rPr>
      </w:pPr>
      <w:r w:rsidRPr="006B3623">
        <w:rPr>
          <w:rFonts w:ascii="Calibri" w:hAnsi="Calibri" w:cs="Calibri"/>
          <w:b/>
          <w:bCs/>
          <w:color w:val="000000" w:themeColor="text1"/>
        </w:rPr>
        <w:t>UID 262_NCI</w:t>
      </w:r>
    </w:p>
    <w:p w14:paraId="30F3365D" w14:textId="77777777" w:rsidR="007B588A" w:rsidRPr="006B3623" w:rsidRDefault="007B588A" w:rsidP="007B588A">
      <w:pPr>
        <w:jc w:val="both"/>
        <w:rPr>
          <w:rFonts w:ascii="Calibri" w:hAnsi="Calibri" w:cs="Calibri"/>
          <w:color w:val="000000" w:themeColor="text1"/>
        </w:rPr>
      </w:pPr>
      <w:r w:rsidRPr="006B3623">
        <w:rPr>
          <w:rFonts w:ascii="Calibri" w:hAnsi="Calibri" w:cs="Calibri"/>
          <w:color w:val="000000" w:themeColor="text1"/>
        </w:rPr>
        <w:t>In preclinical models, NCI-supported scientists discovered that activation of chimeric antigen receptor (CAR) natural killer (NK) cells triggers trogocytosis—a cell-to-cell exchange of membrane proteins—that strips target antigens from tumor cells, pastes them onto CAR-NK surfaces, and causes CAR-NK cells to attack each other instead of the tumor.</w:t>
      </w:r>
      <w:r w:rsidRPr="006B3623">
        <w:rPr>
          <w:rStyle w:val="FootnoteReference"/>
          <w:rFonts w:ascii="Calibri" w:hAnsi="Calibri" w:cs="Calibri"/>
          <w:color w:val="000000" w:themeColor="text1"/>
        </w:rPr>
        <w:footnoteReference w:id="48"/>
      </w:r>
      <w:r w:rsidRPr="006B3623">
        <w:rPr>
          <w:rFonts w:ascii="Calibri" w:hAnsi="Calibri" w:cs="Calibri"/>
          <w:color w:val="000000" w:themeColor="text1"/>
        </w:rPr>
        <w:t xml:space="preserve"> This antigen hijacking depletes targets on the tumor surface, dampens cytotoxicity, and helps explain the muted responses seen in early CAR-NK trials. To counter the escape, the team co-engineered a second, inhibitory CAR derived from killer-cell immunoglobulin-like receptors that recognizes NK ligands and silences self-attack even when tumor antigens coat fellow NK cells. In preclinical models, these dual-CAR NK cells preserved antigen density on tumors, and achieved markedly stronger, tumor-selective killing—demonstrating that trogocytosis is a tractable obstacle and offering a blueprint for next-generation CAR-NK therapies.</w:t>
      </w:r>
    </w:p>
    <w:p w14:paraId="6F10048B" w14:textId="77777777" w:rsidR="00F82046" w:rsidRPr="006B3623" w:rsidRDefault="00F82046" w:rsidP="00F82046">
      <w:pPr>
        <w:jc w:val="both"/>
        <w:rPr>
          <w:rFonts w:ascii="Calibri" w:hAnsi="Calibri" w:cs="Calibri"/>
          <w:b/>
          <w:bCs/>
        </w:rPr>
      </w:pPr>
      <w:r w:rsidRPr="006B3623">
        <w:rPr>
          <w:rFonts w:ascii="Calibri" w:hAnsi="Calibri" w:cs="Calibri"/>
          <w:b/>
          <w:bCs/>
        </w:rPr>
        <w:t>UID 280_NCI</w:t>
      </w:r>
    </w:p>
    <w:p w14:paraId="548B3717" w14:textId="77777777" w:rsidR="00F82046" w:rsidRPr="006B3623" w:rsidRDefault="00F82046" w:rsidP="00F82046">
      <w:pPr>
        <w:jc w:val="both"/>
        <w:rPr>
          <w:rFonts w:ascii="Calibri" w:hAnsi="Calibri" w:cs="Calibri"/>
        </w:rPr>
      </w:pPr>
      <w:r w:rsidRPr="006B3623">
        <w:rPr>
          <w:rFonts w:ascii="Calibri" w:hAnsi="Calibri" w:cs="Calibri"/>
        </w:rPr>
        <w:t>Neoantigens are unique proteins found on the surface of cancer cells that arise from mutations in the cancer cell’s DNA; they help the immune system identify and mount a response against cancer cells, and because of this are used in cancer vaccines and other immunotherapies. Personalized cancer vaccines rely on pinpointing tumor-specific mutations that can galvanize an immune response. To tame that complexity, NCI investigators built pVACtools and its interactive module pVACview, which predict, rank, and visually annotate candidate neoantigens.</w:t>
      </w:r>
      <w:r w:rsidRPr="006B3623">
        <w:rPr>
          <w:rStyle w:val="FootnoteReference"/>
          <w:rFonts w:ascii="Calibri" w:hAnsi="Calibri" w:cs="Calibri"/>
        </w:rPr>
        <w:footnoteReference w:id="49"/>
      </w:r>
      <w:r w:rsidRPr="006B3623">
        <w:rPr>
          <w:rFonts w:ascii="Calibri" w:hAnsi="Calibri" w:cs="Calibri"/>
        </w:rPr>
        <w:t xml:space="preserve"> By packaging prediction, prioritization, and visualization into one open-source workflow, the suite trims months off the design cycle and offers clinicians a transparent roadmap from sequence to syringe. Leveraging the pipeline, the team manufactured multi-epitope DNA vaccines and, in a phase I trial for triple-negative breast cancer, showed the shots were safe, feasible, and elicited neoantigen-specific T-cell responses in 14 of 18 high-risk patients.</w:t>
      </w:r>
      <w:r w:rsidRPr="006B3623">
        <w:rPr>
          <w:rStyle w:val="FootnoteReference"/>
          <w:rFonts w:ascii="Calibri" w:hAnsi="Calibri" w:cs="Calibri"/>
        </w:rPr>
        <w:footnoteReference w:id="50"/>
      </w:r>
      <w:r w:rsidRPr="006B3623">
        <w:rPr>
          <w:rFonts w:ascii="Calibri" w:hAnsi="Calibri" w:cs="Calibri"/>
        </w:rPr>
        <w:t xml:space="preserve"> These advances sketch a practical blueprint for scaling bespoke vaccines to aggressive solid tumors that have few therapeutic options.</w:t>
      </w:r>
    </w:p>
    <w:p w14:paraId="249B109F" w14:textId="77777777" w:rsidR="005874C4" w:rsidRPr="002A6E68" w:rsidRDefault="005874C4" w:rsidP="005874C4">
      <w:pPr>
        <w:rPr>
          <w:rFonts w:ascii="Calibri" w:hAnsi="Calibri" w:cs="Calibri"/>
          <w:sz w:val="20"/>
          <w:szCs w:val="20"/>
        </w:rPr>
      </w:pPr>
    </w:p>
    <w:p w14:paraId="0F51BA42" w14:textId="7036AA20" w:rsidR="001F7E75" w:rsidRPr="002A6E68" w:rsidRDefault="001F7E75">
      <w:pPr>
        <w:rPr>
          <w:rFonts w:ascii="Calibri" w:hAnsi="Calibri" w:cs="Calibri"/>
          <w:sz w:val="20"/>
          <w:szCs w:val="20"/>
        </w:rPr>
      </w:pPr>
      <w:r w:rsidRPr="002A6E68">
        <w:rPr>
          <w:rFonts w:ascii="Calibri" w:hAnsi="Calibri" w:cs="Calibri"/>
          <w:sz w:val="20"/>
          <w:szCs w:val="20"/>
        </w:rPr>
        <w:br w:type="page"/>
      </w:r>
    </w:p>
    <w:p w14:paraId="632BD668" w14:textId="77777777" w:rsidR="00D9112B" w:rsidRPr="002A6E68" w:rsidRDefault="00D9112B" w:rsidP="00D9112B">
      <w:pPr>
        <w:pStyle w:val="Heading2"/>
        <w:rPr>
          <w:rFonts w:ascii="Calibri" w:eastAsia="Times New Roman" w:hAnsi="Calibri" w:cs="Calibri"/>
          <w:sz w:val="28"/>
          <w:szCs w:val="28"/>
        </w:rPr>
      </w:pPr>
      <w:r w:rsidRPr="002A6E68">
        <w:rPr>
          <w:rFonts w:ascii="Calibri" w:eastAsia="Times New Roman" w:hAnsi="Calibri" w:cs="Calibri"/>
          <w:sz w:val="28"/>
          <w:szCs w:val="28"/>
        </w:rPr>
        <w:lastRenderedPageBreak/>
        <w:t>Nutrition &amp; Symptom Management</w:t>
      </w:r>
    </w:p>
    <w:p w14:paraId="7C2978B2" w14:textId="21006710" w:rsidR="001F7E75" w:rsidRPr="003858A2" w:rsidRDefault="00EB5417" w:rsidP="001F7E75">
      <w:pPr>
        <w:rPr>
          <w:rFonts w:ascii="Calibri" w:hAnsi="Calibri" w:cs="Calibri"/>
        </w:rPr>
      </w:pPr>
      <w:r w:rsidRPr="003858A2">
        <w:rPr>
          <w:rFonts w:ascii="Calibri" w:hAnsi="Calibri" w:cs="Calibri"/>
        </w:rPr>
        <w:t xml:space="preserve">UIDs: </w:t>
      </w:r>
      <w:r w:rsidR="00D9112B" w:rsidRPr="003858A2">
        <w:rPr>
          <w:rFonts w:ascii="Calibri" w:hAnsi="Calibri" w:cs="Calibri"/>
        </w:rPr>
        <w:t>34_CC, 70_ONR</w:t>
      </w:r>
    </w:p>
    <w:p w14:paraId="116DC1D5" w14:textId="77777777" w:rsidR="005A3ABA" w:rsidRPr="006B3623" w:rsidRDefault="005A3ABA" w:rsidP="005A3ABA">
      <w:pPr>
        <w:jc w:val="both"/>
        <w:rPr>
          <w:rFonts w:ascii="Calibri" w:hAnsi="Calibri" w:cs="Calibri"/>
        </w:rPr>
      </w:pPr>
      <w:r w:rsidRPr="006B3623">
        <w:rPr>
          <w:rFonts w:ascii="Calibri" w:hAnsi="Calibri" w:cs="Calibri"/>
          <w:b/>
          <w:bCs/>
        </w:rPr>
        <w:t>UID 34_CC</w:t>
      </w:r>
    </w:p>
    <w:p w14:paraId="3AB1D4A8" w14:textId="53922EB4" w:rsidR="005A3ABA" w:rsidRPr="006B3623" w:rsidRDefault="005A3ABA" w:rsidP="005A3ABA">
      <w:pPr>
        <w:jc w:val="both"/>
        <w:rPr>
          <w:rFonts w:ascii="Calibri" w:hAnsi="Calibri" w:cs="Calibri"/>
        </w:rPr>
      </w:pPr>
      <w:r w:rsidRPr="006B3623">
        <w:rPr>
          <w:rFonts w:ascii="Calibri" w:hAnsi="Calibri" w:cs="Calibri"/>
        </w:rPr>
        <w:t>Long-term NIH cohort data show that prophylactic total gastrectomy (PTG) virtually eliminates hereditary diffuse gastric cancer risk in CDH1-mutation carriers, but survivors often struggle with marked weight loss, fatigue, and day-to-day functional decline.</w:t>
      </w:r>
      <w:r w:rsidRPr="006B3623">
        <w:rPr>
          <w:rStyle w:val="FootnoteReference"/>
          <w:rFonts w:ascii="Calibri" w:hAnsi="Calibri" w:cs="Calibri"/>
        </w:rPr>
        <w:footnoteReference w:id="51"/>
      </w:r>
      <w:r w:rsidRPr="006B3623">
        <w:rPr>
          <w:rFonts w:ascii="Calibri" w:hAnsi="Calibri" w:cs="Calibri"/>
        </w:rPr>
        <w:t xml:space="preserve"> Endocrine follow-ups reveal accelerated bone demineralization and chronic micronutrient deficits, underscoring the need for lifelong supplements and dietitian-supervised monitoring.</w:t>
      </w:r>
      <w:r w:rsidRPr="006B3623">
        <w:rPr>
          <w:rStyle w:val="FootnoteReference"/>
          <w:rFonts w:ascii="Calibri" w:hAnsi="Calibri" w:cs="Calibri"/>
        </w:rPr>
        <w:footnoteReference w:id="52"/>
      </w:r>
      <w:r w:rsidRPr="006B3623">
        <w:rPr>
          <w:rFonts w:ascii="Calibri" w:hAnsi="Calibri" w:cs="Calibri"/>
        </w:rPr>
        <w:t xml:space="preserve"> To standardize care, an international Delphi panel issued consensus schedules for surveillance visits, laboratory testing, and nutrition counseling after PTG, giving clinicians a unified roadmap.</w:t>
      </w:r>
      <w:r w:rsidRPr="006B3623">
        <w:rPr>
          <w:rStyle w:val="FootnoteReference"/>
          <w:rFonts w:ascii="Calibri" w:hAnsi="Calibri" w:cs="Calibri"/>
        </w:rPr>
        <w:footnoteReference w:id="53"/>
      </w:r>
      <w:r w:rsidRPr="006B3623">
        <w:rPr>
          <w:rFonts w:ascii="Calibri" w:hAnsi="Calibri" w:cs="Calibri"/>
        </w:rPr>
        <w:t xml:space="preserve"> Interviews with young adults weighing surgery exposed persistent information gaps and showed that plain-language nutrition guides help balance cancer prevention with quality-of-life concerns.</w:t>
      </w:r>
      <w:r w:rsidRPr="006B3623">
        <w:rPr>
          <w:rStyle w:val="FootnoteReference"/>
          <w:rFonts w:ascii="Calibri" w:hAnsi="Calibri" w:cs="Calibri"/>
        </w:rPr>
        <w:footnoteReference w:id="54"/>
      </w:r>
      <w:r w:rsidRPr="006B3623">
        <w:rPr>
          <w:rFonts w:ascii="Calibri" w:hAnsi="Calibri" w:cs="Calibri"/>
        </w:rPr>
        <w:t xml:space="preserve"> Acting on these insights, Clinical Center dietitians and NCI surgeons launched a free online toolkit that walks families through phased meal plans, symptom-management tips, and micronutrient targets—and despite addressing a rare disease, the site drew more than 28</w:t>
      </w:r>
      <w:r w:rsidR="00214658" w:rsidRPr="006B3623">
        <w:rPr>
          <w:rFonts w:ascii="Calibri" w:hAnsi="Calibri" w:cs="Calibri"/>
        </w:rPr>
        <w:t>,</w:t>
      </w:r>
      <w:r w:rsidRPr="006B3623">
        <w:rPr>
          <w:rFonts w:ascii="Calibri" w:hAnsi="Calibri" w:cs="Calibri"/>
        </w:rPr>
        <w:t>000 page views in 2024, ranking fourth among 2</w:t>
      </w:r>
      <w:r w:rsidR="00B53DAA">
        <w:rPr>
          <w:rFonts w:ascii="Calibri" w:hAnsi="Calibri" w:cs="Calibri"/>
        </w:rPr>
        <w:t>,</w:t>
      </w:r>
      <w:r w:rsidRPr="006B3623">
        <w:rPr>
          <w:rFonts w:ascii="Calibri" w:hAnsi="Calibri" w:cs="Calibri"/>
        </w:rPr>
        <w:t>800</w:t>
      </w:r>
      <w:r w:rsidR="00B53DAA">
        <w:rPr>
          <w:rFonts w:ascii="Calibri" w:hAnsi="Calibri" w:cs="Calibri"/>
        </w:rPr>
        <w:t xml:space="preserve"> plus</w:t>
      </w:r>
      <w:r w:rsidRPr="006B3623">
        <w:rPr>
          <w:rFonts w:ascii="Calibri" w:hAnsi="Calibri" w:cs="Calibri"/>
        </w:rPr>
        <w:t xml:space="preserve"> NCI webpages.</w:t>
      </w:r>
      <w:r w:rsidRPr="006B3623">
        <w:rPr>
          <w:rStyle w:val="FootnoteReference"/>
          <w:rFonts w:ascii="Calibri" w:hAnsi="Calibri" w:cs="Calibri"/>
        </w:rPr>
        <w:footnoteReference w:id="55"/>
      </w:r>
      <w:r w:rsidR="00214658" w:rsidRPr="006B3623">
        <w:rPr>
          <w:rFonts w:ascii="Calibri" w:hAnsi="Calibri" w:cs="Calibri"/>
          <w:vertAlign w:val="superscript"/>
        </w:rPr>
        <w:t>,</w:t>
      </w:r>
      <w:r w:rsidRPr="006B3623">
        <w:rPr>
          <w:rStyle w:val="FootnoteReference"/>
          <w:rFonts w:ascii="Calibri" w:hAnsi="Calibri" w:cs="Calibri"/>
        </w:rPr>
        <w:footnoteReference w:id="56"/>
      </w:r>
    </w:p>
    <w:p w14:paraId="242A9A4A" w14:textId="77777777" w:rsidR="005A3ABA" w:rsidRPr="006B3623" w:rsidRDefault="005A3ABA" w:rsidP="007166EE">
      <w:pPr>
        <w:jc w:val="both"/>
        <w:rPr>
          <w:rFonts w:ascii="Calibri" w:hAnsi="Calibri" w:cs="Calibri"/>
          <w:b/>
          <w:bCs/>
        </w:rPr>
      </w:pPr>
    </w:p>
    <w:p w14:paraId="41AD6E53" w14:textId="1CD03A0A" w:rsidR="00160F18" w:rsidRPr="006B3623" w:rsidRDefault="007166EE" w:rsidP="00160F18">
      <w:pPr>
        <w:jc w:val="both"/>
        <w:rPr>
          <w:rFonts w:ascii="Calibri" w:hAnsi="Calibri" w:cs="Calibri"/>
        </w:rPr>
      </w:pPr>
      <w:r w:rsidRPr="006B3623">
        <w:rPr>
          <w:rFonts w:ascii="Calibri" w:hAnsi="Calibri" w:cs="Calibri"/>
          <w:b/>
          <w:bCs/>
        </w:rPr>
        <w:t>70_ONR</w:t>
      </w:r>
      <w:r w:rsidRPr="006B3623">
        <w:rPr>
          <w:rFonts w:ascii="Calibri" w:hAnsi="Calibri" w:cs="Calibri"/>
        </w:rPr>
        <w:br/>
      </w:r>
      <w:r w:rsidR="00160F18" w:rsidRPr="006B3623">
        <w:rPr>
          <w:rFonts w:ascii="Calibri" w:hAnsi="Calibri" w:cs="Calibri"/>
        </w:rPr>
        <w:t>Malnutrition undermines cancer care, yet up to 80</w:t>
      </w:r>
      <w:r w:rsidR="002A6E68" w:rsidRPr="006B3623">
        <w:rPr>
          <w:rFonts w:ascii="Calibri" w:hAnsi="Calibri" w:cs="Calibri"/>
        </w:rPr>
        <w:t xml:space="preserve"> percent</w:t>
      </w:r>
      <w:r w:rsidR="00160F18" w:rsidRPr="006B3623">
        <w:rPr>
          <w:rFonts w:ascii="Calibri" w:hAnsi="Calibri" w:cs="Calibri"/>
        </w:rPr>
        <w:t xml:space="preserve"> of people undergoing treatment still receive inadequate nutritional support. </w:t>
      </w:r>
      <w:r w:rsidR="006A6B88" w:rsidRPr="006A6B88">
        <w:rPr>
          <w:rFonts w:ascii="Calibri" w:hAnsi="Calibri" w:cs="Calibri"/>
        </w:rPr>
        <w:t>To address this gap, the Office of Nutrition Research and its partners convened the NIH Pathways to Prevention Workshop, “Nutrition as Prevention for Improved Cancer Health Outcomes,” and commissioned a systematic review of 206 trials showing that pre- or peri-treatment nutrition interventions reduced weight loss, lowered treatment interruptions, and improved short-term survival.</w:t>
      </w:r>
      <w:r w:rsidR="006A6B88">
        <w:rPr>
          <w:rFonts w:ascii="Calibri" w:hAnsi="Calibri" w:cs="Calibri"/>
        </w:rPr>
        <w:t xml:space="preserve"> </w:t>
      </w:r>
      <w:r w:rsidR="00160F18" w:rsidRPr="006B3623">
        <w:rPr>
          <w:rFonts w:ascii="Calibri" w:hAnsi="Calibri" w:cs="Calibri"/>
        </w:rPr>
        <w:t>The expert panel used those findings to outline priority research questions—standardized malnutrition screening, nutrition end points in oncology trials, and reimbursement for dietitian-led care.</w:t>
      </w:r>
      <w:r w:rsidR="00DC055D" w:rsidRPr="006B3623">
        <w:rPr>
          <w:rStyle w:val="FootnoteReference"/>
          <w:rFonts w:ascii="Calibri" w:hAnsi="Calibri" w:cs="Calibri"/>
        </w:rPr>
        <w:footnoteReference w:id="57"/>
      </w:r>
      <w:r w:rsidR="00DC055D" w:rsidRPr="006B3623">
        <w:rPr>
          <w:rStyle w:val="FootnoteReference"/>
          <w:rFonts w:ascii="Calibri" w:hAnsi="Calibri" w:cs="Calibri"/>
        </w:rPr>
        <w:t>,</w:t>
      </w:r>
      <w:r w:rsidR="00DC055D" w:rsidRPr="006B3623">
        <w:rPr>
          <w:rStyle w:val="FootnoteReference"/>
          <w:rFonts w:ascii="Calibri" w:hAnsi="Calibri" w:cs="Calibri"/>
        </w:rPr>
        <w:footnoteReference w:id="58"/>
      </w:r>
      <w:r w:rsidR="00160F18" w:rsidRPr="006B3623">
        <w:rPr>
          <w:rFonts w:ascii="Calibri" w:hAnsi="Calibri" w:cs="Calibri"/>
        </w:rPr>
        <w:t xml:space="preserve"> The workshop’s </w:t>
      </w:r>
      <w:r w:rsidR="004037BA" w:rsidRPr="006B3623">
        <w:rPr>
          <w:rFonts w:ascii="Calibri" w:hAnsi="Calibri" w:cs="Calibri"/>
        </w:rPr>
        <w:t>outputs</w:t>
      </w:r>
      <w:r w:rsidR="00160F18" w:rsidRPr="006B3623">
        <w:rPr>
          <w:rFonts w:ascii="Calibri" w:hAnsi="Calibri" w:cs="Calibri"/>
        </w:rPr>
        <w:t xml:space="preserve"> packages the evidence review, panel report, and stakeholder resources, giving clinicians and policymakers a </w:t>
      </w:r>
      <w:r w:rsidR="002679F8" w:rsidRPr="006B3623">
        <w:rPr>
          <w:rFonts w:ascii="Calibri" w:hAnsi="Calibri" w:cs="Calibri"/>
        </w:rPr>
        <w:t>resource</w:t>
      </w:r>
      <w:r w:rsidR="00160F18" w:rsidRPr="006B3623">
        <w:rPr>
          <w:rFonts w:ascii="Calibri" w:hAnsi="Calibri" w:cs="Calibri"/>
        </w:rPr>
        <w:t xml:space="preserve"> for translating nutrition science into routine cancer practice. </w:t>
      </w:r>
    </w:p>
    <w:p w14:paraId="383C8E65" w14:textId="4D73E88A" w:rsidR="007166EE" w:rsidRPr="002A6E68" w:rsidRDefault="007166EE">
      <w:pPr>
        <w:rPr>
          <w:rFonts w:ascii="Calibri" w:hAnsi="Calibri" w:cs="Calibri"/>
          <w:sz w:val="20"/>
          <w:szCs w:val="20"/>
        </w:rPr>
      </w:pPr>
      <w:r w:rsidRPr="002A6E68">
        <w:rPr>
          <w:rFonts w:ascii="Calibri" w:hAnsi="Calibri" w:cs="Calibri"/>
          <w:sz w:val="20"/>
          <w:szCs w:val="20"/>
        </w:rPr>
        <w:br w:type="page"/>
      </w:r>
    </w:p>
    <w:p w14:paraId="56E00AA2" w14:textId="193E8F05" w:rsidR="007166EE" w:rsidRPr="002A6E68" w:rsidRDefault="00BB06AF" w:rsidP="00BB06AF">
      <w:pPr>
        <w:pStyle w:val="Heading2"/>
        <w:rPr>
          <w:rFonts w:ascii="Calibri" w:hAnsi="Calibri" w:cs="Calibri"/>
          <w:sz w:val="28"/>
          <w:szCs w:val="28"/>
        </w:rPr>
      </w:pPr>
      <w:r w:rsidRPr="002A6E68">
        <w:rPr>
          <w:rFonts w:ascii="Calibri" w:hAnsi="Calibri" w:cs="Calibri"/>
          <w:sz w:val="28"/>
          <w:szCs w:val="28"/>
        </w:rPr>
        <w:lastRenderedPageBreak/>
        <w:t>Preventive Interventions</w:t>
      </w:r>
    </w:p>
    <w:p w14:paraId="03DAA9A1" w14:textId="264838E1" w:rsidR="00A83363" w:rsidRPr="002A6E68" w:rsidRDefault="00EB5417" w:rsidP="00A83363">
      <w:pPr>
        <w:spacing w:after="0" w:line="240" w:lineRule="auto"/>
        <w:rPr>
          <w:rFonts w:ascii="Calibri" w:eastAsia="Times New Roman" w:hAnsi="Calibri" w:cs="Calibri"/>
          <w:color w:val="000000"/>
          <w:kern w:val="0"/>
          <w:sz w:val="20"/>
          <w:szCs w:val="20"/>
          <w14:ligatures w14:val="none"/>
        </w:rPr>
      </w:pPr>
      <w:r w:rsidRPr="002A6E68">
        <w:rPr>
          <w:rFonts w:ascii="Calibri" w:eastAsia="Times New Roman" w:hAnsi="Calibri" w:cs="Calibri"/>
          <w:color w:val="000000"/>
          <w:kern w:val="0"/>
          <w:sz w:val="20"/>
          <w:szCs w:val="20"/>
          <w14:ligatures w14:val="none"/>
        </w:rPr>
        <w:t xml:space="preserve">UIDs: </w:t>
      </w:r>
      <w:r w:rsidR="00A83363" w:rsidRPr="002A6E68">
        <w:rPr>
          <w:rFonts w:ascii="Calibri" w:eastAsia="Times New Roman" w:hAnsi="Calibri" w:cs="Calibri"/>
          <w:color w:val="000000"/>
          <w:kern w:val="0"/>
          <w:sz w:val="20"/>
          <w:szCs w:val="20"/>
          <w14:ligatures w14:val="none"/>
        </w:rPr>
        <w:t>245_NCI</w:t>
      </w:r>
      <w:r w:rsidR="00197989" w:rsidRPr="002A6E68">
        <w:rPr>
          <w:rFonts w:ascii="Calibri" w:hAnsi="Calibri" w:cs="Calibri"/>
          <w:sz w:val="20"/>
          <w:szCs w:val="20"/>
        </w:rPr>
        <w:t>, 34_CC</w:t>
      </w:r>
    </w:p>
    <w:p w14:paraId="54F486AC" w14:textId="77777777" w:rsidR="00A83363" w:rsidRPr="002A6E68" w:rsidRDefault="00A83363" w:rsidP="003F61B7">
      <w:pPr>
        <w:rPr>
          <w:rFonts w:ascii="Calibri" w:hAnsi="Calibri" w:cs="Calibri"/>
          <w:b/>
          <w:bCs/>
          <w:sz w:val="20"/>
          <w:szCs w:val="20"/>
        </w:rPr>
      </w:pPr>
    </w:p>
    <w:p w14:paraId="1CB9903A" w14:textId="77777777" w:rsidR="003F61B7" w:rsidRPr="002A6E68" w:rsidRDefault="003F61B7" w:rsidP="003F61B7">
      <w:pPr>
        <w:rPr>
          <w:rFonts w:ascii="Calibri" w:hAnsi="Calibri" w:cs="Calibri"/>
          <w:b/>
          <w:bCs/>
          <w:sz w:val="20"/>
          <w:szCs w:val="20"/>
        </w:rPr>
      </w:pPr>
      <w:r w:rsidRPr="002A6E68">
        <w:rPr>
          <w:rFonts w:ascii="Calibri" w:hAnsi="Calibri" w:cs="Calibri"/>
          <w:b/>
          <w:bCs/>
          <w:sz w:val="20"/>
          <w:szCs w:val="20"/>
        </w:rPr>
        <w:t xml:space="preserve">UID 245_NCI </w:t>
      </w:r>
    </w:p>
    <w:p w14:paraId="15DEBC1E" w14:textId="0016B40F" w:rsidR="003F61B7" w:rsidRPr="006B3623" w:rsidRDefault="003F61B7" w:rsidP="003F61B7">
      <w:pPr>
        <w:jc w:val="both"/>
        <w:rPr>
          <w:rFonts w:ascii="Calibri" w:hAnsi="Calibri" w:cs="Calibri"/>
        </w:rPr>
      </w:pPr>
      <w:r w:rsidRPr="006B3623">
        <w:rPr>
          <w:rFonts w:ascii="Calibri" w:hAnsi="Calibri" w:cs="Calibri"/>
        </w:rPr>
        <w:t>NCI epidemiologists used accelerometer records from nationally representative cohorts to show that if every U.S. adult added just 10 minutes of moderate-to-vigorous physical activity (MVPA) per day, ≈100</w:t>
      </w:r>
      <w:r w:rsidR="00EF56E5" w:rsidRPr="006B3623">
        <w:rPr>
          <w:rFonts w:ascii="Calibri" w:hAnsi="Calibri" w:cs="Calibri"/>
        </w:rPr>
        <w:t>,</w:t>
      </w:r>
      <w:r w:rsidRPr="006B3623">
        <w:rPr>
          <w:rFonts w:ascii="Calibri" w:hAnsi="Calibri" w:cs="Calibri"/>
        </w:rPr>
        <w:t>000 premature deaths could be prevented annually</w:t>
      </w:r>
      <w:r w:rsidR="00A02DD8" w:rsidRPr="006B3623">
        <w:rPr>
          <w:rFonts w:ascii="Calibri" w:hAnsi="Calibri" w:cs="Calibri"/>
        </w:rPr>
        <w:t>.</w:t>
      </w:r>
      <w:r w:rsidRPr="006B3623">
        <w:rPr>
          <w:rStyle w:val="FootnoteReference"/>
          <w:rFonts w:ascii="Calibri" w:hAnsi="Calibri" w:cs="Calibri"/>
        </w:rPr>
        <w:footnoteReference w:id="59"/>
      </w:r>
      <w:r w:rsidRPr="006B3623">
        <w:rPr>
          <w:rFonts w:ascii="Calibri" w:hAnsi="Calibri" w:cs="Calibri"/>
        </w:rPr>
        <w:t xml:space="preserve"> Building on the same harmonized datasets, another analysis revealed that older adults who engage each week in a variety of leisure-time pursuits—from walking and cycling to gardening—enjoy significantly lower all-cause, cardiovascular, and cancer mortality than peers with fewer activity types.</w:t>
      </w:r>
      <w:r w:rsidRPr="006B3623">
        <w:rPr>
          <w:rStyle w:val="FootnoteReference"/>
          <w:rFonts w:ascii="Calibri" w:hAnsi="Calibri" w:cs="Calibri"/>
        </w:rPr>
        <w:footnoteReference w:id="60"/>
      </w:r>
      <w:r w:rsidR="003D052C" w:rsidRPr="006B3623">
        <w:rPr>
          <w:rFonts w:ascii="Calibri" w:hAnsi="Calibri" w:cs="Calibri"/>
        </w:rPr>
        <w:t xml:space="preserve"> </w:t>
      </w:r>
      <w:r w:rsidRPr="006B3623">
        <w:rPr>
          <w:rFonts w:ascii="Calibri" w:hAnsi="Calibri" w:cs="Calibri"/>
        </w:rPr>
        <w:t>Lifestyle stakes are equally high for the nation’s 52 million former smokers: those who pair MVPA with other healthy habits (nutritious diet, moderate alcohol, normal BMI) regain all-cause mortality risks that approach those of never-smokers.</w:t>
      </w:r>
      <w:r w:rsidRPr="006B3623">
        <w:rPr>
          <w:rStyle w:val="FootnoteReference"/>
          <w:rFonts w:ascii="Calibri" w:hAnsi="Calibri" w:cs="Calibri"/>
        </w:rPr>
        <w:footnoteReference w:id="61"/>
      </w:r>
      <w:r w:rsidRPr="006B3623">
        <w:rPr>
          <w:rFonts w:ascii="Calibri" w:hAnsi="Calibri" w:cs="Calibri"/>
        </w:rPr>
        <w:t xml:space="preserve"> Together, these studies demonstrate that small, attainable increases in diverse physical activities—and broader healthy-lifestyle adherence—represent scalable, low-cost levers for reducing cancer and heart-disease deaths across the U.S. population. </w:t>
      </w:r>
    </w:p>
    <w:p w14:paraId="35C82154" w14:textId="77777777" w:rsidR="00D5769D" w:rsidRPr="002A6E68" w:rsidRDefault="00D5769D" w:rsidP="008B40DF">
      <w:pPr>
        <w:rPr>
          <w:rFonts w:ascii="Calibri" w:hAnsi="Calibri" w:cs="Calibri"/>
          <w:b/>
          <w:bCs/>
          <w:sz w:val="20"/>
          <w:szCs w:val="20"/>
        </w:rPr>
      </w:pPr>
    </w:p>
    <w:p w14:paraId="5A02208B" w14:textId="77777777" w:rsidR="005A3ABA" w:rsidRPr="002A6E68" w:rsidRDefault="005A3ABA" w:rsidP="005A3ABA">
      <w:pPr>
        <w:jc w:val="both"/>
        <w:rPr>
          <w:rFonts w:ascii="Calibri" w:hAnsi="Calibri" w:cs="Calibri"/>
          <w:sz w:val="20"/>
          <w:szCs w:val="20"/>
        </w:rPr>
      </w:pPr>
      <w:r w:rsidRPr="002A6E68">
        <w:rPr>
          <w:rFonts w:ascii="Calibri" w:hAnsi="Calibri" w:cs="Calibri"/>
          <w:b/>
          <w:bCs/>
          <w:sz w:val="20"/>
          <w:szCs w:val="20"/>
        </w:rPr>
        <w:t>UID 34_CC</w:t>
      </w:r>
    </w:p>
    <w:p w14:paraId="0B7DC06D" w14:textId="63345DAF" w:rsidR="004D1020" w:rsidRPr="002A6E68" w:rsidRDefault="005A3ABA" w:rsidP="00EB5417">
      <w:pPr>
        <w:jc w:val="both"/>
        <w:rPr>
          <w:rFonts w:ascii="Calibri" w:hAnsi="Calibri" w:cs="Calibri"/>
          <w:sz w:val="20"/>
          <w:szCs w:val="20"/>
        </w:rPr>
      </w:pPr>
      <w:r w:rsidRPr="006B3623">
        <w:rPr>
          <w:rFonts w:ascii="Calibri" w:hAnsi="Calibri" w:cs="Calibri"/>
        </w:rPr>
        <w:t>Long-term NIH cohort data show that prophylactic total gastrectomy (PTG) virtually eliminates hereditary diffuse gastric cancer risk in CDH1-mutation carriers, but survivors often struggle with marked weight loss, fatigue, and day-to-day functional decline.</w:t>
      </w:r>
      <w:r w:rsidRPr="006B3623">
        <w:rPr>
          <w:rStyle w:val="FootnoteReference"/>
          <w:rFonts w:ascii="Calibri" w:hAnsi="Calibri" w:cs="Calibri"/>
        </w:rPr>
        <w:footnoteReference w:id="62"/>
      </w:r>
      <w:r w:rsidRPr="006B3623">
        <w:rPr>
          <w:rFonts w:ascii="Calibri" w:hAnsi="Calibri" w:cs="Calibri"/>
        </w:rPr>
        <w:t xml:space="preserve"> Endocrine follow-ups reveal accelerated bone demineralization and chronic micronutrient deficits, underscoring the need for lifelong supplements and dietitian-supervised monitoring.</w:t>
      </w:r>
      <w:r w:rsidRPr="006B3623">
        <w:rPr>
          <w:rStyle w:val="FootnoteReference"/>
          <w:rFonts w:ascii="Calibri" w:hAnsi="Calibri" w:cs="Calibri"/>
        </w:rPr>
        <w:footnoteReference w:id="63"/>
      </w:r>
      <w:r w:rsidRPr="006B3623">
        <w:rPr>
          <w:rFonts w:ascii="Calibri" w:hAnsi="Calibri" w:cs="Calibri"/>
        </w:rPr>
        <w:t xml:space="preserve"> To standardize care, an international Delphi panel issued consensus schedules for surveillance visits, laboratory testing, and nutrition counseling after PTG, giving clinicians a unified roadmap.</w:t>
      </w:r>
      <w:r w:rsidRPr="006B3623">
        <w:rPr>
          <w:rStyle w:val="FootnoteReference"/>
          <w:rFonts w:ascii="Calibri" w:hAnsi="Calibri" w:cs="Calibri"/>
        </w:rPr>
        <w:footnoteReference w:id="64"/>
      </w:r>
      <w:r w:rsidRPr="006B3623">
        <w:rPr>
          <w:rFonts w:ascii="Calibri" w:hAnsi="Calibri" w:cs="Calibri"/>
        </w:rPr>
        <w:t xml:space="preserve"> Interviews with young adults weighing surgery exposed persistent information gaps and showed that plain-language nutrition guides help balance cancer prevention with quality-of-life concerns.</w:t>
      </w:r>
      <w:r w:rsidRPr="006B3623">
        <w:rPr>
          <w:rStyle w:val="FootnoteReference"/>
          <w:rFonts w:ascii="Calibri" w:hAnsi="Calibri" w:cs="Calibri"/>
        </w:rPr>
        <w:footnoteReference w:id="65"/>
      </w:r>
      <w:r w:rsidRPr="006B3623">
        <w:rPr>
          <w:rFonts w:ascii="Calibri" w:hAnsi="Calibri" w:cs="Calibri"/>
        </w:rPr>
        <w:t xml:space="preserve"> Acting on these insights, Clinical Center dietitians and NCI surgeons launched a free online toolkit that walks families through phased meal plans, symptom-management tips, and micronutrient targets—and despite addressing a rare disease, the site drew more than 28</w:t>
      </w:r>
      <w:r w:rsidR="003D052C" w:rsidRPr="006B3623">
        <w:rPr>
          <w:rFonts w:ascii="Calibri" w:hAnsi="Calibri" w:cs="Calibri"/>
        </w:rPr>
        <w:t>,</w:t>
      </w:r>
      <w:r w:rsidRPr="006B3623">
        <w:rPr>
          <w:rFonts w:ascii="Calibri" w:hAnsi="Calibri" w:cs="Calibri"/>
        </w:rPr>
        <w:t>000 page views in 2024, ranking fourth among 2</w:t>
      </w:r>
      <w:r w:rsidR="003D052C" w:rsidRPr="006B3623">
        <w:rPr>
          <w:rFonts w:ascii="Calibri" w:hAnsi="Calibri" w:cs="Calibri"/>
        </w:rPr>
        <w:t>,</w:t>
      </w:r>
      <w:r w:rsidRPr="006B3623">
        <w:rPr>
          <w:rFonts w:ascii="Calibri" w:hAnsi="Calibri" w:cs="Calibri"/>
        </w:rPr>
        <w:t>800+ NCI webpages.</w:t>
      </w:r>
      <w:r w:rsidRPr="006B3623">
        <w:rPr>
          <w:rStyle w:val="FootnoteReference"/>
          <w:rFonts w:ascii="Calibri" w:hAnsi="Calibri" w:cs="Calibri"/>
        </w:rPr>
        <w:footnoteReference w:id="66"/>
      </w:r>
      <w:r w:rsidR="003D052C" w:rsidRPr="006B3623">
        <w:rPr>
          <w:rFonts w:ascii="Calibri" w:hAnsi="Calibri" w:cs="Calibri"/>
          <w:vertAlign w:val="superscript"/>
        </w:rPr>
        <w:t>,</w:t>
      </w:r>
      <w:r w:rsidRPr="006B3623">
        <w:rPr>
          <w:rStyle w:val="FootnoteReference"/>
          <w:rFonts w:ascii="Calibri" w:hAnsi="Calibri" w:cs="Calibri"/>
        </w:rPr>
        <w:footnoteReference w:id="67"/>
      </w:r>
      <w:r w:rsidR="004D1020" w:rsidRPr="002A6E68">
        <w:rPr>
          <w:rFonts w:ascii="Calibri" w:hAnsi="Calibri" w:cs="Calibri"/>
          <w:sz w:val="20"/>
          <w:szCs w:val="20"/>
        </w:rPr>
        <w:br w:type="page"/>
      </w:r>
    </w:p>
    <w:p w14:paraId="245981DA" w14:textId="77777777" w:rsidR="00B01044" w:rsidRPr="002A6E68" w:rsidRDefault="00B01044" w:rsidP="00B01044">
      <w:pPr>
        <w:pStyle w:val="Heading2"/>
        <w:rPr>
          <w:rFonts w:ascii="Calibri" w:eastAsia="Times New Roman" w:hAnsi="Calibri" w:cs="Calibri"/>
          <w:sz w:val="28"/>
          <w:szCs w:val="28"/>
        </w:rPr>
      </w:pPr>
      <w:r w:rsidRPr="002A6E68">
        <w:rPr>
          <w:rFonts w:ascii="Calibri" w:eastAsia="Times New Roman" w:hAnsi="Calibri" w:cs="Calibri"/>
          <w:sz w:val="28"/>
          <w:szCs w:val="28"/>
        </w:rPr>
        <w:lastRenderedPageBreak/>
        <w:t>Recalcitrant &amp; Hard-to-Treat Cancer Research</w:t>
      </w:r>
    </w:p>
    <w:p w14:paraId="4F23ABBA" w14:textId="2D43E3FD" w:rsidR="00DB7C07" w:rsidRPr="002A6E68" w:rsidRDefault="00EB5417" w:rsidP="0069039F">
      <w:pPr>
        <w:rPr>
          <w:rFonts w:ascii="Calibri" w:hAnsi="Calibri" w:cs="Calibri"/>
          <w:b/>
          <w:bCs/>
          <w:sz w:val="20"/>
          <w:szCs w:val="20"/>
        </w:rPr>
      </w:pPr>
      <w:r w:rsidRPr="002A6E68">
        <w:rPr>
          <w:rFonts w:ascii="Calibri" w:eastAsia="Times New Roman" w:hAnsi="Calibri" w:cs="Calibri"/>
          <w:color w:val="000000"/>
          <w:kern w:val="0"/>
          <w:sz w:val="20"/>
          <w:szCs w:val="20"/>
          <w14:ligatures w14:val="none"/>
        </w:rPr>
        <w:t xml:space="preserve">UID: </w:t>
      </w:r>
      <w:r w:rsidR="00DA4441" w:rsidRPr="002A6E68">
        <w:rPr>
          <w:rFonts w:ascii="Calibri" w:eastAsia="Times New Roman" w:hAnsi="Calibri" w:cs="Calibri"/>
          <w:color w:val="000000"/>
          <w:kern w:val="0"/>
          <w:sz w:val="20"/>
          <w:szCs w:val="20"/>
          <w14:ligatures w14:val="none"/>
        </w:rPr>
        <w:t>261_NCI,</w:t>
      </w:r>
      <w:r w:rsidR="009962BE" w:rsidRPr="002A6E68">
        <w:rPr>
          <w:rFonts w:ascii="Calibri" w:hAnsi="Calibri" w:cs="Calibri"/>
          <w:sz w:val="20"/>
          <w:szCs w:val="20"/>
        </w:rPr>
        <w:t xml:space="preserve"> 270_NCI</w:t>
      </w:r>
    </w:p>
    <w:p w14:paraId="2EC871E0" w14:textId="77777777" w:rsidR="00B01044" w:rsidRPr="002A6E68" w:rsidRDefault="00B01044" w:rsidP="00B01044">
      <w:pPr>
        <w:jc w:val="both"/>
        <w:rPr>
          <w:rFonts w:ascii="Calibri" w:hAnsi="Calibri" w:cs="Calibri"/>
          <w:sz w:val="20"/>
          <w:szCs w:val="20"/>
        </w:rPr>
      </w:pPr>
    </w:p>
    <w:p w14:paraId="2D07DA55" w14:textId="77777777" w:rsidR="00A77915" w:rsidRPr="002A6E68" w:rsidRDefault="00A77915" w:rsidP="00A77915">
      <w:pPr>
        <w:jc w:val="both"/>
        <w:rPr>
          <w:rFonts w:ascii="Calibri" w:hAnsi="Calibri" w:cs="Calibri"/>
          <w:b/>
          <w:bCs/>
          <w:sz w:val="20"/>
          <w:szCs w:val="20"/>
        </w:rPr>
      </w:pPr>
      <w:r w:rsidRPr="002A6E68">
        <w:rPr>
          <w:rFonts w:ascii="Calibri" w:hAnsi="Calibri" w:cs="Calibri"/>
          <w:b/>
          <w:bCs/>
          <w:sz w:val="20"/>
          <w:szCs w:val="20"/>
        </w:rPr>
        <w:t>UID: 261_NCI</w:t>
      </w:r>
    </w:p>
    <w:p w14:paraId="692DC52C" w14:textId="02064386" w:rsidR="00A77915" w:rsidRPr="006B3623" w:rsidRDefault="00A77915" w:rsidP="00A77915">
      <w:pPr>
        <w:jc w:val="both"/>
        <w:rPr>
          <w:rFonts w:ascii="Calibri" w:hAnsi="Calibri" w:cs="Calibri"/>
        </w:rPr>
      </w:pPr>
      <w:r w:rsidRPr="006B3623">
        <w:rPr>
          <w:rFonts w:ascii="Calibri" w:hAnsi="Calibri" w:cs="Calibri"/>
        </w:rPr>
        <w:t>Through single-cell multi-omics analyses, NCI scientists uncovered a 50-gene expression “barcode” that reliably flags the scarce neoantigen-reactive T cells embedded in metastatic solid tumors.</w:t>
      </w:r>
      <w:r w:rsidRPr="006B3623">
        <w:rPr>
          <w:rStyle w:val="FootnoteReference"/>
          <w:rFonts w:ascii="Calibri" w:hAnsi="Calibri" w:cs="Calibri"/>
        </w:rPr>
        <w:footnoteReference w:id="68"/>
      </w:r>
      <w:r w:rsidRPr="006B3623">
        <w:rPr>
          <w:rFonts w:ascii="Calibri" w:hAnsi="Calibri" w:cs="Calibri"/>
        </w:rPr>
        <w:t xml:space="preserve"> Tumor-reactive lymphocytes are anti-tumor immune cells that can identify and kill cancer cells by recognizing mutated proteins on their surface called cancer antigens. Integrating this signature with CITE-seq and high-speed flow sorting slashed the time needed to discover tumor-specific T-cell receptors.</w:t>
      </w:r>
      <w:r w:rsidRPr="006B3623">
        <w:rPr>
          <w:rStyle w:val="FootnoteReference"/>
          <w:rFonts w:ascii="Calibri" w:hAnsi="Calibri" w:cs="Calibri"/>
        </w:rPr>
        <w:footnoteReference w:id="69"/>
      </w:r>
      <w:r w:rsidRPr="006B3623">
        <w:rPr>
          <w:rFonts w:ascii="Calibri" w:hAnsi="Calibri" w:cs="Calibri"/>
        </w:rPr>
        <w:t xml:space="preserve"> The streamlined pipeline now anchors clinical-grade manufacturing: personalized tumor-infiltrating lymphocyte (TIL) therapy yielded regression in metastatic breast cancer, while a KRAS-G12D–specific receptor shrank pancreatic metastases by 72</w:t>
      </w:r>
      <w:r w:rsidR="002A6E68" w:rsidRPr="006B3623">
        <w:rPr>
          <w:rFonts w:ascii="Calibri" w:hAnsi="Calibri" w:cs="Calibri"/>
        </w:rPr>
        <w:t xml:space="preserve"> percent</w:t>
      </w:r>
      <w:r w:rsidRPr="006B3623">
        <w:rPr>
          <w:rFonts w:ascii="Calibri" w:hAnsi="Calibri" w:cs="Calibri"/>
        </w:rPr>
        <w:t xml:space="preserve"> and persisted for at least six months.</w:t>
      </w:r>
      <w:r w:rsidRPr="006B3623">
        <w:rPr>
          <w:rStyle w:val="FootnoteReference"/>
          <w:rFonts w:ascii="Calibri" w:hAnsi="Calibri" w:cs="Calibri"/>
        </w:rPr>
        <w:footnoteReference w:id="70"/>
      </w:r>
      <w:r w:rsidR="003D052C" w:rsidRPr="006B3623">
        <w:rPr>
          <w:rFonts w:ascii="Calibri" w:hAnsi="Calibri" w:cs="Calibri"/>
          <w:vertAlign w:val="superscript"/>
        </w:rPr>
        <w:t>,</w:t>
      </w:r>
      <w:r w:rsidRPr="006B3623">
        <w:rPr>
          <w:rStyle w:val="FootnoteReference"/>
          <w:rFonts w:ascii="Calibri" w:hAnsi="Calibri" w:cs="Calibri"/>
        </w:rPr>
        <w:footnoteReference w:id="71"/>
      </w:r>
      <w:r w:rsidRPr="006B3623">
        <w:rPr>
          <w:rFonts w:ascii="Calibri" w:hAnsi="Calibri" w:cs="Calibri"/>
        </w:rPr>
        <w:t xml:space="preserve"> This approach highlights how this bench-to-bedside workflow could extend bespoke immunotherapy to stomach, esophageal, ovarian, and other hard-to-treat malignancies, advancing Cancer Moonshot goals.</w:t>
      </w:r>
      <w:r w:rsidRPr="006B3623">
        <w:rPr>
          <w:rStyle w:val="FootnoteReference"/>
          <w:rFonts w:ascii="Calibri" w:hAnsi="Calibri" w:cs="Calibri"/>
        </w:rPr>
        <w:footnoteReference w:id="72"/>
      </w:r>
      <w:r w:rsidRPr="006B3623">
        <w:rPr>
          <w:rFonts w:ascii="Calibri" w:hAnsi="Calibri" w:cs="Calibri"/>
          <w:vertAlign w:val="superscript"/>
        </w:rPr>
        <w:t>,</w:t>
      </w:r>
      <w:r w:rsidRPr="006B3623">
        <w:rPr>
          <w:rStyle w:val="FootnoteReference"/>
          <w:rFonts w:ascii="Calibri" w:hAnsi="Calibri" w:cs="Calibri"/>
        </w:rPr>
        <w:footnoteReference w:id="73"/>
      </w:r>
      <w:r w:rsidRPr="006B3623">
        <w:rPr>
          <w:rFonts w:ascii="Calibri" w:hAnsi="Calibri" w:cs="Calibri"/>
        </w:rPr>
        <w:t xml:space="preserve"> </w:t>
      </w:r>
    </w:p>
    <w:p w14:paraId="439B9D0C" w14:textId="77777777" w:rsidR="00660C76" w:rsidRPr="002A6E68" w:rsidRDefault="00660C76" w:rsidP="00C648D9">
      <w:pPr>
        <w:jc w:val="both"/>
        <w:rPr>
          <w:rFonts w:ascii="Calibri" w:hAnsi="Calibri" w:cs="Calibri"/>
          <w:b/>
          <w:bCs/>
          <w:sz w:val="20"/>
          <w:szCs w:val="20"/>
        </w:rPr>
      </w:pPr>
    </w:p>
    <w:p w14:paraId="08EFA6A7" w14:textId="0115FD1B" w:rsidR="00C648D9" w:rsidRPr="002A6E68" w:rsidRDefault="00C648D9" w:rsidP="00C648D9">
      <w:pPr>
        <w:jc w:val="both"/>
        <w:rPr>
          <w:rFonts w:ascii="Calibri" w:hAnsi="Calibri" w:cs="Calibri"/>
          <w:b/>
          <w:bCs/>
          <w:sz w:val="20"/>
          <w:szCs w:val="20"/>
        </w:rPr>
      </w:pPr>
      <w:r w:rsidRPr="002A6E68">
        <w:rPr>
          <w:rFonts w:ascii="Calibri" w:hAnsi="Calibri" w:cs="Calibri"/>
          <w:b/>
          <w:bCs/>
          <w:sz w:val="20"/>
          <w:szCs w:val="20"/>
        </w:rPr>
        <w:t>UID 270_NCI</w:t>
      </w:r>
    </w:p>
    <w:p w14:paraId="6CD8FC4D" w14:textId="45591544" w:rsidR="00C648D9" w:rsidRPr="006B3623" w:rsidRDefault="00C648D9" w:rsidP="00C648D9">
      <w:pPr>
        <w:jc w:val="both"/>
        <w:rPr>
          <w:rFonts w:ascii="Calibri" w:hAnsi="Calibri" w:cs="Calibri"/>
        </w:rPr>
      </w:pPr>
      <w:r w:rsidRPr="006B3623">
        <w:rPr>
          <w:rFonts w:ascii="Calibri" w:hAnsi="Calibri" w:cs="Calibri"/>
        </w:rPr>
        <w:t>Pancreatic ductal adenocarcinoma (PDAC) has a low survival rate and is difficult to treat. PDAC tumors often have a dense, nest-like structure around them (their microenvironment) that lacks intact blood vessels, creating conditions that decrease the supply of the sugar molecule glucose, an essential fuel source for normal and cancer cells. Facing nutrient scarcity, NCI-supported investigators uncovered that PDAC rewires its metabolism to catabolize uridine when glucose is limited.</w:t>
      </w:r>
      <w:r w:rsidRPr="006B3623">
        <w:rPr>
          <w:rStyle w:val="FootnoteReference"/>
          <w:rFonts w:ascii="Calibri" w:hAnsi="Calibri" w:cs="Calibri"/>
        </w:rPr>
        <w:footnoteReference w:id="74"/>
      </w:r>
      <w:r w:rsidRPr="006B3623">
        <w:rPr>
          <w:rFonts w:ascii="Calibri" w:hAnsi="Calibri" w:cs="Calibri"/>
        </w:rPr>
        <w:t xml:space="preserve"> In the same study, genetic knock-out or a first-generation UPP1 inhibitor starved PDAC cells in vitro and slowed tumor growth in xenografts, while patient data linked high UPP1 expression to significantly shorter survival, spotlighting this enzyme as a tractable metabolic liability. By revealing an unexpected fuel source, this work exploits tumor-specific dependencies and opens the door to first-in-class uridinolytic inhibitors for one of the deadliest solid tumors.</w:t>
      </w:r>
      <w:r w:rsidRPr="006B3623">
        <w:rPr>
          <w:rStyle w:val="FootnoteReference"/>
          <w:rFonts w:ascii="Calibri" w:hAnsi="Calibri" w:cs="Calibri"/>
        </w:rPr>
        <w:footnoteReference w:id="75"/>
      </w:r>
    </w:p>
    <w:p w14:paraId="399C35B8" w14:textId="179FD151" w:rsidR="00B01044" w:rsidRPr="002A6E68" w:rsidRDefault="00B01044" w:rsidP="00A77915">
      <w:pPr>
        <w:jc w:val="both"/>
        <w:rPr>
          <w:rFonts w:ascii="Calibri" w:hAnsi="Calibri" w:cs="Calibri"/>
          <w:sz w:val="20"/>
          <w:szCs w:val="20"/>
        </w:rPr>
      </w:pPr>
      <w:r w:rsidRPr="002A6E68">
        <w:rPr>
          <w:rFonts w:ascii="Calibri" w:hAnsi="Calibri" w:cs="Calibri"/>
          <w:sz w:val="20"/>
          <w:szCs w:val="20"/>
        </w:rPr>
        <w:br w:type="page"/>
      </w:r>
    </w:p>
    <w:p w14:paraId="26B82C65" w14:textId="77777777" w:rsidR="00F67FF5" w:rsidRPr="002A6E68" w:rsidRDefault="00F67FF5" w:rsidP="00F67FF5">
      <w:pPr>
        <w:pStyle w:val="Heading2"/>
        <w:rPr>
          <w:rFonts w:ascii="Calibri" w:eastAsia="Times New Roman" w:hAnsi="Calibri" w:cs="Calibri"/>
          <w:sz w:val="28"/>
          <w:szCs w:val="28"/>
        </w:rPr>
      </w:pPr>
      <w:r w:rsidRPr="002A6E68">
        <w:rPr>
          <w:rFonts w:ascii="Calibri" w:eastAsia="Times New Roman" w:hAnsi="Calibri" w:cs="Calibri"/>
          <w:sz w:val="28"/>
          <w:szCs w:val="28"/>
        </w:rPr>
        <w:lastRenderedPageBreak/>
        <w:t>Screening &amp; Early Detection</w:t>
      </w:r>
    </w:p>
    <w:p w14:paraId="29FAB728" w14:textId="09D00DA5" w:rsidR="00DB7C07" w:rsidRPr="002A6E68" w:rsidRDefault="00D36066" w:rsidP="003F61B7">
      <w:pPr>
        <w:rPr>
          <w:rFonts w:ascii="Calibri" w:hAnsi="Calibri" w:cs="Calibri"/>
          <w:b/>
          <w:bCs/>
          <w:sz w:val="20"/>
          <w:szCs w:val="20"/>
        </w:rPr>
      </w:pPr>
      <w:r w:rsidRPr="002A6E68">
        <w:rPr>
          <w:rFonts w:ascii="Calibri" w:hAnsi="Calibri" w:cs="Calibri"/>
          <w:sz w:val="20"/>
          <w:szCs w:val="20"/>
        </w:rPr>
        <w:t>UIDs:</w:t>
      </w:r>
      <w:r w:rsidR="00C628F5">
        <w:rPr>
          <w:rFonts w:ascii="Calibri" w:hAnsi="Calibri" w:cs="Calibri"/>
          <w:sz w:val="20"/>
          <w:szCs w:val="20"/>
        </w:rPr>
        <w:t xml:space="preserve"> 110_NIAMS,</w:t>
      </w:r>
      <w:r w:rsidRPr="002A6E68">
        <w:rPr>
          <w:rFonts w:ascii="Calibri" w:hAnsi="Calibri" w:cs="Calibri"/>
          <w:sz w:val="20"/>
          <w:szCs w:val="20"/>
        </w:rPr>
        <w:t xml:space="preserve"> </w:t>
      </w:r>
      <w:r w:rsidR="00C378AE" w:rsidRPr="002A6E68">
        <w:rPr>
          <w:rFonts w:ascii="Calibri" w:hAnsi="Calibri" w:cs="Calibri"/>
          <w:sz w:val="20"/>
          <w:szCs w:val="20"/>
        </w:rPr>
        <w:t xml:space="preserve">244_NCI, 251_NCI, </w:t>
      </w:r>
      <w:r w:rsidR="00C378AE" w:rsidRPr="002A6E68">
        <w:rPr>
          <w:rFonts w:ascii="Calibri" w:hAnsi="Calibri" w:cs="Calibri"/>
          <w:color w:val="000000" w:themeColor="text1"/>
          <w:sz w:val="20"/>
          <w:szCs w:val="20"/>
        </w:rPr>
        <w:t xml:space="preserve">259_NCI, </w:t>
      </w:r>
      <w:r w:rsidR="00C378AE" w:rsidRPr="002A6E68">
        <w:rPr>
          <w:rFonts w:ascii="Calibri" w:hAnsi="Calibri" w:cs="Calibri"/>
          <w:sz w:val="20"/>
          <w:szCs w:val="20"/>
        </w:rPr>
        <w:t>267_NCI, 319_NIDCR,</w:t>
      </w:r>
      <w:r w:rsidR="00C378AE" w:rsidRPr="002A6E68">
        <w:rPr>
          <w:rFonts w:ascii="Calibri" w:eastAsia="Times New Roman" w:hAnsi="Calibri" w:cs="Calibri"/>
          <w:color w:val="000000"/>
          <w:kern w:val="0"/>
          <w:sz w:val="20"/>
          <w:szCs w:val="20"/>
          <w14:ligatures w14:val="none"/>
        </w:rPr>
        <w:t xml:space="preserve"> 332_NIDCR</w:t>
      </w:r>
    </w:p>
    <w:p w14:paraId="6B063EC5" w14:textId="77777777" w:rsidR="00C378AE" w:rsidRPr="002A6E68" w:rsidRDefault="00C378AE" w:rsidP="003F61B7">
      <w:pPr>
        <w:rPr>
          <w:rFonts w:ascii="Calibri" w:hAnsi="Calibri" w:cs="Calibri"/>
          <w:b/>
          <w:bCs/>
          <w:sz w:val="20"/>
          <w:szCs w:val="20"/>
        </w:rPr>
      </w:pPr>
    </w:p>
    <w:p w14:paraId="09BBC0A9" w14:textId="77777777" w:rsidR="00C628F5" w:rsidRPr="00C628F5" w:rsidRDefault="00C628F5" w:rsidP="00C628F5">
      <w:pPr>
        <w:rPr>
          <w:rFonts w:ascii="Calibri" w:hAnsi="Calibri" w:cs="Calibri"/>
          <w:b/>
          <w:bCs/>
          <w:sz w:val="20"/>
          <w:szCs w:val="20"/>
        </w:rPr>
      </w:pPr>
      <w:r w:rsidRPr="00C628F5">
        <w:rPr>
          <w:rFonts w:ascii="Calibri" w:hAnsi="Calibri" w:cs="Calibri"/>
          <w:b/>
          <w:bCs/>
          <w:sz w:val="20"/>
          <w:szCs w:val="20"/>
        </w:rPr>
        <w:t>UID 110_NIAMS</w:t>
      </w:r>
    </w:p>
    <w:p w14:paraId="02DABA49" w14:textId="6D2C3DC4" w:rsidR="00C628F5" w:rsidRPr="00C628F5" w:rsidRDefault="00303597" w:rsidP="001C78D9">
      <w:pPr>
        <w:jc w:val="both"/>
        <w:rPr>
          <w:rFonts w:ascii="Calibri" w:hAnsi="Calibri" w:cs="Calibri"/>
        </w:rPr>
      </w:pPr>
      <w:r w:rsidRPr="00303597">
        <w:rPr>
          <w:rFonts w:ascii="Calibri" w:hAnsi="Calibri" w:cs="Calibri"/>
        </w:rPr>
        <w:t>People with BAP1 tumor predisposition syndrome (TPDS) are at increased risk of developing cancerous tumors of the skin, eye, kidney, and mesothelium (the tissue that lines the chest and abdomen)</w:t>
      </w:r>
      <w:r>
        <w:rPr>
          <w:rFonts w:ascii="Calibri" w:hAnsi="Calibri" w:cs="Calibri"/>
        </w:rPr>
        <w:t xml:space="preserve">. </w:t>
      </w:r>
      <w:r w:rsidR="00C628F5" w:rsidRPr="00C628F5">
        <w:rPr>
          <w:rFonts w:ascii="Calibri" w:hAnsi="Calibri" w:cs="Calibri"/>
        </w:rPr>
        <w:t xml:space="preserve">Recent NIAMS-led research reveals that multiple onychopapillomas—a benign nail tumor presenting as longitudinal leukonychia, keratotic papules, or distal splitting—are a striking cutaneous clue to </w:t>
      </w:r>
      <w:r w:rsidR="00C628F5" w:rsidRPr="00C628F5">
        <w:rPr>
          <w:rFonts w:ascii="Calibri" w:hAnsi="Calibri" w:cs="Calibri"/>
          <w:i/>
          <w:iCs/>
        </w:rPr>
        <w:t>BRCA1-associated protein 1</w:t>
      </w:r>
      <w:r w:rsidR="00C628F5" w:rsidRPr="00C628F5">
        <w:rPr>
          <w:rFonts w:ascii="Calibri" w:hAnsi="Calibri" w:cs="Calibri"/>
        </w:rPr>
        <w:t xml:space="preserve"> (BAP1) tumor-predisposition syndrome (TPDS). In a prospective cohort of 47 germline-confirmed carriers from 35 families, 87 </w:t>
      </w:r>
      <w:r w:rsidR="005C5160">
        <w:rPr>
          <w:rFonts w:ascii="Calibri" w:hAnsi="Calibri" w:cs="Calibri"/>
        </w:rPr>
        <w:t>percent</w:t>
      </w:r>
      <w:r w:rsidR="00C628F5" w:rsidRPr="00C628F5">
        <w:rPr>
          <w:rFonts w:ascii="Calibri" w:hAnsi="Calibri" w:cs="Calibri"/>
        </w:rPr>
        <w:t xml:space="preserve"> of adults displayed these nail changes, a prevalence far above background rates, suggesting high diagnostic specificity.</w:t>
      </w:r>
      <w:r w:rsidR="005C5160">
        <w:rPr>
          <w:rFonts w:ascii="Calibri" w:hAnsi="Calibri" w:cs="Calibri"/>
        </w:rPr>
        <w:t xml:space="preserve"> </w:t>
      </w:r>
      <w:r w:rsidR="005C5160">
        <w:rPr>
          <w:rStyle w:val="FootnoteReference"/>
          <w:rFonts w:ascii="Calibri" w:hAnsi="Calibri" w:cs="Calibri"/>
        </w:rPr>
        <w:footnoteReference w:id="76"/>
      </w:r>
      <w:r w:rsidR="00C628F5" w:rsidRPr="00C628F5">
        <w:rPr>
          <w:rFonts w:ascii="Calibri" w:hAnsi="Calibri" w:cs="Calibri"/>
        </w:rPr>
        <w:t xml:space="preserve"> Because TPDS confers lifelong risks of uveal and cutaneous melanoma, mesothelioma, renal cell carcinoma, and other malignancies, the authors recommend routine nail examinations in individuals with personal or family histories of BAP1-associated cancers, followed by cascade genetic testing when abnormalities are found. Integrating this simple screening step into dermatology and primary-care visits could hasten syndrome recognition, enable earlier organ-specific surveillance, and improve long-term outcomes for affected families.</w:t>
      </w:r>
    </w:p>
    <w:p w14:paraId="3423009F" w14:textId="77777777" w:rsidR="00683AF0" w:rsidRDefault="00683AF0" w:rsidP="003F61B7">
      <w:pPr>
        <w:rPr>
          <w:rFonts w:ascii="Calibri" w:hAnsi="Calibri" w:cs="Calibri"/>
          <w:b/>
          <w:bCs/>
          <w:sz w:val="20"/>
          <w:szCs w:val="20"/>
        </w:rPr>
      </w:pPr>
    </w:p>
    <w:p w14:paraId="1614C39C" w14:textId="34121100" w:rsidR="003F61B7" w:rsidRPr="002A6E68" w:rsidRDefault="003F61B7" w:rsidP="003F61B7">
      <w:pPr>
        <w:rPr>
          <w:rFonts w:ascii="Calibri" w:hAnsi="Calibri" w:cs="Calibri"/>
          <w:b/>
          <w:bCs/>
          <w:sz w:val="20"/>
          <w:szCs w:val="20"/>
        </w:rPr>
      </w:pPr>
      <w:r w:rsidRPr="002A6E68">
        <w:rPr>
          <w:rFonts w:ascii="Calibri" w:hAnsi="Calibri" w:cs="Calibri"/>
          <w:b/>
          <w:bCs/>
          <w:sz w:val="20"/>
          <w:szCs w:val="20"/>
        </w:rPr>
        <w:t xml:space="preserve">UID 244_NCI </w:t>
      </w:r>
    </w:p>
    <w:p w14:paraId="35A106B9" w14:textId="0EBFB366" w:rsidR="003F61B7" w:rsidRPr="006B3623" w:rsidRDefault="003F61B7" w:rsidP="003F61B7">
      <w:pPr>
        <w:jc w:val="both"/>
        <w:rPr>
          <w:rFonts w:ascii="Calibri" w:hAnsi="Calibri" w:cs="Calibri"/>
          <w:color w:val="000000" w:themeColor="text1"/>
        </w:rPr>
      </w:pPr>
      <w:r w:rsidRPr="006B3623">
        <w:rPr>
          <w:rFonts w:ascii="Calibri" w:hAnsi="Calibri" w:cs="Calibri"/>
          <w:color w:val="000000" w:themeColor="text1"/>
        </w:rPr>
        <w:t>The Barrett’s Esophagus Translational Research Network (BETRNet) unites multidisciplinary teams to curb the rising incidence of esophageal adenocarcinoma (EAC) by dissecting Barrett’s Esophagus (BE) biology and improve prevention of esophageal cancers. Through expansive genomic, epigenomic, and transcriptomic profiling of rigorously curated tissue archives, the initiative has refined screening criteria, uncovered familial susceptibility genes, and generated diagnostic tools that inform early-intervention strategies. Recent BETRNet studies revealed a pathogenic caveolin-3 defect in submucosal glands that reshapes our understanding of EAC risk and identified BE-associated long intergenic non-coding RNAs with promise as progression biomarkers.</w:t>
      </w:r>
      <w:r w:rsidRPr="006B3623">
        <w:rPr>
          <w:rStyle w:val="FootnoteReference"/>
          <w:rFonts w:ascii="Calibri" w:hAnsi="Calibri" w:cs="Calibri"/>
          <w:color w:val="000000" w:themeColor="text1"/>
        </w:rPr>
        <w:footnoteReference w:id="77"/>
      </w:r>
      <w:r w:rsidRPr="006B3623">
        <w:rPr>
          <w:rFonts w:ascii="Calibri" w:hAnsi="Calibri" w:cs="Calibri"/>
          <w:color w:val="000000" w:themeColor="text1"/>
          <w:vertAlign w:val="superscript"/>
        </w:rPr>
        <w:t>,</w:t>
      </w:r>
      <w:r w:rsidRPr="006B3623">
        <w:rPr>
          <w:rStyle w:val="FootnoteReference"/>
          <w:rFonts w:ascii="Calibri" w:hAnsi="Calibri" w:cs="Calibri"/>
          <w:color w:val="000000" w:themeColor="text1"/>
        </w:rPr>
        <w:footnoteReference w:id="78"/>
      </w:r>
      <w:r w:rsidRPr="006B3623">
        <w:rPr>
          <w:rFonts w:ascii="Calibri" w:hAnsi="Calibri" w:cs="Calibri"/>
          <w:color w:val="000000" w:themeColor="text1"/>
        </w:rPr>
        <w:t xml:space="preserve"> Complementing these mechanistic insights, investigators demonstrated that cranberry-derived proanthocyanidins can remodel the esophageal micro- and gut microbiome and used alongside standard care, blunt bile-reflux-driven tumorigenesis.</w:t>
      </w:r>
      <w:r w:rsidRPr="006B3623">
        <w:rPr>
          <w:rStyle w:val="FootnoteReference"/>
          <w:rFonts w:ascii="Calibri" w:hAnsi="Calibri" w:cs="Calibri"/>
          <w:color w:val="000000" w:themeColor="text1"/>
        </w:rPr>
        <w:footnoteReference w:id="79"/>
      </w:r>
      <w:r w:rsidRPr="006B3623">
        <w:rPr>
          <w:rFonts w:ascii="Calibri" w:hAnsi="Calibri" w:cs="Calibri"/>
          <w:color w:val="000000" w:themeColor="text1"/>
        </w:rPr>
        <w:t xml:space="preserve"> Collectively, these discoveries position BETRNet to deliver precision detection, tailored surveillance, and innovative chemopreventive strategies against EAC.</w:t>
      </w:r>
    </w:p>
    <w:p w14:paraId="7BA360C6" w14:textId="77777777" w:rsidR="00D277AA" w:rsidRPr="002A6E68" w:rsidRDefault="00D277AA" w:rsidP="00D277AA">
      <w:pPr>
        <w:jc w:val="both"/>
        <w:rPr>
          <w:rFonts w:ascii="Calibri" w:hAnsi="Calibri" w:cs="Calibri"/>
          <w:b/>
          <w:bCs/>
          <w:sz w:val="20"/>
          <w:szCs w:val="20"/>
        </w:rPr>
      </w:pPr>
      <w:r w:rsidRPr="002A6E68">
        <w:rPr>
          <w:rFonts w:ascii="Calibri" w:hAnsi="Calibri" w:cs="Calibri"/>
          <w:b/>
          <w:bCs/>
          <w:sz w:val="20"/>
          <w:szCs w:val="20"/>
        </w:rPr>
        <w:t>UID 251_NCI</w:t>
      </w:r>
    </w:p>
    <w:p w14:paraId="45C488E9" w14:textId="6B521776" w:rsidR="00D277AA" w:rsidRPr="006B3623" w:rsidRDefault="00D277AA" w:rsidP="00D277AA">
      <w:pPr>
        <w:jc w:val="both"/>
        <w:rPr>
          <w:rFonts w:ascii="Calibri" w:hAnsi="Calibri" w:cs="Calibri"/>
        </w:rPr>
      </w:pPr>
      <w:r w:rsidRPr="006B3623">
        <w:rPr>
          <w:rFonts w:ascii="Calibri" w:hAnsi="Calibri" w:cs="Calibri"/>
        </w:rPr>
        <w:t xml:space="preserve">Launching the Self-collection for HPV Testing to Improve Prevention (SHIP) trial network, NCI’s “Last Mile” Initiative is partnering with FDA, BD, Roche, and Abbott to test whether women’s self-collected vaginal swabs can safely replace clinician-collected samples and broaden cervical-cancer screening access, </w:t>
      </w:r>
      <w:r w:rsidRPr="006B3623">
        <w:rPr>
          <w:rFonts w:ascii="Calibri" w:hAnsi="Calibri" w:cs="Calibri"/>
        </w:rPr>
        <w:lastRenderedPageBreak/>
        <w:t>particularly in rural and underserved communities.</w:t>
      </w:r>
      <w:r w:rsidRPr="006B3623">
        <w:rPr>
          <w:rStyle w:val="FootnoteReference"/>
          <w:rFonts w:ascii="Calibri" w:hAnsi="Calibri" w:cs="Calibri"/>
        </w:rPr>
        <w:footnoteReference w:id="80"/>
      </w:r>
      <w:r w:rsidRPr="006B3623">
        <w:rPr>
          <w:rFonts w:ascii="Calibri" w:hAnsi="Calibri" w:cs="Calibri"/>
        </w:rPr>
        <w:t xml:space="preserve"> The multi-site platform will enroll up to 20,000 participants and rigorously compare accuracy, usability, and cost-effectiveness of patient- versus provider-collected primary HPV testing, translating calls for more flexible screening tools.</w:t>
      </w:r>
      <w:r w:rsidRPr="006B3623">
        <w:rPr>
          <w:rStyle w:val="FootnoteReference"/>
          <w:rFonts w:ascii="Calibri" w:hAnsi="Calibri" w:cs="Calibri"/>
        </w:rPr>
        <w:footnoteReference w:id="81"/>
      </w:r>
      <w:r w:rsidRPr="006B3623">
        <w:rPr>
          <w:rFonts w:ascii="Calibri" w:hAnsi="Calibri" w:cs="Calibri"/>
        </w:rPr>
        <w:t xml:space="preserve"> A recent meta-analysis already shows high concordance between self- and clinician-collected specimens, strengthening the scientific rationale for SHIP and for future FDA label expansions.</w:t>
      </w:r>
      <w:r w:rsidRPr="006B3623">
        <w:rPr>
          <w:rStyle w:val="FootnoteReference"/>
          <w:rFonts w:ascii="Calibri" w:hAnsi="Calibri" w:cs="Calibri"/>
        </w:rPr>
        <w:footnoteReference w:id="82"/>
      </w:r>
      <w:r w:rsidRPr="006B3623">
        <w:rPr>
          <w:rFonts w:ascii="Calibri" w:hAnsi="Calibri" w:cs="Calibri"/>
        </w:rPr>
        <w:t xml:space="preserve"> By turning bench insights into large, pragmatic trials, could open new opportunities for improving uptake of cervical cancer screening, especially for people in rural areas.</w:t>
      </w:r>
    </w:p>
    <w:p w14:paraId="5C4C714C" w14:textId="77777777" w:rsidR="00D277AA" w:rsidRPr="002A6E68" w:rsidRDefault="00D277AA" w:rsidP="00D5769D">
      <w:pPr>
        <w:jc w:val="both"/>
        <w:rPr>
          <w:rFonts w:ascii="Calibri" w:hAnsi="Calibri" w:cs="Calibri"/>
          <w:b/>
          <w:bCs/>
          <w:sz w:val="20"/>
          <w:szCs w:val="20"/>
        </w:rPr>
      </w:pPr>
    </w:p>
    <w:p w14:paraId="55DD36A7" w14:textId="77777777" w:rsidR="00AD5CD2" w:rsidRPr="002A6E68" w:rsidRDefault="00AD5CD2" w:rsidP="00336F5F">
      <w:pPr>
        <w:jc w:val="both"/>
        <w:rPr>
          <w:rFonts w:ascii="Calibri" w:hAnsi="Calibri" w:cs="Calibri"/>
          <w:b/>
          <w:bCs/>
          <w:color w:val="000000" w:themeColor="text1"/>
          <w:sz w:val="20"/>
          <w:szCs w:val="20"/>
        </w:rPr>
      </w:pPr>
      <w:r w:rsidRPr="002A6E68">
        <w:rPr>
          <w:rFonts w:ascii="Calibri" w:hAnsi="Calibri" w:cs="Calibri"/>
          <w:b/>
          <w:bCs/>
          <w:color w:val="000000" w:themeColor="text1"/>
          <w:sz w:val="20"/>
          <w:szCs w:val="20"/>
        </w:rPr>
        <w:t>UID 259_NCI</w:t>
      </w:r>
    </w:p>
    <w:p w14:paraId="2286986F" w14:textId="4B738B5C" w:rsidR="00AD5CD2" w:rsidRPr="006B3623" w:rsidRDefault="00AD5CD2" w:rsidP="00336F5F">
      <w:pPr>
        <w:jc w:val="both"/>
        <w:rPr>
          <w:rFonts w:ascii="Calibri" w:hAnsi="Calibri" w:cs="Calibri"/>
          <w:color w:val="000000" w:themeColor="text1"/>
        </w:rPr>
      </w:pPr>
      <w:r w:rsidRPr="006B3623">
        <w:rPr>
          <w:rFonts w:ascii="Calibri" w:hAnsi="Calibri" w:cs="Calibri"/>
          <w:color w:val="000000" w:themeColor="text1"/>
        </w:rPr>
        <w:t>People with HIV bear the highest anal cancer burden worldwide, yet formal screening guidance was lacking until the NCI-led ANCHOR randomized trial showed that ablating or topically treating anal high-grade squamous intraepithelial lesions (HSIL) cut cancer incidence by more than half within 26 months</w:t>
      </w:r>
      <w:r w:rsidR="00060DA1" w:rsidRPr="006B3623">
        <w:rPr>
          <w:rFonts w:ascii="Calibri" w:hAnsi="Calibri" w:cs="Calibri"/>
          <w:color w:val="000000" w:themeColor="text1"/>
        </w:rPr>
        <w:t>.</w:t>
      </w:r>
      <w:r w:rsidR="00060DA1" w:rsidRPr="006B3623">
        <w:rPr>
          <w:rStyle w:val="FootnoteReference"/>
          <w:rFonts w:ascii="Calibri" w:hAnsi="Calibri" w:cs="Calibri"/>
          <w:color w:val="000000" w:themeColor="text1"/>
        </w:rPr>
        <w:footnoteReference w:id="83"/>
      </w:r>
      <w:r w:rsidR="008A35E0" w:rsidRPr="006B3623">
        <w:rPr>
          <w:rFonts w:ascii="Calibri" w:hAnsi="Calibri" w:cs="Calibri"/>
          <w:color w:val="000000" w:themeColor="text1"/>
        </w:rPr>
        <w:t xml:space="preserve"> </w:t>
      </w:r>
      <w:r w:rsidRPr="006B3623">
        <w:rPr>
          <w:rFonts w:ascii="Calibri" w:hAnsi="Calibri" w:cs="Calibri"/>
          <w:color w:val="000000" w:themeColor="text1"/>
        </w:rPr>
        <w:t>Building on that definitive result, the International Anal Neoplasia Society convened a multidisciplinary panel that issued the first evidence-based recommendations for routine anal-cancer screening and HSIL management in HIV-positive adults, projecting that broad adoption could avert most future cases.</w:t>
      </w:r>
      <w:r w:rsidR="005B0C83" w:rsidRPr="006B3623">
        <w:rPr>
          <w:rStyle w:val="FootnoteReference"/>
          <w:rFonts w:ascii="Calibri" w:hAnsi="Calibri" w:cs="Calibri"/>
          <w:color w:val="000000" w:themeColor="text1"/>
        </w:rPr>
        <w:footnoteReference w:id="84"/>
      </w:r>
      <w:r w:rsidRPr="006B3623">
        <w:rPr>
          <w:rFonts w:ascii="Calibri" w:hAnsi="Calibri" w:cs="Calibri"/>
          <w:color w:val="000000" w:themeColor="text1"/>
        </w:rPr>
        <w:t xml:space="preserve"> NCI amplified the findings through a high-visibility press release and multimedia outreach, sparking policy discussions on coverage and accelerating uptake of screening programs in high-burden clinics.</w:t>
      </w:r>
      <w:r w:rsidR="00336F5F" w:rsidRPr="006B3623">
        <w:rPr>
          <w:rStyle w:val="FootnoteReference"/>
          <w:rFonts w:ascii="Calibri" w:hAnsi="Calibri" w:cs="Calibri"/>
          <w:color w:val="000000" w:themeColor="text1"/>
        </w:rPr>
        <w:footnoteReference w:id="85"/>
      </w:r>
      <w:r w:rsidRPr="006B3623">
        <w:rPr>
          <w:rFonts w:ascii="Calibri" w:hAnsi="Calibri" w:cs="Calibri"/>
          <w:color w:val="000000" w:themeColor="text1"/>
        </w:rPr>
        <w:t xml:space="preserve"> Together, this bench-to-guideline pipeline illustrates how large pragmatic trials can rapidly reshape global standards </w:t>
      </w:r>
      <w:r w:rsidR="00336F5F" w:rsidRPr="006B3623">
        <w:rPr>
          <w:rFonts w:ascii="Calibri" w:hAnsi="Calibri" w:cs="Calibri"/>
          <w:color w:val="000000" w:themeColor="text1"/>
        </w:rPr>
        <w:t>that could</w:t>
      </w:r>
      <w:r w:rsidRPr="006B3623">
        <w:rPr>
          <w:rFonts w:ascii="Calibri" w:hAnsi="Calibri" w:cs="Calibri"/>
          <w:color w:val="000000" w:themeColor="text1"/>
        </w:rPr>
        <w:t xml:space="preserve"> prevent malignancies before they start.</w:t>
      </w:r>
    </w:p>
    <w:p w14:paraId="30C716A3" w14:textId="77777777" w:rsidR="00010A2E" w:rsidRPr="002A6E68" w:rsidRDefault="00010A2E" w:rsidP="00C27A59">
      <w:pPr>
        <w:rPr>
          <w:rFonts w:ascii="Calibri" w:hAnsi="Calibri" w:cs="Calibri"/>
          <w:b/>
          <w:bCs/>
          <w:sz w:val="20"/>
          <w:szCs w:val="20"/>
        </w:rPr>
      </w:pPr>
    </w:p>
    <w:p w14:paraId="0F83F558" w14:textId="3FAED250" w:rsidR="00C27A59" w:rsidRPr="002A6E68" w:rsidRDefault="00C27A59" w:rsidP="00C27A59">
      <w:pPr>
        <w:rPr>
          <w:rFonts w:ascii="Calibri" w:hAnsi="Calibri" w:cs="Calibri"/>
          <w:b/>
          <w:bCs/>
          <w:sz w:val="20"/>
          <w:szCs w:val="20"/>
        </w:rPr>
      </w:pPr>
      <w:r w:rsidRPr="002A6E68">
        <w:rPr>
          <w:rFonts w:ascii="Calibri" w:hAnsi="Calibri" w:cs="Calibri"/>
          <w:b/>
          <w:bCs/>
          <w:sz w:val="20"/>
          <w:szCs w:val="20"/>
        </w:rPr>
        <w:t xml:space="preserve">UID 267_NCI </w:t>
      </w:r>
    </w:p>
    <w:p w14:paraId="5467DD40" w14:textId="286CA578" w:rsidR="00C27A59" w:rsidRPr="006B3623" w:rsidRDefault="00C27A59" w:rsidP="00C27A59">
      <w:pPr>
        <w:jc w:val="both"/>
        <w:rPr>
          <w:rFonts w:ascii="Calibri" w:hAnsi="Calibri" w:cs="Calibri"/>
          <w:b/>
          <w:bCs/>
        </w:rPr>
      </w:pPr>
      <w:r w:rsidRPr="006B3623">
        <w:rPr>
          <w:rFonts w:ascii="Calibri" w:hAnsi="Calibri" w:cs="Calibri"/>
        </w:rPr>
        <w:t>Launched in 2024</w:t>
      </w:r>
      <w:r w:rsidR="008C4240" w:rsidRPr="006B3623">
        <w:rPr>
          <w:rFonts w:ascii="Calibri" w:hAnsi="Calibri" w:cs="Calibri"/>
        </w:rPr>
        <w:t xml:space="preserve">, </w:t>
      </w:r>
      <w:r w:rsidRPr="006B3623">
        <w:rPr>
          <w:rFonts w:ascii="Calibri" w:hAnsi="Calibri" w:cs="Calibri"/>
        </w:rPr>
        <w:t>the Cancer Screening Research Network links eight geographically diverse academic and community health-care systems to test emerging technologies that can spot cancers before symptoms arise.</w:t>
      </w:r>
      <w:r w:rsidRPr="006B3623">
        <w:rPr>
          <w:rStyle w:val="FootnoteReference"/>
          <w:rFonts w:ascii="Calibri" w:hAnsi="Calibri" w:cs="Calibri"/>
        </w:rPr>
        <w:footnoteReference w:id="86"/>
      </w:r>
      <w:r w:rsidRPr="006B3623">
        <w:rPr>
          <w:rFonts w:ascii="Calibri" w:hAnsi="Calibri" w:cs="Calibri"/>
        </w:rPr>
        <w:t xml:space="preserve"> By embedding trials in settings that serve medically underserved populations—from Veterans Affairs clinics to federally qualified health centers—the network aims to generate screening evidence that truly reflects the U.S. population. Its first effort, the Vanguard Study on Multi-Cancer Detection (planned for 2025), will enroll up to 24</w:t>
      </w:r>
      <w:r w:rsidR="008C4240" w:rsidRPr="006B3623">
        <w:rPr>
          <w:rFonts w:ascii="Calibri" w:hAnsi="Calibri" w:cs="Calibri"/>
        </w:rPr>
        <w:t>,</w:t>
      </w:r>
      <w:r w:rsidRPr="006B3623">
        <w:rPr>
          <w:rFonts w:ascii="Calibri" w:hAnsi="Calibri" w:cs="Calibri"/>
        </w:rPr>
        <w:t xml:space="preserve">000 adults to gauge the feasibility of blood-based multi-cancer detection (MCD) tests in large, randomized trials and to refine logistics such as recruitment, sample handling, and follow-up. Data from this pilot will shape a subsequent, much larger trial designed to determine whether MCD-guided screening cuts cancer mortality and how best to integrate such tests into routine care. Fred Hutchinson Cancer Center serves as the coordinating and communications hub, while seven additional </w:t>
      </w:r>
      <w:r w:rsidRPr="006B3623">
        <w:rPr>
          <w:rFonts w:ascii="Calibri" w:hAnsi="Calibri" w:cs="Calibri"/>
        </w:rPr>
        <w:lastRenderedPageBreak/>
        <w:t>sites—including Kaiser Permanente, Henry Ford + Michigan State, and Washington University—will lead regional enrollment and ensure broad demographic coverage.</w:t>
      </w:r>
      <w:r w:rsidR="004E53BF" w:rsidRPr="006B3623">
        <w:rPr>
          <w:rStyle w:val="FootnoteReference"/>
          <w:rFonts w:ascii="Calibri" w:hAnsi="Calibri" w:cs="Calibri"/>
        </w:rPr>
        <w:footnoteReference w:id="87"/>
      </w:r>
      <w:r w:rsidRPr="006B3623">
        <w:rPr>
          <w:rFonts w:ascii="Calibri" w:hAnsi="Calibri" w:cs="Calibri"/>
        </w:rPr>
        <w:t xml:space="preserve"> </w:t>
      </w:r>
    </w:p>
    <w:p w14:paraId="631C5AAD" w14:textId="77777777" w:rsidR="002450D5" w:rsidRPr="002A6E68" w:rsidRDefault="002450D5" w:rsidP="002450D5">
      <w:pPr>
        <w:jc w:val="both"/>
        <w:rPr>
          <w:rFonts w:ascii="Calibri" w:hAnsi="Calibri" w:cs="Calibri"/>
          <w:b/>
          <w:bCs/>
          <w:sz w:val="20"/>
          <w:szCs w:val="20"/>
        </w:rPr>
      </w:pPr>
      <w:r w:rsidRPr="002A6E68">
        <w:rPr>
          <w:rFonts w:ascii="Calibri" w:hAnsi="Calibri" w:cs="Calibri"/>
          <w:b/>
          <w:bCs/>
          <w:sz w:val="20"/>
          <w:szCs w:val="20"/>
        </w:rPr>
        <w:t>UID: 332_NIDCR</w:t>
      </w:r>
    </w:p>
    <w:p w14:paraId="51CF789C" w14:textId="2E5B17AE" w:rsidR="002450D5" w:rsidRPr="006B3623" w:rsidRDefault="002450D5" w:rsidP="002450D5">
      <w:pPr>
        <w:jc w:val="both"/>
        <w:rPr>
          <w:rFonts w:ascii="Calibri" w:hAnsi="Calibri" w:cs="Calibri"/>
        </w:rPr>
      </w:pPr>
      <w:r w:rsidRPr="006B3623">
        <w:rPr>
          <w:rFonts w:ascii="Calibri" w:hAnsi="Calibri" w:cs="Calibri"/>
        </w:rPr>
        <w:t>Detecting cancer early and intervening promptly can change the course of disease progression. When oral cancer is detected early, patients have a five-year survival rate of up to 80</w:t>
      </w:r>
      <w:r w:rsidR="002A6E68" w:rsidRPr="006B3623">
        <w:rPr>
          <w:rFonts w:ascii="Calibri" w:hAnsi="Calibri" w:cs="Calibri"/>
        </w:rPr>
        <w:t xml:space="preserve"> percent</w:t>
      </w:r>
      <w:r w:rsidRPr="006B3623">
        <w:rPr>
          <w:rFonts w:ascii="Calibri" w:hAnsi="Calibri" w:cs="Calibri"/>
        </w:rPr>
        <w:t>, compared to about 20</w:t>
      </w:r>
      <w:r w:rsidR="002A6E68" w:rsidRPr="006B3623">
        <w:rPr>
          <w:rFonts w:ascii="Calibri" w:hAnsi="Calibri" w:cs="Calibri"/>
        </w:rPr>
        <w:t xml:space="preserve"> percent</w:t>
      </w:r>
      <w:r w:rsidRPr="006B3623">
        <w:rPr>
          <w:rFonts w:ascii="Calibri" w:hAnsi="Calibri" w:cs="Calibri"/>
        </w:rPr>
        <w:t xml:space="preserve"> for late-stage disease. The gold standard for oral cancer screening is to biopsy suspicious tissues, which relies heavily on the experience of the clinician. To improve early detection of oral cancers, researchers at the National Institute of Dental and Craniofacial Research (NIDCR) developed a low-cost, portable active biopsy guidance system (ABGS) that integrates multimodal optical imaging with deep learning algorithms. This system enables real-time projection of cancer risk maps onto oral tissue, guiding clinicians toward high-risk regions for biopsy. By combining widefield autofluorescence imaging and microendoscopy, the ABGS improves biopsy site selection, potentially increasing diagnostic yield and facilitating earlier clinical intervention in resource-limited settings.</w:t>
      </w:r>
      <w:r w:rsidRPr="006B3623">
        <w:rPr>
          <w:rStyle w:val="FootnoteReference"/>
          <w:rFonts w:ascii="Calibri" w:hAnsi="Calibri" w:cs="Calibri"/>
        </w:rPr>
        <w:footnoteReference w:id="88"/>
      </w:r>
    </w:p>
    <w:p w14:paraId="4CD6AFA0" w14:textId="77777777" w:rsidR="002450D5" w:rsidRPr="002A6E68" w:rsidRDefault="002450D5" w:rsidP="00C067B1">
      <w:pPr>
        <w:jc w:val="both"/>
        <w:rPr>
          <w:rFonts w:ascii="Calibri" w:hAnsi="Calibri" w:cs="Calibri"/>
          <w:b/>
          <w:bCs/>
          <w:color w:val="000000" w:themeColor="text1"/>
          <w:sz w:val="20"/>
          <w:szCs w:val="20"/>
        </w:rPr>
      </w:pPr>
    </w:p>
    <w:p w14:paraId="188533DE" w14:textId="665E5B05" w:rsidR="00C067B1" w:rsidRPr="002A6E68" w:rsidRDefault="00C067B1" w:rsidP="00C067B1">
      <w:pPr>
        <w:jc w:val="both"/>
        <w:rPr>
          <w:rFonts w:ascii="Calibri" w:hAnsi="Calibri" w:cs="Calibri"/>
          <w:b/>
          <w:bCs/>
          <w:color w:val="000000" w:themeColor="text1"/>
          <w:sz w:val="20"/>
          <w:szCs w:val="20"/>
        </w:rPr>
      </w:pPr>
      <w:r w:rsidRPr="002A6E68">
        <w:rPr>
          <w:rFonts w:ascii="Calibri" w:hAnsi="Calibri" w:cs="Calibri"/>
          <w:b/>
          <w:bCs/>
          <w:color w:val="000000" w:themeColor="text1"/>
          <w:sz w:val="20"/>
          <w:szCs w:val="20"/>
        </w:rPr>
        <w:t>UID 319_NIDCR</w:t>
      </w:r>
    </w:p>
    <w:p w14:paraId="6839510B" w14:textId="2C4BE8A6" w:rsidR="00665845" w:rsidRPr="002A6E68" w:rsidRDefault="00C067B1" w:rsidP="00506537">
      <w:pPr>
        <w:jc w:val="both"/>
        <w:rPr>
          <w:rFonts w:ascii="Calibri" w:hAnsi="Calibri" w:cs="Calibri"/>
          <w:sz w:val="20"/>
          <w:szCs w:val="20"/>
        </w:rPr>
      </w:pPr>
      <w:r w:rsidRPr="006B3623">
        <w:rPr>
          <w:rFonts w:ascii="Calibri" w:hAnsi="Calibri" w:cs="Calibri"/>
          <w:color w:val="000000" w:themeColor="text1"/>
        </w:rPr>
        <w:t>Launched in 2023, the Advancing Head and Neck Cancer Early Detection Research (AHEAD) program unites NIDCR and NCI to jump-start biomarker discovery and validation studies aimed at detecting oral, pharyngeal, and laryngeal cancers at their earliest, most treatable stages.</w:t>
      </w:r>
      <w:r w:rsidRPr="006B3623">
        <w:rPr>
          <w:rStyle w:val="FootnoteReference"/>
          <w:rFonts w:ascii="Calibri" w:hAnsi="Calibri" w:cs="Calibri"/>
          <w:color w:val="000000" w:themeColor="text1"/>
        </w:rPr>
        <w:footnoteReference w:id="89"/>
      </w:r>
      <w:r w:rsidRPr="006B3623">
        <w:rPr>
          <w:rFonts w:ascii="Calibri" w:hAnsi="Calibri" w:cs="Calibri"/>
          <w:color w:val="000000" w:themeColor="text1"/>
        </w:rPr>
        <w:t xml:space="preserve"> Seven inaugural grants—totaling $4.4 million—deploy multi-omics profiling, spatial-omics, and advanced imaging to distinguish benign from premalignant lesions and to flag molecular signatures that herald malignant transformation. AHEAD investigators gain streamlined access to the NCI Early Detection Research Network infrastructure, enabling standardized specimen collection, assay harmonization, and robust analytical support that can accelerate translation of candidate markers into clinically deployable tests.</w:t>
      </w:r>
      <w:r w:rsidRPr="006B3623">
        <w:rPr>
          <w:rStyle w:val="FootnoteReference"/>
          <w:rFonts w:ascii="Calibri" w:hAnsi="Calibri" w:cs="Calibri"/>
          <w:color w:val="000000" w:themeColor="text1"/>
        </w:rPr>
        <w:footnoteReference w:id="90"/>
      </w:r>
      <w:r w:rsidRPr="006B3623">
        <w:rPr>
          <w:rFonts w:ascii="Calibri" w:hAnsi="Calibri" w:cs="Calibri"/>
          <w:color w:val="000000" w:themeColor="text1"/>
        </w:rPr>
        <w:t xml:space="preserve"> By marrying innovative technologies with a trans-NIH resource hub, the initiative lays the groundwork for risk-stratified screening strategies that could raise survival and quality of life for the more than 65,000 Americans diagnosed with head and neck cancers each year</w:t>
      </w:r>
      <w:r w:rsidR="00506537" w:rsidRPr="006B3623">
        <w:rPr>
          <w:rFonts w:ascii="Calibri" w:hAnsi="Calibri" w:cs="Calibri"/>
          <w:color w:val="000000" w:themeColor="text1"/>
        </w:rPr>
        <w:t>.</w:t>
      </w:r>
      <w:r w:rsidR="00665845" w:rsidRPr="002A6E68">
        <w:rPr>
          <w:rFonts w:ascii="Calibri" w:hAnsi="Calibri" w:cs="Calibri"/>
          <w:sz w:val="20"/>
          <w:szCs w:val="20"/>
        </w:rPr>
        <w:br w:type="page"/>
      </w:r>
    </w:p>
    <w:p w14:paraId="682C3AFE" w14:textId="46754C90" w:rsidR="00955A1B" w:rsidRPr="002A6E68" w:rsidRDefault="00955A1B" w:rsidP="00955A1B">
      <w:pPr>
        <w:pStyle w:val="Heading2"/>
        <w:rPr>
          <w:rFonts w:ascii="Calibri" w:hAnsi="Calibri" w:cs="Calibri"/>
          <w:sz w:val="28"/>
          <w:szCs w:val="28"/>
        </w:rPr>
      </w:pPr>
      <w:r w:rsidRPr="002A6E68">
        <w:rPr>
          <w:rFonts w:ascii="Calibri" w:hAnsi="Calibri" w:cs="Calibri"/>
          <w:sz w:val="28"/>
          <w:szCs w:val="28"/>
        </w:rPr>
        <w:lastRenderedPageBreak/>
        <w:t>Tumor Microenvironment &amp; Immunology</w:t>
      </w:r>
    </w:p>
    <w:p w14:paraId="7D168006" w14:textId="7397F43A" w:rsidR="00025991" w:rsidRPr="002A6E68" w:rsidRDefault="00D36066" w:rsidP="00025991">
      <w:pPr>
        <w:spacing w:after="0" w:line="240" w:lineRule="auto"/>
        <w:rPr>
          <w:rFonts w:ascii="Calibri" w:eastAsia="Times New Roman" w:hAnsi="Calibri" w:cs="Calibri"/>
          <w:color w:val="000000"/>
          <w:kern w:val="0"/>
          <w:sz w:val="20"/>
          <w:szCs w:val="20"/>
          <w14:ligatures w14:val="none"/>
        </w:rPr>
      </w:pPr>
      <w:r w:rsidRPr="002A6E68">
        <w:rPr>
          <w:rFonts w:ascii="Calibri" w:eastAsia="Times New Roman" w:hAnsi="Calibri" w:cs="Calibri"/>
          <w:color w:val="000000"/>
          <w:kern w:val="0"/>
          <w:sz w:val="20"/>
          <w:szCs w:val="20"/>
          <w14:ligatures w14:val="none"/>
        </w:rPr>
        <w:t xml:space="preserve">UIDs: </w:t>
      </w:r>
      <w:r w:rsidR="00025991" w:rsidRPr="002A6E68">
        <w:rPr>
          <w:rFonts w:ascii="Calibri" w:eastAsia="Times New Roman" w:hAnsi="Calibri" w:cs="Calibri"/>
          <w:color w:val="000000"/>
          <w:kern w:val="0"/>
          <w:sz w:val="20"/>
          <w:szCs w:val="20"/>
          <w14:ligatures w14:val="none"/>
        </w:rPr>
        <w:t xml:space="preserve">266_NCI, </w:t>
      </w:r>
      <w:r w:rsidR="00AE1F95" w:rsidRPr="002A6E68">
        <w:rPr>
          <w:rFonts w:ascii="Calibri" w:hAnsi="Calibri" w:cs="Calibri"/>
          <w:sz w:val="20"/>
          <w:szCs w:val="20"/>
        </w:rPr>
        <w:t>276_NCI</w:t>
      </w:r>
      <w:r w:rsidR="00AE1F95" w:rsidRPr="002A6E68">
        <w:rPr>
          <w:rFonts w:ascii="Calibri" w:eastAsia="Times New Roman" w:hAnsi="Calibri" w:cs="Calibri"/>
          <w:color w:val="000000"/>
          <w:kern w:val="0"/>
          <w:sz w:val="20"/>
          <w:szCs w:val="20"/>
          <w14:ligatures w14:val="none"/>
        </w:rPr>
        <w:t xml:space="preserve">, </w:t>
      </w:r>
      <w:r w:rsidR="00AE1F95" w:rsidRPr="002A6E68">
        <w:rPr>
          <w:rFonts w:ascii="Calibri" w:hAnsi="Calibri" w:cs="Calibri"/>
          <w:sz w:val="20"/>
          <w:szCs w:val="20"/>
        </w:rPr>
        <w:t>280_NCI</w:t>
      </w:r>
    </w:p>
    <w:p w14:paraId="2B24A9A3" w14:textId="77777777" w:rsidR="00025991" w:rsidRPr="002A6E68" w:rsidRDefault="00025991" w:rsidP="0069039F">
      <w:pPr>
        <w:rPr>
          <w:rFonts w:ascii="Calibri" w:hAnsi="Calibri" w:cs="Calibri"/>
          <w:b/>
          <w:bCs/>
          <w:sz w:val="20"/>
          <w:szCs w:val="20"/>
        </w:rPr>
      </w:pPr>
    </w:p>
    <w:p w14:paraId="68269DB8" w14:textId="77777777" w:rsidR="00DE7B2B" w:rsidRPr="002A6E68" w:rsidRDefault="00DE7B2B" w:rsidP="00DE7B2B">
      <w:pPr>
        <w:jc w:val="both"/>
        <w:rPr>
          <w:rFonts w:ascii="Calibri" w:hAnsi="Calibri" w:cs="Calibri"/>
          <w:b/>
          <w:bCs/>
          <w:sz w:val="20"/>
          <w:szCs w:val="20"/>
        </w:rPr>
      </w:pPr>
      <w:r w:rsidRPr="002A6E68">
        <w:rPr>
          <w:rFonts w:ascii="Calibri" w:hAnsi="Calibri" w:cs="Calibri"/>
          <w:b/>
          <w:bCs/>
          <w:sz w:val="20"/>
          <w:szCs w:val="20"/>
        </w:rPr>
        <w:t>UID 266_NCI</w:t>
      </w:r>
    </w:p>
    <w:p w14:paraId="2C7D9275" w14:textId="75A8551D" w:rsidR="00DE7B2B" w:rsidRPr="002F0386" w:rsidRDefault="00DE7B2B" w:rsidP="00DE7B2B">
      <w:pPr>
        <w:jc w:val="both"/>
        <w:rPr>
          <w:rFonts w:ascii="Calibri" w:hAnsi="Calibri" w:cs="Calibri"/>
        </w:rPr>
      </w:pPr>
      <w:r w:rsidRPr="002F0386">
        <w:rPr>
          <w:rFonts w:ascii="Calibri" w:hAnsi="Calibri" w:cs="Calibri"/>
        </w:rPr>
        <w:t xml:space="preserve">Mining thousands of paired germline–tumor genomes, NCI‐supported researchers uncovered that inherited immune‐related variants </w:t>
      </w:r>
      <w:r w:rsidR="00A651DA" w:rsidRPr="002F0386">
        <w:rPr>
          <w:rFonts w:ascii="Calibri" w:hAnsi="Calibri" w:cs="Calibri"/>
        </w:rPr>
        <w:t>affect how their tumors interact with the immune system in a process called germline-mediated immunoediting</w:t>
      </w:r>
      <w:r w:rsidRPr="002F0386">
        <w:rPr>
          <w:rFonts w:ascii="Calibri" w:hAnsi="Calibri" w:cs="Calibri"/>
        </w:rPr>
        <w:t>.</w:t>
      </w:r>
      <w:r w:rsidR="00B23C25" w:rsidRPr="002F0386">
        <w:rPr>
          <w:rStyle w:val="FootnoteReference"/>
          <w:rFonts w:ascii="Calibri" w:hAnsi="Calibri" w:cs="Calibri"/>
        </w:rPr>
        <w:footnoteReference w:id="91"/>
      </w:r>
      <w:r w:rsidRPr="002F0386">
        <w:rPr>
          <w:rFonts w:ascii="Calibri" w:hAnsi="Calibri" w:cs="Calibri"/>
        </w:rPr>
        <w:t xml:space="preserve"> </w:t>
      </w:r>
      <w:r w:rsidR="00EF3228" w:rsidRPr="002F0386">
        <w:rPr>
          <w:rFonts w:ascii="Calibri" w:hAnsi="Calibri" w:cs="Calibri"/>
        </w:rPr>
        <w:t>By integrating constitutional genetics into recurrence-risk algorithms this study found that germline-mediated immunoediting shapes breast cancer subtypes and influences how tumors evolve and progress to metastatic disease. These results enhance our understanding of breast cancer origins and uncover biomarkers that could be used to forecast tumor progression and predict a patient’s risk of invasive breast cancer recurrence</w:t>
      </w:r>
      <w:r w:rsidRPr="002F0386">
        <w:rPr>
          <w:rFonts w:ascii="Calibri" w:hAnsi="Calibri" w:cs="Calibri"/>
        </w:rPr>
        <w:t xml:space="preserve"> and opens a new avenue for leveraging inherited immunity in precision oncology.</w:t>
      </w:r>
    </w:p>
    <w:p w14:paraId="407D17D2" w14:textId="77777777" w:rsidR="005333CB" w:rsidRPr="002A6E68" w:rsidRDefault="005333CB" w:rsidP="00217D04">
      <w:pPr>
        <w:jc w:val="both"/>
        <w:rPr>
          <w:rFonts w:ascii="Calibri" w:hAnsi="Calibri" w:cs="Calibri"/>
          <w:b/>
          <w:bCs/>
          <w:sz w:val="20"/>
          <w:szCs w:val="20"/>
        </w:rPr>
      </w:pPr>
    </w:p>
    <w:p w14:paraId="7B6F303E" w14:textId="77777777" w:rsidR="00696572" w:rsidRPr="002A6E68" w:rsidRDefault="00696572" w:rsidP="00696572">
      <w:pPr>
        <w:jc w:val="both"/>
        <w:rPr>
          <w:rFonts w:ascii="Calibri" w:hAnsi="Calibri" w:cs="Calibri"/>
          <w:b/>
          <w:bCs/>
          <w:sz w:val="20"/>
          <w:szCs w:val="20"/>
        </w:rPr>
      </w:pPr>
      <w:r w:rsidRPr="002A6E68">
        <w:rPr>
          <w:rFonts w:ascii="Calibri" w:hAnsi="Calibri" w:cs="Calibri"/>
          <w:b/>
          <w:bCs/>
          <w:sz w:val="20"/>
          <w:szCs w:val="20"/>
        </w:rPr>
        <w:t>UID 276_NCI</w:t>
      </w:r>
    </w:p>
    <w:p w14:paraId="739AC30A" w14:textId="21F8724C" w:rsidR="00696572" w:rsidRPr="002F0386" w:rsidRDefault="00696572" w:rsidP="00696572">
      <w:pPr>
        <w:jc w:val="both"/>
        <w:rPr>
          <w:rFonts w:ascii="Calibri" w:hAnsi="Calibri" w:cs="Calibri"/>
        </w:rPr>
      </w:pPr>
      <w:r w:rsidRPr="002F0386">
        <w:rPr>
          <w:rFonts w:ascii="Calibri" w:hAnsi="Calibri" w:cs="Calibri"/>
        </w:rPr>
        <w:t>Solid tumors grow inside a busy “neighborhood” of blood vessels, extracellular-matrix scaffolding, and diverse support cells collectively called the tumor microenvironment. Using lineage-tracing and selective cell ablation in mouse models of pancreatic ductal adenocarcinoma, NCI researchers parsed this neighborhood’s connective-tissue residents—cancer-associated fibroblasts (CAFs)—and uncovered a small subset that originates from pancreatic stellate cells. These stellate-derived CAFs lay down an especially dense matrix, stiffen the tumor, and block immune-cell entry, thereby giving the cancer a decisive survival edge. Single-cell RNA-sequencing revealed signaling circuits that distinguish this subset from other fibroblast lineages and expose unique molecular weak points.</w:t>
      </w:r>
      <w:r w:rsidRPr="002F0386">
        <w:rPr>
          <w:rStyle w:val="FootnoteReference"/>
          <w:rFonts w:ascii="Calibri" w:hAnsi="Calibri" w:cs="Calibri"/>
        </w:rPr>
        <w:footnoteReference w:id="92"/>
      </w:r>
      <w:r w:rsidRPr="002F0386">
        <w:rPr>
          <w:rFonts w:ascii="Calibri" w:hAnsi="Calibri" w:cs="Calibri"/>
        </w:rPr>
        <w:t xml:space="preserve"> The study shows that microenvironmental cues and lineage history create functionally distinct CAF subtypes and suggests that selectively disabling the most tumor-supportive faction could make pancreatic tumors more susceptible to therapy.</w:t>
      </w:r>
    </w:p>
    <w:p w14:paraId="05CEA80B" w14:textId="77777777" w:rsidR="00F82046" w:rsidRPr="002A6E68" w:rsidRDefault="00F82046" w:rsidP="00F82046">
      <w:pPr>
        <w:jc w:val="both"/>
        <w:rPr>
          <w:rFonts w:ascii="Calibri" w:hAnsi="Calibri" w:cs="Calibri"/>
          <w:b/>
          <w:bCs/>
          <w:sz w:val="20"/>
          <w:szCs w:val="20"/>
        </w:rPr>
      </w:pPr>
      <w:r w:rsidRPr="002A6E68">
        <w:rPr>
          <w:rFonts w:ascii="Calibri" w:hAnsi="Calibri" w:cs="Calibri"/>
          <w:b/>
          <w:bCs/>
          <w:sz w:val="20"/>
          <w:szCs w:val="20"/>
        </w:rPr>
        <w:t>UID 280_NCI</w:t>
      </w:r>
    </w:p>
    <w:p w14:paraId="64117181" w14:textId="77777777" w:rsidR="00F82046" w:rsidRPr="002F0386" w:rsidRDefault="00F82046" w:rsidP="00F82046">
      <w:pPr>
        <w:jc w:val="both"/>
        <w:rPr>
          <w:rFonts w:ascii="Calibri" w:hAnsi="Calibri" w:cs="Calibri"/>
        </w:rPr>
      </w:pPr>
      <w:r w:rsidRPr="002F0386">
        <w:rPr>
          <w:rFonts w:ascii="Calibri" w:hAnsi="Calibri" w:cs="Calibri"/>
        </w:rPr>
        <w:t>Neoantigens are unique proteins found on the surface of cancer cells that arise from mutations in the cancer cell’s DNA; they help the immune system identify and mount a response against cancer cells, and because of this are used in cancer vaccines and other immunotherapies. Personalized cancer vaccines rely on pinpointing tumor-specific mutations that can galvanize an immune response. To tame that complexity, NCI investigators built pVACtools and its interactive module pVACview, which predict, rank, and visually annotate candidate neoantigens.</w:t>
      </w:r>
      <w:r w:rsidRPr="002F0386">
        <w:rPr>
          <w:rStyle w:val="FootnoteReference"/>
          <w:rFonts w:ascii="Calibri" w:hAnsi="Calibri" w:cs="Calibri"/>
        </w:rPr>
        <w:footnoteReference w:id="93"/>
      </w:r>
      <w:r w:rsidRPr="002F0386">
        <w:rPr>
          <w:rFonts w:ascii="Calibri" w:hAnsi="Calibri" w:cs="Calibri"/>
        </w:rPr>
        <w:t xml:space="preserve"> By packaging prediction, prioritization, and visualization into one open-source workflow, the suite trims months off the design cycle and offers clinicians a transparent roadmap from sequence to syringe. Leveraging the pipeline, the team manufactured multi-epitope DNA vaccines and, in a phase I trial for triple-negative breast cancer, showed the shots were safe, feasible, and elicited </w:t>
      </w:r>
      <w:r w:rsidRPr="002F0386">
        <w:rPr>
          <w:rFonts w:ascii="Calibri" w:hAnsi="Calibri" w:cs="Calibri"/>
        </w:rPr>
        <w:lastRenderedPageBreak/>
        <w:t>neoantigen-specific T-cell responses in 14 of 18 high-risk patients.</w:t>
      </w:r>
      <w:r w:rsidRPr="002F0386">
        <w:rPr>
          <w:rStyle w:val="FootnoteReference"/>
          <w:rFonts w:ascii="Calibri" w:hAnsi="Calibri" w:cs="Calibri"/>
        </w:rPr>
        <w:footnoteReference w:id="94"/>
      </w:r>
      <w:r w:rsidRPr="002F0386">
        <w:rPr>
          <w:rFonts w:ascii="Calibri" w:hAnsi="Calibri" w:cs="Calibri"/>
        </w:rPr>
        <w:t xml:space="preserve"> These advances sketch a practical blueprint for scaling bespoke vaccines to aggressive solid tumors that have few therapeutic options.</w:t>
      </w:r>
    </w:p>
    <w:p w14:paraId="3C0FEF4F" w14:textId="29CC18D8" w:rsidR="00D53753" w:rsidRPr="002A6E68" w:rsidRDefault="00D53753">
      <w:pPr>
        <w:rPr>
          <w:rFonts w:ascii="Calibri" w:hAnsi="Calibri" w:cs="Calibri"/>
          <w:sz w:val="20"/>
          <w:szCs w:val="20"/>
        </w:rPr>
      </w:pPr>
      <w:r w:rsidRPr="002A6E68">
        <w:rPr>
          <w:rFonts w:ascii="Calibri" w:hAnsi="Calibri" w:cs="Calibri"/>
          <w:sz w:val="20"/>
          <w:szCs w:val="20"/>
        </w:rPr>
        <w:br w:type="page"/>
      </w:r>
    </w:p>
    <w:p w14:paraId="15E1EBAA" w14:textId="11D7547C" w:rsidR="00C95208" w:rsidRPr="002A6E68" w:rsidRDefault="00D53753" w:rsidP="00D53753">
      <w:pPr>
        <w:pStyle w:val="Heading2"/>
        <w:rPr>
          <w:rFonts w:ascii="Calibri" w:hAnsi="Calibri" w:cs="Calibri"/>
          <w:sz w:val="28"/>
          <w:szCs w:val="28"/>
        </w:rPr>
      </w:pPr>
      <w:r w:rsidRPr="002A6E68">
        <w:rPr>
          <w:rFonts w:ascii="Calibri" w:hAnsi="Calibri" w:cs="Calibri"/>
          <w:sz w:val="28"/>
          <w:szCs w:val="28"/>
        </w:rPr>
        <w:lastRenderedPageBreak/>
        <w:t>Acronyms</w:t>
      </w:r>
    </w:p>
    <w:p w14:paraId="4D6ABE93" w14:textId="1CDF0765" w:rsidR="00D53753" w:rsidRPr="003300FE" w:rsidRDefault="00D53753" w:rsidP="00D53753">
      <w:pPr>
        <w:numPr>
          <w:ilvl w:val="0"/>
          <w:numId w:val="5"/>
        </w:numPr>
        <w:jc w:val="both"/>
        <w:rPr>
          <w:rFonts w:ascii="Calibri" w:hAnsi="Calibri" w:cs="Calibri"/>
        </w:rPr>
      </w:pPr>
      <w:r w:rsidRPr="003300FE">
        <w:rPr>
          <w:rFonts w:ascii="Calibri" w:hAnsi="Calibri" w:cs="Calibri"/>
          <w:b/>
          <w:bCs/>
        </w:rPr>
        <w:t>ABGS</w:t>
      </w:r>
      <w:r w:rsidRPr="003300FE">
        <w:rPr>
          <w:rFonts w:ascii="Calibri" w:hAnsi="Calibri" w:cs="Calibri"/>
        </w:rPr>
        <w:t xml:space="preserve"> — active biopsy guidance system </w:t>
      </w:r>
    </w:p>
    <w:p w14:paraId="131DF089" w14:textId="05267F84" w:rsidR="00D53753" w:rsidRPr="003300FE" w:rsidRDefault="00434AC8" w:rsidP="00D53753">
      <w:pPr>
        <w:numPr>
          <w:ilvl w:val="0"/>
          <w:numId w:val="5"/>
        </w:numPr>
        <w:jc w:val="both"/>
        <w:rPr>
          <w:rFonts w:ascii="Calibri" w:hAnsi="Calibri" w:cs="Calibri"/>
        </w:rPr>
      </w:pPr>
      <w:r w:rsidRPr="003300FE">
        <w:rPr>
          <w:rFonts w:ascii="Calibri" w:hAnsi="Calibri" w:cs="Calibri"/>
          <w:b/>
          <w:bCs/>
        </w:rPr>
        <w:t>ACR</w:t>
      </w:r>
      <w:r w:rsidR="00D53753" w:rsidRPr="003300FE">
        <w:rPr>
          <w:rFonts w:ascii="Calibri" w:hAnsi="Calibri" w:cs="Calibri"/>
        </w:rPr>
        <w:t>— American College of Radiology</w:t>
      </w:r>
    </w:p>
    <w:p w14:paraId="7EA17728" w14:textId="4FECF68F" w:rsidR="00D53753" w:rsidRPr="003300FE" w:rsidRDefault="00D53753" w:rsidP="00D53753">
      <w:pPr>
        <w:numPr>
          <w:ilvl w:val="0"/>
          <w:numId w:val="5"/>
        </w:numPr>
        <w:jc w:val="both"/>
        <w:rPr>
          <w:rFonts w:ascii="Calibri" w:hAnsi="Calibri" w:cs="Calibri"/>
        </w:rPr>
      </w:pPr>
      <w:r w:rsidRPr="003300FE">
        <w:rPr>
          <w:rFonts w:ascii="Calibri" w:hAnsi="Calibri" w:cs="Calibri"/>
          <w:b/>
          <w:bCs/>
        </w:rPr>
        <w:t>AHEAD</w:t>
      </w:r>
      <w:r w:rsidRPr="003300FE">
        <w:rPr>
          <w:rFonts w:ascii="Calibri" w:hAnsi="Calibri" w:cs="Calibri"/>
        </w:rPr>
        <w:t xml:space="preserve"> — Advancing Head and Neck Cancer Early Detection </w:t>
      </w:r>
      <w:r w:rsidR="00434AC8" w:rsidRPr="003300FE">
        <w:rPr>
          <w:rFonts w:ascii="Calibri" w:hAnsi="Calibri" w:cs="Calibri"/>
        </w:rPr>
        <w:t>Research Program</w:t>
      </w:r>
    </w:p>
    <w:p w14:paraId="13652D00" w14:textId="26C7687F" w:rsidR="00D53753" w:rsidRPr="003300FE" w:rsidRDefault="00D53753" w:rsidP="00D53753">
      <w:pPr>
        <w:numPr>
          <w:ilvl w:val="0"/>
          <w:numId w:val="5"/>
        </w:numPr>
        <w:jc w:val="both"/>
        <w:rPr>
          <w:rFonts w:ascii="Calibri" w:hAnsi="Calibri" w:cs="Calibri"/>
        </w:rPr>
      </w:pPr>
      <w:r w:rsidRPr="003300FE">
        <w:rPr>
          <w:rFonts w:ascii="Calibri" w:hAnsi="Calibri" w:cs="Calibri"/>
          <w:b/>
          <w:bCs/>
        </w:rPr>
        <w:t>AI</w:t>
      </w:r>
      <w:r w:rsidRPr="003300FE">
        <w:rPr>
          <w:rFonts w:ascii="Calibri" w:hAnsi="Calibri" w:cs="Calibri"/>
        </w:rPr>
        <w:t xml:space="preserve"> — artificial intelligence,</w:t>
      </w:r>
    </w:p>
    <w:p w14:paraId="2B7C0908" w14:textId="46879A9D" w:rsidR="00D53753" w:rsidRPr="003300FE" w:rsidRDefault="00D53753" w:rsidP="00D53753">
      <w:pPr>
        <w:numPr>
          <w:ilvl w:val="0"/>
          <w:numId w:val="5"/>
        </w:numPr>
        <w:jc w:val="both"/>
        <w:rPr>
          <w:rFonts w:ascii="Calibri" w:hAnsi="Calibri" w:cs="Calibri"/>
        </w:rPr>
      </w:pPr>
      <w:r w:rsidRPr="003300FE">
        <w:rPr>
          <w:rFonts w:ascii="Calibri" w:hAnsi="Calibri" w:cs="Calibri"/>
          <w:b/>
          <w:bCs/>
        </w:rPr>
        <w:t>AMPA</w:t>
      </w:r>
      <w:r w:rsidRPr="003300FE">
        <w:rPr>
          <w:rFonts w:ascii="Calibri" w:hAnsi="Calibri" w:cs="Calibri"/>
        </w:rPr>
        <w:t xml:space="preserve"> — aminomethyl</w:t>
      </w:r>
      <w:r w:rsidRPr="003300FE">
        <w:rPr>
          <w:rFonts w:ascii="Calibri" w:hAnsi="Calibri" w:cs="Calibri"/>
        </w:rPr>
        <w:softHyphen/>
        <w:t>phosphonic acid</w:t>
      </w:r>
    </w:p>
    <w:p w14:paraId="50733BF1"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AYAs</w:t>
      </w:r>
      <w:r w:rsidRPr="003300FE">
        <w:rPr>
          <w:rFonts w:ascii="Calibri" w:hAnsi="Calibri" w:cs="Calibri"/>
        </w:rPr>
        <w:t xml:space="preserve"> — adolescents and young adults with cancer (≈15-39 yr) </w:t>
      </w:r>
    </w:p>
    <w:p w14:paraId="6FCF63B1" w14:textId="5B4358F1" w:rsidR="00D53753" w:rsidRPr="003300FE" w:rsidRDefault="00D53753" w:rsidP="00D53753">
      <w:pPr>
        <w:numPr>
          <w:ilvl w:val="0"/>
          <w:numId w:val="5"/>
        </w:numPr>
        <w:jc w:val="both"/>
        <w:rPr>
          <w:rFonts w:ascii="Calibri" w:hAnsi="Calibri" w:cs="Calibri"/>
        </w:rPr>
      </w:pPr>
      <w:r w:rsidRPr="003300FE">
        <w:rPr>
          <w:rFonts w:ascii="Calibri" w:hAnsi="Calibri" w:cs="Calibri"/>
          <w:b/>
          <w:bCs/>
        </w:rPr>
        <w:t>BD</w:t>
      </w:r>
      <w:r w:rsidRPr="003300FE">
        <w:rPr>
          <w:rFonts w:ascii="Calibri" w:hAnsi="Calibri" w:cs="Calibri"/>
        </w:rPr>
        <w:t xml:space="preserve"> — Becton, Dickinson &amp; Co </w:t>
      </w:r>
    </w:p>
    <w:p w14:paraId="023060A9" w14:textId="11023A67" w:rsidR="00D53753" w:rsidRPr="003300FE" w:rsidRDefault="00D53753" w:rsidP="00D53753">
      <w:pPr>
        <w:numPr>
          <w:ilvl w:val="0"/>
          <w:numId w:val="5"/>
        </w:numPr>
        <w:jc w:val="both"/>
        <w:rPr>
          <w:rFonts w:ascii="Calibri" w:hAnsi="Calibri" w:cs="Calibri"/>
        </w:rPr>
      </w:pPr>
      <w:r w:rsidRPr="003300FE">
        <w:rPr>
          <w:rFonts w:ascii="Calibri" w:hAnsi="Calibri" w:cs="Calibri"/>
          <w:b/>
          <w:bCs/>
        </w:rPr>
        <w:t>BE</w:t>
      </w:r>
      <w:r w:rsidRPr="003300FE">
        <w:rPr>
          <w:rFonts w:ascii="Calibri" w:hAnsi="Calibri" w:cs="Calibri"/>
        </w:rPr>
        <w:t xml:space="preserve"> — Barrett’s esophagus</w:t>
      </w:r>
    </w:p>
    <w:p w14:paraId="14F8E17A"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BETRNet</w:t>
      </w:r>
      <w:r w:rsidRPr="003300FE">
        <w:rPr>
          <w:rFonts w:ascii="Calibri" w:hAnsi="Calibri" w:cs="Calibri"/>
        </w:rPr>
        <w:t xml:space="preserve"> — Barrett’s Esophagus Translational Research Network (NCI) </w:t>
      </w:r>
    </w:p>
    <w:p w14:paraId="2AEED400"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BMI</w:t>
      </w:r>
      <w:r w:rsidRPr="003300FE">
        <w:rPr>
          <w:rFonts w:ascii="Calibri" w:hAnsi="Calibri" w:cs="Calibri"/>
        </w:rPr>
        <w:t xml:space="preserve"> — body-mass index (kg / m²)</w:t>
      </w:r>
    </w:p>
    <w:p w14:paraId="0730DFA8"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CAF/CAFs</w:t>
      </w:r>
      <w:r w:rsidRPr="003300FE">
        <w:rPr>
          <w:rFonts w:ascii="Calibri" w:hAnsi="Calibri" w:cs="Calibri"/>
        </w:rPr>
        <w:t xml:space="preserve"> — cancer-associated fibroblast(s) in the tumor stroma</w:t>
      </w:r>
    </w:p>
    <w:p w14:paraId="7900ED9F" w14:textId="1BFC9891" w:rsidR="00D53753" w:rsidRPr="003300FE" w:rsidRDefault="00D53753" w:rsidP="00D53753">
      <w:pPr>
        <w:numPr>
          <w:ilvl w:val="0"/>
          <w:numId w:val="5"/>
        </w:numPr>
        <w:jc w:val="both"/>
        <w:rPr>
          <w:rFonts w:ascii="Calibri" w:hAnsi="Calibri" w:cs="Calibri"/>
        </w:rPr>
      </w:pPr>
      <w:r w:rsidRPr="003300FE">
        <w:rPr>
          <w:rFonts w:ascii="Calibri" w:hAnsi="Calibri" w:cs="Calibri"/>
          <w:b/>
          <w:bCs/>
        </w:rPr>
        <w:t>CAR</w:t>
      </w:r>
      <w:r w:rsidRPr="003300FE">
        <w:rPr>
          <w:rFonts w:ascii="Calibri" w:hAnsi="Calibri" w:cs="Calibri"/>
        </w:rPr>
        <w:t xml:space="preserve"> — chimeric antigen receptor </w:t>
      </w:r>
    </w:p>
    <w:p w14:paraId="33A8D271"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CDC</w:t>
      </w:r>
      <w:r w:rsidRPr="003300FE">
        <w:rPr>
          <w:rFonts w:ascii="Calibri" w:hAnsi="Calibri" w:cs="Calibri"/>
        </w:rPr>
        <w:t xml:space="preserve"> — U.S. Centers for Disease Control and Prevention </w:t>
      </w:r>
    </w:p>
    <w:p w14:paraId="6E9DFF42" w14:textId="48ACECA2" w:rsidR="00D53753" w:rsidRPr="003300FE" w:rsidRDefault="00D53753" w:rsidP="00D53753">
      <w:pPr>
        <w:numPr>
          <w:ilvl w:val="0"/>
          <w:numId w:val="5"/>
        </w:numPr>
        <w:jc w:val="both"/>
        <w:rPr>
          <w:rFonts w:ascii="Calibri" w:hAnsi="Calibri" w:cs="Calibri"/>
        </w:rPr>
      </w:pPr>
      <w:r w:rsidRPr="003300FE">
        <w:rPr>
          <w:rFonts w:ascii="Calibri" w:hAnsi="Calibri" w:cs="Calibri"/>
          <w:b/>
          <w:bCs/>
        </w:rPr>
        <w:t>CCDI</w:t>
      </w:r>
      <w:r w:rsidRPr="003300FE">
        <w:rPr>
          <w:rFonts w:ascii="Calibri" w:hAnsi="Calibri" w:cs="Calibri"/>
        </w:rPr>
        <w:t xml:space="preserve"> — Childhood Cancer Data Initiative</w:t>
      </w:r>
    </w:p>
    <w:p w14:paraId="3E566862"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CD8</w:t>
      </w:r>
      <w:r w:rsidRPr="003300FE">
        <w:rPr>
          <w:rFonts w:ascii="Calibri" w:hAnsi="Calibri" w:cs="Calibri"/>
        </w:rPr>
        <w:t xml:space="preserve"> — cytotoxic T-cell surface glycoprotein (cluster of differentiation 8)</w:t>
      </w:r>
    </w:p>
    <w:p w14:paraId="13EF568A" w14:textId="1E5C7EB5" w:rsidR="00D53753" w:rsidRPr="003300FE" w:rsidRDefault="00D53753" w:rsidP="00D53753">
      <w:pPr>
        <w:numPr>
          <w:ilvl w:val="0"/>
          <w:numId w:val="5"/>
        </w:numPr>
        <w:jc w:val="both"/>
        <w:rPr>
          <w:rFonts w:ascii="Calibri" w:hAnsi="Calibri" w:cs="Calibri"/>
        </w:rPr>
      </w:pPr>
      <w:r w:rsidRPr="003300FE">
        <w:rPr>
          <w:rFonts w:ascii="Calibri" w:hAnsi="Calibri" w:cs="Calibri"/>
          <w:b/>
          <w:bCs/>
        </w:rPr>
        <w:t>CDH1</w:t>
      </w:r>
      <w:r w:rsidRPr="003300FE">
        <w:rPr>
          <w:rFonts w:ascii="Calibri" w:hAnsi="Calibri" w:cs="Calibri"/>
        </w:rPr>
        <w:t xml:space="preserve"> — gene for E-cadherin</w:t>
      </w:r>
    </w:p>
    <w:p w14:paraId="5FD7A4ED"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CDR</w:t>
      </w:r>
      <w:r w:rsidRPr="003300FE">
        <w:rPr>
          <w:rFonts w:ascii="Calibri" w:hAnsi="Calibri" w:cs="Calibri"/>
        </w:rPr>
        <w:t xml:space="preserve"> — complementarity-determining region of antibodies/TCRs</w:t>
      </w:r>
    </w:p>
    <w:p w14:paraId="6EDF0C29" w14:textId="72E19A1D" w:rsidR="00D53753" w:rsidRPr="003300FE" w:rsidRDefault="00D53753" w:rsidP="00D53753">
      <w:pPr>
        <w:numPr>
          <w:ilvl w:val="0"/>
          <w:numId w:val="5"/>
        </w:numPr>
        <w:jc w:val="both"/>
        <w:rPr>
          <w:rFonts w:ascii="Calibri" w:hAnsi="Calibri" w:cs="Calibri"/>
        </w:rPr>
      </w:pPr>
      <w:r w:rsidRPr="003300FE">
        <w:rPr>
          <w:rFonts w:ascii="Calibri" w:hAnsi="Calibri" w:cs="Calibri"/>
          <w:b/>
          <w:bCs/>
        </w:rPr>
        <w:t>CITE-seq</w:t>
      </w:r>
      <w:r w:rsidRPr="003300FE">
        <w:rPr>
          <w:rFonts w:ascii="Calibri" w:hAnsi="Calibri" w:cs="Calibri"/>
        </w:rPr>
        <w:t xml:space="preserve"> — Cellular Indexing of Transcriptomes and Epitopes by sequencing </w:t>
      </w:r>
    </w:p>
    <w:p w14:paraId="7DE26898" w14:textId="036F9E04" w:rsidR="00D53753" w:rsidRPr="003300FE" w:rsidRDefault="00D53753" w:rsidP="00D53753">
      <w:pPr>
        <w:numPr>
          <w:ilvl w:val="0"/>
          <w:numId w:val="5"/>
        </w:numPr>
        <w:jc w:val="both"/>
        <w:rPr>
          <w:rFonts w:ascii="Calibri" w:hAnsi="Calibri" w:cs="Calibri"/>
        </w:rPr>
      </w:pPr>
      <w:r w:rsidRPr="003300FE">
        <w:rPr>
          <w:rFonts w:ascii="Calibri" w:hAnsi="Calibri" w:cs="Calibri"/>
          <w:b/>
          <w:bCs/>
        </w:rPr>
        <w:t>ClinGen</w:t>
      </w:r>
      <w:r w:rsidRPr="003300FE">
        <w:rPr>
          <w:rFonts w:ascii="Calibri" w:hAnsi="Calibri" w:cs="Calibri"/>
        </w:rPr>
        <w:t xml:space="preserve"> — Clinical Genome Resource </w:t>
      </w:r>
    </w:p>
    <w:p w14:paraId="71D3780A" w14:textId="3023E6E5" w:rsidR="00D53753" w:rsidRPr="003300FE" w:rsidRDefault="00D53753" w:rsidP="00D53753">
      <w:pPr>
        <w:numPr>
          <w:ilvl w:val="0"/>
          <w:numId w:val="5"/>
        </w:numPr>
        <w:jc w:val="both"/>
        <w:rPr>
          <w:rFonts w:ascii="Calibri" w:hAnsi="Calibri" w:cs="Calibri"/>
        </w:rPr>
      </w:pPr>
      <w:r w:rsidRPr="003300FE">
        <w:rPr>
          <w:rFonts w:ascii="Calibri" w:hAnsi="Calibri" w:cs="Calibri"/>
          <w:b/>
          <w:bCs/>
        </w:rPr>
        <w:t>CRDC</w:t>
      </w:r>
      <w:r w:rsidRPr="003300FE">
        <w:rPr>
          <w:rFonts w:ascii="Calibri" w:hAnsi="Calibri" w:cs="Calibri"/>
        </w:rPr>
        <w:t xml:space="preserve"> — NCI Cancer Research Data Commons</w:t>
      </w:r>
    </w:p>
    <w:p w14:paraId="58B11C54"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CT</w:t>
      </w:r>
      <w:r w:rsidRPr="003300FE">
        <w:rPr>
          <w:rFonts w:ascii="Calibri" w:hAnsi="Calibri" w:cs="Calibri"/>
        </w:rPr>
        <w:t xml:space="preserve"> — computed tomography imaging</w:t>
      </w:r>
    </w:p>
    <w:p w14:paraId="1D98B6BB"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ctDNA</w:t>
      </w:r>
      <w:r w:rsidRPr="003300FE">
        <w:rPr>
          <w:rFonts w:ascii="Calibri" w:hAnsi="Calibri" w:cs="Calibri"/>
        </w:rPr>
        <w:t xml:space="preserve"> — circulating tumor DNA in blood plasma</w:t>
      </w:r>
    </w:p>
    <w:p w14:paraId="06A6F336" w14:textId="0D18A159" w:rsidR="00D53753" w:rsidRPr="003300FE" w:rsidRDefault="00D53753" w:rsidP="00D53753">
      <w:pPr>
        <w:numPr>
          <w:ilvl w:val="0"/>
          <w:numId w:val="5"/>
        </w:numPr>
        <w:jc w:val="both"/>
        <w:rPr>
          <w:rFonts w:ascii="Calibri" w:hAnsi="Calibri" w:cs="Calibri"/>
        </w:rPr>
      </w:pPr>
      <w:r w:rsidRPr="003300FE">
        <w:rPr>
          <w:rFonts w:ascii="Calibri" w:hAnsi="Calibri" w:cs="Calibri"/>
          <w:b/>
          <w:bCs/>
        </w:rPr>
        <w:t>CTPR</w:t>
      </w:r>
      <w:r w:rsidRPr="003300FE">
        <w:rPr>
          <w:rFonts w:ascii="Calibri" w:hAnsi="Calibri" w:cs="Calibri"/>
        </w:rPr>
        <w:t xml:space="preserve"> — Cancer Trends Progress Report </w:t>
      </w:r>
    </w:p>
    <w:p w14:paraId="4DCD18D6" w14:textId="51BA35E1" w:rsidR="00D53753" w:rsidRPr="003300FE" w:rsidRDefault="00D53753" w:rsidP="00D53753">
      <w:pPr>
        <w:numPr>
          <w:ilvl w:val="0"/>
          <w:numId w:val="5"/>
        </w:numPr>
        <w:jc w:val="both"/>
        <w:rPr>
          <w:rFonts w:ascii="Calibri" w:hAnsi="Calibri" w:cs="Calibri"/>
        </w:rPr>
      </w:pPr>
      <w:r w:rsidRPr="003300FE">
        <w:rPr>
          <w:rFonts w:ascii="Calibri" w:hAnsi="Calibri" w:cs="Calibri"/>
          <w:b/>
          <w:bCs/>
        </w:rPr>
        <w:t>CYTALUX</w:t>
      </w:r>
      <w:r w:rsidRPr="003300FE">
        <w:rPr>
          <w:rFonts w:ascii="Calibri" w:hAnsi="Calibri" w:cs="Calibri"/>
        </w:rPr>
        <w:t xml:space="preserve"> — pafolacianine </w:t>
      </w:r>
    </w:p>
    <w:p w14:paraId="503EA8C0"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DNA</w:t>
      </w:r>
      <w:r w:rsidRPr="003300FE">
        <w:rPr>
          <w:rFonts w:ascii="Calibri" w:hAnsi="Calibri" w:cs="Calibri"/>
        </w:rPr>
        <w:t xml:space="preserve"> — deoxyribonucleic acid</w:t>
      </w:r>
    </w:p>
    <w:p w14:paraId="0EDCB3E1"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DLBCL</w:t>
      </w:r>
      <w:r w:rsidRPr="003300FE">
        <w:rPr>
          <w:rFonts w:ascii="Calibri" w:hAnsi="Calibri" w:cs="Calibri"/>
        </w:rPr>
        <w:t xml:space="preserve"> — diffuse large B-cell lymphoma </w:t>
      </w:r>
    </w:p>
    <w:p w14:paraId="43ED8851"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EAC</w:t>
      </w:r>
      <w:r w:rsidRPr="003300FE">
        <w:rPr>
          <w:rFonts w:ascii="Calibri" w:hAnsi="Calibri" w:cs="Calibri"/>
        </w:rPr>
        <w:t xml:space="preserve"> — esophageal adenocarcinoma </w:t>
      </w:r>
    </w:p>
    <w:p w14:paraId="0A937381" w14:textId="3727351D" w:rsidR="00D53753" w:rsidRPr="003300FE" w:rsidRDefault="00D53753" w:rsidP="00D53753">
      <w:pPr>
        <w:numPr>
          <w:ilvl w:val="0"/>
          <w:numId w:val="5"/>
        </w:numPr>
        <w:jc w:val="both"/>
        <w:rPr>
          <w:rFonts w:ascii="Calibri" w:hAnsi="Calibri" w:cs="Calibri"/>
        </w:rPr>
      </w:pPr>
      <w:r w:rsidRPr="003300FE">
        <w:rPr>
          <w:rFonts w:ascii="Calibri" w:hAnsi="Calibri" w:cs="Calibri"/>
          <w:b/>
          <w:bCs/>
        </w:rPr>
        <w:t>ERK</w:t>
      </w:r>
      <w:r w:rsidRPr="003300FE">
        <w:rPr>
          <w:rFonts w:ascii="Calibri" w:hAnsi="Calibri" w:cs="Calibri"/>
        </w:rPr>
        <w:t xml:space="preserve"> — extracellular signal-regulated kinase</w:t>
      </w:r>
    </w:p>
    <w:p w14:paraId="55C2DACD" w14:textId="494E146F" w:rsidR="00D53753" w:rsidRPr="003300FE" w:rsidRDefault="00D53753" w:rsidP="00D53753">
      <w:pPr>
        <w:numPr>
          <w:ilvl w:val="0"/>
          <w:numId w:val="5"/>
        </w:numPr>
        <w:jc w:val="both"/>
        <w:rPr>
          <w:rFonts w:ascii="Calibri" w:hAnsi="Calibri" w:cs="Calibri"/>
        </w:rPr>
      </w:pPr>
      <w:r w:rsidRPr="003300FE">
        <w:rPr>
          <w:rFonts w:ascii="Calibri" w:hAnsi="Calibri" w:cs="Calibri"/>
          <w:b/>
          <w:bCs/>
        </w:rPr>
        <w:lastRenderedPageBreak/>
        <w:t>ET-seq</w:t>
      </w:r>
      <w:r w:rsidRPr="003300FE">
        <w:rPr>
          <w:rFonts w:ascii="Calibri" w:hAnsi="Calibri" w:cs="Calibri"/>
        </w:rPr>
        <w:t xml:space="preserve"> — Editing-Tracking sequencing</w:t>
      </w:r>
    </w:p>
    <w:p w14:paraId="2F50DA7E" w14:textId="5BAFCF42" w:rsidR="00D53753" w:rsidRPr="003300FE" w:rsidRDefault="00D53753" w:rsidP="00D53753">
      <w:pPr>
        <w:numPr>
          <w:ilvl w:val="0"/>
          <w:numId w:val="5"/>
        </w:numPr>
        <w:jc w:val="both"/>
        <w:rPr>
          <w:rFonts w:ascii="Calibri" w:hAnsi="Calibri" w:cs="Calibri"/>
        </w:rPr>
      </w:pPr>
      <w:r w:rsidRPr="003300FE">
        <w:rPr>
          <w:rFonts w:ascii="Calibri" w:hAnsi="Calibri" w:cs="Calibri"/>
          <w:b/>
          <w:bCs/>
        </w:rPr>
        <w:t>ETV6</w:t>
      </w:r>
      <w:r w:rsidRPr="003300FE">
        <w:rPr>
          <w:rFonts w:ascii="Calibri" w:hAnsi="Calibri" w:cs="Calibri"/>
        </w:rPr>
        <w:t xml:space="preserve"> — ETS Variant Transcription Factor 6</w:t>
      </w:r>
    </w:p>
    <w:p w14:paraId="4BDADC74" w14:textId="02AEF504" w:rsidR="00D53753" w:rsidRPr="003300FE" w:rsidRDefault="00D53753" w:rsidP="00D53753">
      <w:pPr>
        <w:numPr>
          <w:ilvl w:val="0"/>
          <w:numId w:val="5"/>
        </w:numPr>
        <w:jc w:val="both"/>
        <w:rPr>
          <w:rFonts w:ascii="Calibri" w:hAnsi="Calibri" w:cs="Calibri"/>
        </w:rPr>
      </w:pPr>
      <w:r w:rsidRPr="003300FE">
        <w:rPr>
          <w:rFonts w:ascii="Calibri" w:hAnsi="Calibri" w:cs="Calibri"/>
          <w:b/>
          <w:bCs/>
        </w:rPr>
        <w:t>EWS-FLI</w:t>
      </w:r>
      <w:r w:rsidRPr="003300FE">
        <w:rPr>
          <w:rFonts w:ascii="Calibri" w:hAnsi="Calibri" w:cs="Calibri"/>
        </w:rPr>
        <w:t xml:space="preserve"> — EWS-FLI1 fusion oncoprotein </w:t>
      </w:r>
    </w:p>
    <w:p w14:paraId="26482F53"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FDA</w:t>
      </w:r>
      <w:r w:rsidRPr="003300FE">
        <w:rPr>
          <w:rFonts w:ascii="Calibri" w:hAnsi="Calibri" w:cs="Calibri"/>
        </w:rPr>
        <w:t xml:space="preserve"> — U.S. Food and Drug Administration </w:t>
      </w:r>
    </w:p>
    <w:p w14:paraId="1C39C93C" w14:textId="02DEB515" w:rsidR="00D53753" w:rsidRPr="003300FE" w:rsidRDefault="00D53753" w:rsidP="00D53753">
      <w:pPr>
        <w:numPr>
          <w:ilvl w:val="0"/>
          <w:numId w:val="5"/>
        </w:numPr>
        <w:jc w:val="both"/>
        <w:rPr>
          <w:rFonts w:ascii="Calibri" w:hAnsi="Calibri" w:cs="Calibri"/>
        </w:rPr>
      </w:pPr>
      <w:r w:rsidRPr="003300FE">
        <w:rPr>
          <w:rFonts w:ascii="Calibri" w:hAnsi="Calibri" w:cs="Calibri"/>
          <w:b/>
          <w:bCs/>
        </w:rPr>
        <w:t>GBF/GBFs</w:t>
      </w:r>
      <w:r w:rsidRPr="003300FE">
        <w:rPr>
          <w:rFonts w:ascii="Calibri" w:hAnsi="Calibri" w:cs="Calibri"/>
        </w:rPr>
        <w:t xml:space="preserve"> — glyphosate-based formulation(s)</w:t>
      </w:r>
    </w:p>
    <w:p w14:paraId="6FE9CF5F"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GCB</w:t>
      </w:r>
      <w:r w:rsidRPr="003300FE">
        <w:rPr>
          <w:rFonts w:ascii="Calibri" w:hAnsi="Calibri" w:cs="Calibri"/>
        </w:rPr>
        <w:t xml:space="preserve"> — germinal-center B-cell–like subtype of DLBCL </w:t>
      </w:r>
    </w:p>
    <w:p w14:paraId="77C561C6"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HER2</w:t>
      </w:r>
      <w:r w:rsidRPr="003300FE">
        <w:rPr>
          <w:rFonts w:ascii="Calibri" w:hAnsi="Calibri" w:cs="Calibri"/>
        </w:rPr>
        <w:t xml:space="preserve"> — human epidermal growth factor receptor 2 </w:t>
      </w:r>
    </w:p>
    <w:p w14:paraId="6A44E948"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HIV</w:t>
      </w:r>
      <w:r w:rsidRPr="003300FE">
        <w:rPr>
          <w:rFonts w:ascii="Calibri" w:hAnsi="Calibri" w:cs="Calibri"/>
        </w:rPr>
        <w:t xml:space="preserve"> — human immunodeficiency virus </w:t>
      </w:r>
    </w:p>
    <w:p w14:paraId="70B64ED6"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HPV</w:t>
      </w:r>
      <w:r w:rsidRPr="003300FE">
        <w:rPr>
          <w:rFonts w:ascii="Calibri" w:hAnsi="Calibri" w:cs="Calibri"/>
        </w:rPr>
        <w:t xml:space="preserve"> — human papillomavirus </w:t>
      </w:r>
    </w:p>
    <w:p w14:paraId="1CFB6639"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HSIL</w:t>
      </w:r>
      <w:r w:rsidRPr="003300FE">
        <w:rPr>
          <w:rFonts w:ascii="Calibri" w:hAnsi="Calibri" w:cs="Calibri"/>
        </w:rPr>
        <w:t xml:space="preserve"> — high-grade squamous intraepithelial lesion (premalignant dysplasia) </w:t>
      </w:r>
    </w:p>
    <w:p w14:paraId="12315066" w14:textId="7EACD4E1" w:rsidR="00D53753" w:rsidRPr="003300FE" w:rsidRDefault="00D53753" w:rsidP="00D53753">
      <w:pPr>
        <w:numPr>
          <w:ilvl w:val="0"/>
          <w:numId w:val="5"/>
        </w:numPr>
        <w:jc w:val="both"/>
        <w:rPr>
          <w:rFonts w:ascii="Calibri" w:hAnsi="Calibri" w:cs="Calibri"/>
        </w:rPr>
      </w:pPr>
      <w:r w:rsidRPr="003300FE">
        <w:rPr>
          <w:rFonts w:ascii="Calibri" w:hAnsi="Calibri" w:cs="Calibri"/>
          <w:b/>
          <w:bCs/>
        </w:rPr>
        <w:t>KLF-10</w:t>
      </w:r>
      <w:r w:rsidRPr="003300FE">
        <w:rPr>
          <w:rFonts w:ascii="Calibri" w:hAnsi="Calibri" w:cs="Calibri"/>
        </w:rPr>
        <w:t xml:space="preserve"> — Krüppel-like factor 10</w:t>
      </w:r>
    </w:p>
    <w:p w14:paraId="08E61ED1"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KRAS</w:t>
      </w:r>
      <w:r w:rsidRPr="003300FE">
        <w:rPr>
          <w:rFonts w:ascii="Calibri" w:hAnsi="Calibri" w:cs="Calibri"/>
        </w:rPr>
        <w:t xml:space="preserve"> — Kirsten rat sarcoma viral oncogene homolog </w:t>
      </w:r>
    </w:p>
    <w:p w14:paraId="7F38EF85"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MCD</w:t>
      </w:r>
      <w:r w:rsidRPr="003300FE">
        <w:rPr>
          <w:rFonts w:ascii="Calibri" w:hAnsi="Calibri" w:cs="Calibri"/>
        </w:rPr>
        <w:t xml:space="preserve"> — MYD88/CD79B double-mutant subtype of DLBCL </w:t>
      </w:r>
    </w:p>
    <w:p w14:paraId="4649B8FA" w14:textId="5D84758D" w:rsidR="00D53753" w:rsidRPr="003300FE" w:rsidRDefault="00D53753" w:rsidP="00D53753">
      <w:pPr>
        <w:numPr>
          <w:ilvl w:val="0"/>
          <w:numId w:val="5"/>
        </w:numPr>
        <w:jc w:val="both"/>
        <w:rPr>
          <w:rFonts w:ascii="Calibri" w:hAnsi="Calibri" w:cs="Calibri"/>
        </w:rPr>
      </w:pPr>
      <w:r w:rsidRPr="003300FE">
        <w:rPr>
          <w:rFonts w:ascii="Calibri" w:hAnsi="Calibri" w:cs="Calibri"/>
          <w:b/>
          <w:bCs/>
        </w:rPr>
        <w:t>MIDRC</w:t>
      </w:r>
      <w:r w:rsidRPr="003300FE">
        <w:rPr>
          <w:rFonts w:ascii="Calibri" w:hAnsi="Calibri" w:cs="Calibri"/>
        </w:rPr>
        <w:t xml:space="preserve"> — Medical Imaging and Data Resource Center</w:t>
      </w:r>
    </w:p>
    <w:p w14:paraId="154A2BCF" w14:textId="68F657FA" w:rsidR="00D53753" w:rsidRPr="003300FE" w:rsidRDefault="00D53753" w:rsidP="00D53753">
      <w:pPr>
        <w:numPr>
          <w:ilvl w:val="0"/>
          <w:numId w:val="5"/>
        </w:numPr>
        <w:jc w:val="both"/>
        <w:rPr>
          <w:rFonts w:ascii="Calibri" w:hAnsi="Calibri" w:cs="Calibri"/>
        </w:rPr>
      </w:pPr>
      <w:r w:rsidRPr="003300FE">
        <w:rPr>
          <w:rFonts w:ascii="Calibri" w:hAnsi="Calibri" w:cs="Calibri"/>
          <w:b/>
          <w:bCs/>
        </w:rPr>
        <w:t>miR-122</w:t>
      </w:r>
      <w:r w:rsidRPr="003300FE">
        <w:rPr>
          <w:rFonts w:ascii="Calibri" w:hAnsi="Calibri" w:cs="Calibri"/>
        </w:rPr>
        <w:t xml:space="preserve"> — microRNA-122</w:t>
      </w:r>
    </w:p>
    <w:p w14:paraId="597F67A2" w14:textId="4D9A05F5" w:rsidR="00D53753" w:rsidRPr="003300FE" w:rsidRDefault="00D53753" w:rsidP="00D53753">
      <w:pPr>
        <w:numPr>
          <w:ilvl w:val="0"/>
          <w:numId w:val="5"/>
        </w:numPr>
        <w:jc w:val="both"/>
        <w:rPr>
          <w:rFonts w:ascii="Calibri" w:hAnsi="Calibri" w:cs="Calibri"/>
        </w:rPr>
      </w:pPr>
      <w:r w:rsidRPr="003300FE">
        <w:rPr>
          <w:rFonts w:ascii="Calibri" w:hAnsi="Calibri" w:cs="Calibri"/>
          <w:b/>
          <w:bCs/>
        </w:rPr>
        <w:t>NAMs</w:t>
      </w:r>
      <w:r w:rsidRPr="003300FE">
        <w:rPr>
          <w:rFonts w:ascii="Calibri" w:hAnsi="Calibri" w:cs="Calibri"/>
        </w:rPr>
        <w:t xml:space="preserve"> — new approach methodologies </w:t>
      </w:r>
    </w:p>
    <w:p w14:paraId="07B79DFA" w14:textId="356DE879" w:rsidR="00D53753" w:rsidRPr="003300FE" w:rsidRDefault="00D53753" w:rsidP="00D53753">
      <w:pPr>
        <w:numPr>
          <w:ilvl w:val="0"/>
          <w:numId w:val="5"/>
        </w:numPr>
        <w:jc w:val="both"/>
        <w:rPr>
          <w:rFonts w:ascii="Calibri" w:hAnsi="Calibri" w:cs="Calibri"/>
        </w:rPr>
      </w:pPr>
      <w:r w:rsidRPr="003300FE">
        <w:rPr>
          <w:rFonts w:ascii="Calibri" w:hAnsi="Calibri" w:cs="Calibri"/>
          <w:b/>
          <w:bCs/>
        </w:rPr>
        <w:t>NCI</w:t>
      </w:r>
      <w:r w:rsidRPr="003300FE">
        <w:rPr>
          <w:rFonts w:ascii="Calibri" w:hAnsi="Calibri" w:cs="Calibri"/>
        </w:rPr>
        <w:t xml:space="preserve"> — National Cancer Institute </w:t>
      </w:r>
    </w:p>
    <w:p w14:paraId="2A34376B"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NCATS</w:t>
      </w:r>
      <w:r w:rsidRPr="003300FE">
        <w:rPr>
          <w:rFonts w:ascii="Calibri" w:hAnsi="Calibri" w:cs="Calibri"/>
        </w:rPr>
        <w:t xml:space="preserve"> — National Center for Advancing Translational Sciences </w:t>
      </w:r>
    </w:p>
    <w:p w14:paraId="303ED52B" w14:textId="0BA6B2B3" w:rsidR="00D53753" w:rsidRPr="003300FE" w:rsidRDefault="00D53753" w:rsidP="00D53753">
      <w:pPr>
        <w:numPr>
          <w:ilvl w:val="0"/>
          <w:numId w:val="5"/>
        </w:numPr>
        <w:jc w:val="both"/>
        <w:rPr>
          <w:rFonts w:ascii="Calibri" w:hAnsi="Calibri" w:cs="Calibri"/>
        </w:rPr>
      </w:pPr>
      <w:r w:rsidRPr="003300FE">
        <w:rPr>
          <w:rFonts w:ascii="Calibri" w:hAnsi="Calibri" w:cs="Calibri"/>
          <w:b/>
          <w:bCs/>
        </w:rPr>
        <w:t>NIBIB</w:t>
      </w:r>
      <w:r w:rsidRPr="003300FE">
        <w:rPr>
          <w:rFonts w:ascii="Calibri" w:hAnsi="Calibri" w:cs="Calibri"/>
        </w:rPr>
        <w:t xml:space="preserve"> — National Institute of Biomedical Imaging and Bioengineering  </w:t>
      </w:r>
    </w:p>
    <w:p w14:paraId="7584AF87" w14:textId="15222F9B" w:rsidR="00D53753" w:rsidRPr="003300FE" w:rsidRDefault="00D53753" w:rsidP="00D53753">
      <w:pPr>
        <w:numPr>
          <w:ilvl w:val="0"/>
          <w:numId w:val="5"/>
        </w:numPr>
        <w:jc w:val="both"/>
        <w:rPr>
          <w:rFonts w:ascii="Calibri" w:hAnsi="Calibri" w:cs="Calibri"/>
        </w:rPr>
      </w:pPr>
      <w:r w:rsidRPr="003300FE">
        <w:rPr>
          <w:rFonts w:ascii="Calibri" w:hAnsi="Calibri" w:cs="Calibri"/>
          <w:b/>
          <w:bCs/>
        </w:rPr>
        <w:t>NIDCR</w:t>
      </w:r>
      <w:r w:rsidRPr="003300FE">
        <w:rPr>
          <w:rFonts w:ascii="Calibri" w:hAnsi="Calibri" w:cs="Calibri"/>
        </w:rPr>
        <w:t xml:space="preserve"> — National Institute of Dental and Craniofacial Research </w:t>
      </w:r>
    </w:p>
    <w:p w14:paraId="7E4ED73C" w14:textId="34D58EB7" w:rsidR="00D53753" w:rsidRPr="003300FE" w:rsidRDefault="00D53753" w:rsidP="00D53753">
      <w:pPr>
        <w:numPr>
          <w:ilvl w:val="0"/>
          <w:numId w:val="5"/>
        </w:numPr>
        <w:jc w:val="both"/>
        <w:rPr>
          <w:rFonts w:ascii="Calibri" w:hAnsi="Calibri" w:cs="Calibri"/>
        </w:rPr>
      </w:pPr>
      <w:r w:rsidRPr="003300FE">
        <w:rPr>
          <w:rFonts w:ascii="Calibri" w:hAnsi="Calibri" w:cs="Calibri"/>
          <w:b/>
          <w:bCs/>
        </w:rPr>
        <w:t>NIEHS</w:t>
      </w:r>
      <w:r w:rsidRPr="003300FE">
        <w:rPr>
          <w:rFonts w:ascii="Calibri" w:hAnsi="Calibri" w:cs="Calibri"/>
        </w:rPr>
        <w:t xml:space="preserve"> — National Institute of Environmental Health Sciences </w:t>
      </w:r>
    </w:p>
    <w:p w14:paraId="31A4091E"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NIH</w:t>
      </w:r>
      <w:r w:rsidRPr="003300FE">
        <w:rPr>
          <w:rFonts w:ascii="Calibri" w:hAnsi="Calibri" w:cs="Calibri"/>
        </w:rPr>
        <w:t xml:space="preserve"> — National Institutes of Health</w:t>
      </w:r>
    </w:p>
    <w:p w14:paraId="7CFE8229"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NK</w:t>
      </w:r>
      <w:r w:rsidRPr="003300FE">
        <w:rPr>
          <w:rFonts w:ascii="Calibri" w:hAnsi="Calibri" w:cs="Calibri"/>
        </w:rPr>
        <w:t xml:space="preserve"> — natural killer cell</w:t>
      </w:r>
    </w:p>
    <w:p w14:paraId="4AD45CEC"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NTP</w:t>
      </w:r>
      <w:r w:rsidRPr="003300FE">
        <w:rPr>
          <w:rFonts w:ascii="Calibri" w:hAnsi="Calibri" w:cs="Calibri"/>
        </w:rPr>
        <w:t xml:space="preserve"> — National Toxicology Program </w:t>
      </w:r>
    </w:p>
    <w:p w14:paraId="4FFDB7A7" w14:textId="22CE4A26" w:rsidR="00D53753" w:rsidRPr="003300FE" w:rsidRDefault="00D53753" w:rsidP="00D53753">
      <w:pPr>
        <w:numPr>
          <w:ilvl w:val="0"/>
          <w:numId w:val="5"/>
        </w:numPr>
        <w:jc w:val="both"/>
        <w:rPr>
          <w:rFonts w:ascii="Calibri" w:hAnsi="Calibri" w:cs="Calibri"/>
        </w:rPr>
      </w:pPr>
      <w:r w:rsidRPr="003300FE">
        <w:rPr>
          <w:rFonts w:ascii="Calibri" w:hAnsi="Calibri" w:cs="Calibri"/>
          <w:b/>
          <w:bCs/>
        </w:rPr>
        <w:t>ONR</w:t>
      </w:r>
      <w:r w:rsidRPr="003300FE">
        <w:rPr>
          <w:rFonts w:ascii="Calibri" w:hAnsi="Calibri" w:cs="Calibri"/>
        </w:rPr>
        <w:t xml:space="preserve"> — Office of Nutrition Research </w:t>
      </w:r>
    </w:p>
    <w:p w14:paraId="537B6D6A"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PARP</w:t>
      </w:r>
      <w:r w:rsidRPr="003300FE">
        <w:rPr>
          <w:rFonts w:ascii="Calibri" w:hAnsi="Calibri" w:cs="Calibri"/>
        </w:rPr>
        <w:t xml:space="preserve"> — poly(ADP-ribose) polymerase DNA-repair enzyme</w:t>
      </w:r>
    </w:p>
    <w:p w14:paraId="41215CFD"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PD-1</w:t>
      </w:r>
      <w:r w:rsidRPr="003300FE">
        <w:rPr>
          <w:rFonts w:ascii="Calibri" w:hAnsi="Calibri" w:cs="Calibri"/>
        </w:rPr>
        <w:t xml:space="preserve"> — programmed cell death protein 1 immune checkpoint</w:t>
      </w:r>
    </w:p>
    <w:p w14:paraId="37F93BD0"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PD2</w:t>
      </w:r>
      <w:r w:rsidRPr="003300FE">
        <w:rPr>
          <w:rFonts w:ascii="Calibri" w:hAnsi="Calibri" w:cs="Calibri"/>
        </w:rPr>
        <w:t xml:space="preserve"> — programmed cell death protein 2 (PDCD2)</w:t>
      </w:r>
    </w:p>
    <w:p w14:paraId="6F787599"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PDAC</w:t>
      </w:r>
      <w:r w:rsidRPr="003300FE">
        <w:rPr>
          <w:rFonts w:ascii="Calibri" w:hAnsi="Calibri" w:cs="Calibri"/>
        </w:rPr>
        <w:t xml:space="preserve"> — pancreatic ductal adenocarcinoma </w:t>
      </w:r>
    </w:p>
    <w:p w14:paraId="7B446304" w14:textId="476FC1C9" w:rsidR="00D53753" w:rsidRPr="003300FE" w:rsidRDefault="00D53753" w:rsidP="00D53753">
      <w:pPr>
        <w:numPr>
          <w:ilvl w:val="0"/>
          <w:numId w:val="5"/>
        </w:numPr>
        <w:jc w:val="both"/>
        <w:rPr>
          <w:rFonts w:ascii="Calibri" w:hAnsi="Calibri" w:cs="Calibri"/>
        </w:rPr>
      </w:pPr>
      <w:r w:rsidRPr="003300FE">
        <w:rPr>
          <w:rFonts w:ascii="Calibri" w:hAnsi="Calibri" w:cs="Calibri"/>
          <w:b/>
          <w:bCs/>
        </w:rPr>
        <w:lastRenderedPageBreak/>
        <w:t>PTG</w:t>
      </w:r>
      <w:r w:rsidRPr="003300FE">
        <w:rPr>
          <w:rFonts w:ascii="Calibri" w:hAnsi="Calibri" w:cs="Calibri"/>
        </w:rPr>
        <w:t xml:space="preserve"> — prophylactic total gastrectomy </w:t>
      </w:r>
    </w:p>
    <w:p w14:paraId="09979B26"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R-CHOP</w:t>
      </w:r>
      <w:r w:rsidRPr="003300FE">
        <w:rPr>
          <w:rFonts w:ascii="Calibri" w:hAnsi="Calibri" w:cs="Calibri"/>
        </w:rPr>
        <w:t xml:space="preserve"> — rituximab, cyclophosphamide, doxorubicin, vincristine &amp; prednisone regimen for DLBCL </w:t>
      </w:r>
    </w:p>
    <w:p w14:paraId="1827BCAD"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RNA</w:t>
      </w:r>
      <w:r w:rsidRPr="003300FE">
        <w:rPr>
          <w:rFonts w:ascii="Calibri" w:hAnsi="Calibri" w:cs="Calibri"/>
        </w:rPr>
        <w:t xml:space="preserve"> — ribonucleic acid</w:t>
      </w:r>
    </w:p>
    <w:p w14:paraId="477DF158" w14:textId="20A5597C" w:rsidR="00D53753" w:rsidRPr="003300FE" w:rsidRDefault="00D53753" w:rsidP="00D53753">
      <w:pPr>
        <w:numPr>
          <w:ilvl w:val="0"/>
          <w:numId w:val="5"/>
        </w:numPr>
        <w:jc w:val="both"/>
        <w:rPr>
          <w:rFonts w:ascii="Calibri" w:hAnsi="Calibri" w:cs="Calibri"/>
        </w:rPr>
      </w:pPr>
      <w:r w:rsidRPr="003300FE">
        <w:rPr>
          <w:rFonts w:ascii="Calibri" w:hAnsi="Calibri" w:cs="Calibri"/>
          <w:b/>
          <w:bCs/>
        </w:rPr>
        <w:t>RSNA</w:t>
      </w:r>
      <w:r w:rsidRPr="003300FE">
        <w:rPr>
          <w:rFonts w:ascii="Calibri" w:hAnsi="Calibri" w:cs="Calibri"/>
        </w:rPr>
        <w:t xml:space="preserve"> — Radiological Society of North America</w:t>
      </w:r>
    </w:p>
    <w:p w14:paraId="45A09529" w14:textId="295A0904" w:rsidR="00D53753" w:rsidRPr="003300FE" w:rsidRDefault="00D53753" w:rsidP="00D53753">
      <w:pPr>
        <w:numPr>
          <w:ilvl w:val="0"/>
          <w:numId w:val="5"/>
        </w:numPr>
        <w:jc w:val="both"/>
        <w:rPr>
          <w:rFonts w:ascii="Calibri" w:hAnsi="Calibri" w:cs="Calibri"/>
        </w:rPr>
      </w:pPr>
      <w:r w:rsidRPr="003300FE">
        <w:rPr>
          <w:rFonts w:ascii="Calibri" w:hAnsi="Calibri" w:cs="Calibri"/>
          <w:b/>
          <w:bCs/>
        </w:rPr>
        <w:t>SEEP</w:t>
      </w:r>
      <w:r w:rsidRPr="003300FE">
        <w:rPr>
          <w:rFonts w:ascii="Calibri" w:hAnsi="Calibri" w:cs="Calibri"/>
        </w:rPr>
        <w:t xml:space="preserve"> — Segmentation by Exogenous Perfusion  </w:t>
      </w:r>
    </w:p>
    <w:p w14:paraId="3C8717B7" w14:textId="4DEFA304" w:rsidR="00D53753" w:rsidRPr="003300FE" w:rsidRDefault="00D53753" w:rsidP="00D53753">
      <w:pPr>
        <w:numPr>
          <w:ilvl w:val="0"/>
          <w:numId w:val="5"/>
        </w:numPr>
        <w:jc w:val="both"/>
        <w:rPr>
          <w:rFonts w:ascii="Calibri" w:hAnsi="Calibri" w:cs="Calibri"/>
        </w:rPr>
      </w:pPr>
      <w:r w:rsidRPr="003300FE">
        <w:rPr>
          <w:rFonts w:ascii="Calibri" w:hAnsi="Calibri" w:cs="Calibri"/>
          <w:b/>
          <w:bCs/>
        </w:rPr>
        <w:t>SEER</w:t>
      </w:r>
      <w:r w:rsidRPr="003300FE">
        <w:rPr>
          <w:rFonts w:ascii="Calibri" w:hAnsi="Calibri" w:cs="Calibri"/>
        </w:rPr>
        <w:t xml:space="preserve"> — Surveillance, Epidemiology, and End Results </w:t>
      </w:r>
    </w:p>
    <w:p w14:paraId="25A5AECF"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SHIP</w:t>
      </w:r>
      <w:r w:rsidRPr="003300FE">
        <w:rPr>
          <w:rFonts w:ascii="Calibri" w:hAnsi="Calibri" w:cs="Calibri"/>
        </w:rPr>
        <w:t xml:space="preserve"> — Self-collection for HPV Testing to Improve Prevention network </w:t>
      </w:r>
    </w:p>
    <w:p w14:paraId="6030012E"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TCR</w:t>
      </w:r>
      <w:r w:rsidRPr="003300FE">
        <w:rPr>
          <w:rFonts w:ascii="Calibri" w:hAnsi="Calibri" w:cs="Calibri"/>
        </w:rPr>
        <w:t xml:space="preserve"> — T-cell receptor</w:t>
      </w:r>
    </w:p>
    <w:p w14:paraId="2CAA3494"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TGF-β</w:t>
      </w:r>
      <w:r w:rsidRPr="003300FE">
        <w:rPr>
          <w:rFonts w:ascii="Calibri" w:hAnsi="Calibri" w:cs="Calibri"/>
        </w:rPr>
        <w:t xml:space="preserve"> — transforming growth factor beta cytokine</w:t>
      </w:r>
    </w:p>
    <w:p w14:paraId="18AFD6B4"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TIL</w:t>
      </w:r>
      <w:r w:rsidRPr="003300FE">
        <w:rPr>
          <w:rFonts w:ascii="Calibri" w:hAnsi="Calibri" w:cs="Calibri"/>
        </w:rPr>
        <w:t xml:space="preserve"> — tumor-infiltrating lymphocyte</w:t>
      </w:r>
    </w:p>
    <w:p w14:paraId="2CCC6F10" w14:textId="77777777" w:rsidR="00D53753" w:rsidRPr="003300FE" w:rsidRDefault="00D53753" w:rsidP="00D53753">
      <w:pPr>
        <w:numPr>
          <w:ilvl w:val="0"/>
          <w:numId w:val="5"/>
        </w:numPr>
        <w:jc w:val="both"/>
        <w:rPr>
          <w:rFonts w:ascii="Calibri" w:hAnsi="Calibri" w:cs="Calibri"/>
        </w:rPr>
      </w:pPr>
      <w:r w:rsidRPr="003300FE">
        <w:rPr>
          <w:rFonts w:ascii="Calibri" w:hAnsi="Calibri" w:cs="Calibri"/>
          <w:b/>
          <w:bCs/>
        </w:rPr>
        <w:t>UPP1</w:t>
      </w:r>
      <w:r w:rsidRPr="003300FE">
        <w:rPr>
          <w:rFonts w:ascii="Calibri" w:hAnsi="Calibri" w:cs="Calibri"/>
        </w:rPr>
        <w:t xml:space="preserve"> — uridine phosphorylase 1, metabolic liability in PDAC </w:t>
      </w:r>
    </w:p>
    <w:p w14:paraId="73477E6E" w14:textId="26BAED4A" w:rsidR="00FD562E" w:rsidRPr="00317DEA" w:rsidRDefault="00D53753" w:rsidP="00317DEA">
      <w:pPr>
        <w:numPr>
          <w:ilvl w:val="0"/>
          <w:numId w:val="5"/>
        </w:numPr>
        <w:jc w:val="both"/>
        <w:rPr>
          <w:rFonts w:ascii="Calibri" w:hAnsi="Calibri" w:cs="Calibri"/>
        </w:rPr>
      </w:pPr>
      <w:r w:rsidRPr="003300FE">
        <w:rPr>
          <w:rFonts w:ascii="Calibri" w:hAnsi="Calibri" w:cs="Calibri"/>
          <w:b/>
          <w:bCs/>
        </w:rPr>
        <w:t>VIPOR</w:t>
      </w:r>
      <w:r w:rsidRPr="003300FE">
        <w:rPr>
          <w:rFonts w:ascii="Calibri" w:hAnsi="Calibri" w:cs="Calibri"/>
        </w:rPr>
        <w:t xml:space="preserve"> — phase II lymphoma cocktail of Venetoclax, Ibrutinib, Prednisone, Obinutuzumab &amp; Lenalidomide </w:t>
      </w:r>
    </w:p>
    <w:sectPr w:rsidR="00FD562E" w:rsidRPr="00317D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7DE6" w14:textId="77777777" w:rsidR="00B5765E" w:rsidRDefault="00B5765E" w:rsidP="004E3160">
      <w:pPr>
        <w:spacing w:after="0" w:line="240" w:lineRule="auto"/>
      </w:pPr>
      <w:r>
        <w:separator/>
      </w:r>
    </w:p>
  </w:endnote>
  <w:endnote w:type="continuationSeparator" w:id="0">
    <w:p w14:paraId="011BE6A4" w14:textId="77777777" w:rsidR="00B5765E" w:rsidRDefault="00B5765E" w:rsidP="004E3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4EA7A" w14:textId="77777777" w:rsidR="00B5765E" w:rsidRDefault="00B5765E" w:rsidP="004E3160">
      <w:pPr>
        <w:spacing w:after="0" w:line="240" w:lineRule="auto"/>
      </w:pPr>
      <w:r>
        <w:separator/>
      </w:r>
    </w:p>
  </w:footnote>
  <w:footnote w:type="continuationSeparator" w:id="0">
    <w:p w14:paraId="77AC86F1" w14:textId="77777777" w:rsidR="00B5765E" w:rsidRDefault="00B5765E" w:rsidP="004E3160">
      <w:pPr>
        <w:spacing w:after="0" w:line="240" w:lineRule="auto"/>
      </w:pPr>
      <w:r>
        <w:continuationSeparator/>
      </w:r>
    </w:p>
  </w:footnote>
  <w:footnote w:id="1">
    <w:p w14:paraId="3E680489" w14:textId="71B3B6A1" w:rsidR="0063450E" w:rsidRPr="00B8451A" w:rsidRDefault="0063450E">
      <w:pPr>
        <w:pStyle w:val="FootnoteText"/>
        <w:rPr>
          <w:rFonts w:ascii="Calibri" w:hAnsi="Calibri" w:cs="Calibri"/>
        </w:rPr>
      </w:pPr>
      <w:r w:rsidRPr="00B8451A">
        <w:rPr>
          <w:rStyle w:val="FootnoteReference"/>
          <w:rFonts w:ascii="Calibri" w:hAnsi="Calibri" w:cs="Calibri"/>
        </w:rPr>
        <w:footnoteRef/>
      </w:r>
      <w:r w:rsidRPr="00B8451A">
        <w:rPr>
          <w:rFonts w:ascii="Calibri" w:hAnsi="Calibri" w:cs="Calibri"/>
        </w:rPr>
        <w:t xml:space="preserve"> https://seer.cancer.gov/statfacts/html/all.html</w:t>
      </w:r>
    </w:p>
  </w:footnote>
  <w:footnote w:id="2">
    <w:p w14:paraId="54272495" w14:textId="62547CC1" w:rsidR="00C22A6C" w:rsidRPr="00B8451A" w:rsidRDefault="00C22A6C">
      <w:pPr>
        <w:pStyle w:val="FootnoteText"/>
        <w:rPr>
          <w:rFonts w:ascii="Calibri" w:hAnsi="Calibri" w:cs="Calibri"/>
        </w:rPr>
      </w:pPr>
      <w:r w:rsidRPr="00B8451A">
        <w:rPr>
          <w:rStyle w:val="FootnoteReference"/>
          <w:rFonts w:ascii="Calibri" w:hAnsi="Calibri" w:cs="Calibri"/>
        </w:rPr>
        <w:footnoteRef/>
      </w:r>
      <w:r w:rsidRPr="00B8451A">
        <w:rPr>
          <w:rFonts w:ascii="Calibri" w:hAnsi="Calibri" w:cs="Calibri"/>
        </w:rPr>
        <w:t xml:space="preserve"> https://www.cancer.gov/research/progress/annual-report-nation</w:t>
      </w:r>
    </w:p>
  </w:footnote>
  <w:footnote w:id="3">
    <w:p w14:paraId="0C8B0978" w14:textId="017582DD" w:rsidR="00E91D98" w:rsidRPr="00B8451A" w:rsidRDefault="00E91D98">
      <w:pPr>
        <w:pStyle w:val="FootnoteText"/>
        <w:rPr>
          <w:rFonts w:ascii="Calibri" w:hAnsi="Calibri" w:cs="Calibri"/>
        </w:rPr>
      </w:pPr>
      <w:r w:rsidRPr="00B8451A">
        <w:rPr>
          <w:rStyle w:val="FootnoteReference"/>
          <w:rFonts w:ascii="Calibri" w:hAnsi="Calibri" w:cs="Calibri"/>
        </w:rPr>
        <w:footnoteRef/>
      </w:r>
      <w:r w:rsidRPr="00B8451A">
        <w:rPr>
          <w:rFonts w:ascii="Calibri" w:hAnsi="Calibri" w:cs="Calibri"/>
        </w:rPr>
        <w:t xml:space="preserve"> https://www.fda.gov/about-fda/oce-annual-reports/2024-oce-annual-report</w:t>
      </w:r>
    </w:p>
  </w:footnote>
  <w:footnote w:id="4">
    <w:p w14:paraId="7541DEA4" w14:textId="76BA9580" w:rsidR="004E27E1" w:rsidRPr="00B8451A" w:rsidRDefault="004E27E1">
      <w:pPr>
        <w:pStyle w:val="FootnoteText"/>
        <w:rPr>
          <w:rFonts w:ascii="Calibri" w:hAnsi="Calibri" w:cs="Calibri"/>
        </w:rPr>
      </w:pPr>
      <w:r w:rsidRPr="00B8451A">
        <w:rPr>
          <w:rStyle w:val="FootnoteReference"/>
          <w:rFonts w:ascii="Calibri" w:hAnsi="Calibri" w:cs="Calibri"/>
        </w:rPr>
        <w:footnoteRef/>
      </w:r>
      <w:r w:rsidRPr="00B8451A">
        <w:rPr>
          <w:rFonts w:ascii="Calibri" w:hAnsi="Calibri" w:cs="Calibri"/>
        </w:rPr>
        <w:t xml:space="preserve"> https://www.fda.gov/about-fda/2024-oce-annual-report/ongoing-clinical-oncology-projects-2024</w:t>
      </w:r>
    </w:p>
  </w:footnote>
  <w:footnote w:id="5">
    <w:p w14:paraId="5ABB3D1D" w14:textId="4062DD21" w:rsidR="008656EA" w:rsidRDefault="008656EA">
      <w:pPr>
        <w:pStyle w:val="FootnoteText"/>
      </w:pPr>
      <w:r w:rsidRPr="00B8451A">
        <w:rPr>
          <w:rStyle w:val="FootnoteReference"/>
          <w:rFonts w:ascii="Calibri" w:hAnsi="Calibri" w:cs="Calibri"/>
        </w:rPr>
        <w:footnoteRef/>
      </w:r>
      <w:r w:rsidRPr="00B8451A">
        <w:rPr>
          <w:rFonts w:ascii="Calibri" w:hAnsi="Calibri" w:cs="Calibri"/>
        </w:rPr>
        <w:t xml:space="preserve"> https://cancercontrol.cancer.gov/ocs/statistics</w:t>
      </w:r>
    </w:p>
  </w:footnote>
  <w:footnote w:id="6">
    <w:p w14:paraId="397BF44A" w14:textId="11261AF5" w:rsidR="00843B23" w:rsidRPr="0030317E" w:rsidRDefault="00843B23">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w:t>
      </w:r>
      <w:hyperlink r:id="rId1" w:anchor="/" w:history="1">
        <w:r w:rsidRPr="0030317E">
          <w:rPr>
            <w:rStyle w:val="Hyperlink"/>
            <w:rFonts w:ascii="Calibri" w:eastAsiaTheme="minorEastAsia" w:hAnsi="Calibri" w:cs="Calibri"/>
          </w:rPr>
          <w:t>https://report.nih.gov/funding/categorical-spending#/</w:t>
        </w:r>
      </w:hyperlink>
    </w:p>
  </w:footnote>
  <w:footnote w:id="7">
    <w:p w14:paraId="12BA1A8D" w14:textId="77777777" w:rsidR="00EE68F9" w:rsidRPr="0030317E" w:rsidRDefault="00EE68F9" w:rsidP="00EE68F9">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w:t>
      </w:r>
      <w:hyperlink r:id="rId2" w:tgtFrame="_new" w:history="1">
        <w:r w:rsidRPr="0030317E">
          <w:rPr>
            <w:rStyle w:val="Hyperlink"/>
            <w:rFonts w:ascii="Calibri" w:hAnsi="Calibri" w:cs="Calibri"/>
          </w:rPr>
          <w:t>https://www.midrc.org/</w:t>
        </w:r>
      </w:hyperlink>
    </w:p>
  </w:footnote>
  <w:footnote w:id="8">
    <w:p w14:paraId="0452F6CC" w14:textId="35741B0E" w:rsidR="00EE68F9" w:rsidRPr="0030317E" w:rsidRDefault="00EE68F9">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Saint-Maurice PF, et al. </w:t>
      </w:r>
      <w:r w:rsidRPr="0030317E">
        <w:rPr>
          <w:rFonts w:ascii="Calibri" w:hAnsi="Calibri" w:cs="Calibri"/>
          <w:i/>
          <w:iCs/>
        </w:rPr>
        <w:t>JAMA Intern Med</w:t>
      </w:r>
      <w:r w:rsidRPr="0030317E">
        <w:rPr>
          <w:rFonts w:ascii="Calibri" w:hAnsi="Calibri" w:cs="Calibri"/>
        </w:rPr>
        <w:t xml:space="preserve"> 2022;182(11):1145-53. PMID: 35072698</w:t>
      </w:r>
    </w:p>
  </w:footnote>
  <w:footnote w:id="9">
    <w:p w14:paraId="42469107" w14:textId="5A249FEF" w:rsidR="00BE5834" w:rsidRPr="0030317E" w:rsidRDefault="00BE5834">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w:t>
      </w:r>
      <w:hyperlink r:id="rId3" w:tgtFrame="_new" w:history="1">
        <w:r w:rsidRPr="0030317E">
          <w:rPr>
            <w:rStyle w:val="Hyperlink"/>
            <w:rFonts w:ascii="Calibri" w:hAnsi="Calibri" w:cs="Calibri"/>
          </w:rPr>
          <w:t>https://ccr.cancer.gov/surgical-oncology-program/clinical-team/diet-and-nutrition-after-gastrectomy-your-plan</w:t>
        </w:r>
      </w:hyperlink>
    </w:p>
  </w:footnote>
  <w:footnote w:id="10">
    <w:p w14:paraId="66B19618" w14:textId="75DB083C" w:rsidR="00BE5834" w:rsidRPr="0030317E" w:rsidRDefault="00BE5834">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Smith-Roe SL, et al. </w:t>
      </w:r>
      <w:r w:rsidRPr="0030317E">
        <w:rPr>
          <w:rFonts w:ascii="Calibri" w:hAnsi="Calibri" w:cs="Calibri"/>
          <w:i/>
          <w:iCs/>
        </w:rPr>
        <w:t>Environ Mol Mutagen</w:t>
      </w:r>
      <w:r w:rsidRPr="0030317E">
        <w:rPr>
          <w:rFonts w:ascii="Calibri" w:hAnsi="Calibri" w:cs="Calibri"/>
        </w:rPr>
        <w:t xml:space="preserve"> 2023;64(4):202-233. PMID: 36880770</w:t>
      </w:r>
    </w:p>
  </w:footnote>
  <w:footnote w:id="11">
    <w:p w14:paraId="3D50F6B3" w14:textId="77777777" w:rsidR="002A0EC5" w:rsidRDefault="002A0EC5" w:rsidP="002A0EC5">
      <w:pPr>
        <w:pStyle w:val="FootnoteText"/>
      </w:pPr>
      <w:r w:rsidRPr="0030317E">
        <w:rPr>
          <w:rStyle w:val="FootnoteReference"/>
          <w:rFonts w:ascii="Calibri" w:hAnsi="Calibri" w:cs="Calibri"/>
        </w:rPr>
        <w:footnoteRef/>
      </w:r>
      <w:r w:rsidRPr="0030317E">
        <w:rPr>
          <w:rFonts w:ascii="Calibri" w:hAnsi="Calibri" w:cs="Calibri"/>
        </w:rPr>
        <w:t xml:space="preserve"> Hantel A, et al</w:t>
      </w:r>
      <w:r w:rsidRPr="0030317E">
        <w:rPr>
          <w:rFonts w:ascii="Calibri" w:hAnsi="Calibri" w:cs="Calibri"/>
          <w:i/>
          <w:iCs/>
        </w:rPr>
        <w:t>.</w:t>
      </w:r>
      <w:r w:rsidRPr="0030317E">
        <w:rPr>
          <w:rFonts w:ascii="Calibri" w:hAnsi="Calibri" w:cs="Calibri"/>
        </w:rPr>
        <w:t xml:space="preserve"> </w:t>
      </w:r>
      <w:r w:rsidRPr="0030317E">
        <w:rPr>
          <w:rFonts w:ascii="Calibri" w:hAnsi="Calibri" w:cs="Calibri"/>
          <w:i/>
          <w:iCs/>
        </w:rPr>
        <w:t>JAMA Netw Open</w:t>
      </w:r>
      <w:r w:rsidRPr="0030317E">
        <w:rPr>
          <w:rFonts w:ascii="Calibri" w:hAnsi="Calibri" w:cs="Calibri"/>
        </w:rPr>
        <w:t xml:space="preserve"> 2024;7(3):e244077. PMID: 38546644</w:t>
      </w:r>
    </w:p>
  </w:footnote>
  <w:footnote w:id="12">
    <w:p w14:paraId="10AFD20B" w14:textId="77777777" w:rsidR="00D22EAB" w:rsidRPr="0030317E" w:rsidRDefault="00D22EAB" w:rsidP="00D22EAB">
      <w:pPr>
        <w:pStyle w:val="FootnoteText"/>
        <w:rPr>
          <w:rFonts w:ascii="Calibri" w:hAnsi="Calibri" w:cs="Calibri"/>
        </w:rPr>
      </w:pPr>
      <w:r w:rsidRPr="0030317E">
        <w:rPr>
          <w:rStyle w:val="FootnoteReference"/>
          <w:rFonts w:ascii="Calibri" w:hAnsi="Calibri" w:cs="Calibri"/>
        </w:rPr>
        <w:footnoteRef/>
      </w:r>
      <w:r w:rsidRPr="0030317E">
        <w:rPr>
          <w:rFonts w:ascii="Calibri" w:hAnsi="Calibri" w:cs="Calibri"/>
        </w:rPr>
        <w:t xml:space="preserve"> Achar SR, et al. </w:t>
      </w:r>
      <w:r w:rsidRPr="0030317E">
        <w:rPr>
          <w:rFonts w:ascii="Calibri" w:hAnsi="Calibri" w:cs="Calibri"/>
          <w:i/>
          <w:iCs/>
        </w:rPr>
        <w:t>Science</w:t>
      </w:r>
      <w:r w:rsidRPr="0030317E">
        <w:rPr>
          <w:rFonts w:ascii="Calibri" w:hAnsi="Calibri" w:cs="Calibri"/>
        </w:rPr>
        <w:t xml:space="preserve"> 2022;376(6595):880-884. PMID: 35587980</w:t>
      </w:r>
    </w:p>
  </w:footnote>
  <w:footnote w:id="13">
    <w:p w14:paraId="243E4CDC" w14:textId="529AD3A0" w:rsidR="005C6FB1" w:rsidRDefault="005C6FB1" w:rsidP="005C6FB1">
      <w:pPr>
        <w:pStyle w:val="FootnoteText"/>
      </w:pPr>
      <w:r w:rsidRPr="0030317E">
        <w:rPr>
          <w:rStyle w:val="FootnoteReference"/>
          <w:rFonts w:ascii="Calibri" w:hAnsi="Calibri" w:cs="Calibri"/>
        </w:rPr>
        <w:footnoteRef/>
      </w:r>
      <w:r w:rsidRPr="0030317E">
        <w:rPr>
          <w:rFonts w:ascii="Calibri" w:hAnsi="Calibri" w:cs="Calibri"/>
        </w:rPr>
        <w:t xml:space="preserve"> </w:t>
      </w:r>
      <w:hyperlink r:id="rId4" w:history="1">
        <w:r w:rsidR="00C67132" w:rsidRPr="00CD6CA4">
          <w:rPr>
            <w:rStyle w:val="Hyperlink"/>
            <w:rFonts w:ascii="Calibri" w:hAnsi="Calibri" w:cs="Calibri"/>
          </w:rPr>
          <w:t>https://www.midrc.org/</w:t>
        </w:r>
      </w:hyperlink>
    </w:p>
  </w:footnote>
  <w:footnote w:id="14">
    <w:p w14:paraId="6D18A81B" w14:textId="1FDD50EA" w:rsidR="00D303A2" w:rsidRDefault="00D303A2">
      <w:pPr>
        <w:pStyle w:val="FootnoteText"/>
      </w:pPr>
      <w:r>
        <w:rPr>
          <w:rStyle w:val="FootnoteReference"/>
        </w:rPr>
        <w:footnoteRef/>
      </w:r>
      <w:r>
        <w:t xml:space="preserve"> </w:t>
      </w:r>
      <w:r w:rsidRPr="00D303A2">
        <w:rPr>
          <w:rFonts w:ascii="Calibri" w:hAnsi="Calibri" w:cs="Calibri"/>
        </w:rPr>
        <w:t xml:space="preserve">Shi L, et al. </w:t>
      </w:r>
      <w:r w:rsidRPr="00D303A2">
        <w:rPr>
          <w:rFonts w:ascii="Calibri" w:hAnsi="Calibri" w:cs="Calibri"/>
          <w:i/>
          <w:iCs/>
        </w:rPr>
        <w:t>Nat Cancer</w:t>
      </w:r>
      <w:r w:rsidRPr="00D303A2">
        <w:rPr>
          <w:rFonts w:ascii="Calibri" w:hAnsi="Calibri" w:cs="Calibri"/>
        </w:rPr>
        <w:t xml:space="preserve"> 2023;4:365-381. PMID: 36914816</w:t>
      </w:r>
    </w:p>
  </w:footnote>
  <w:footnote w:id="15">
    <w:p w14:paraId="60042A34" w14:textId="77777777" w:rsidR="0033511C" w:rsidRPr="007923EC" w:rsidRDefault="0033511C" w:rsidP="0033511C">
      <w:pPr>
        <w:pStyle w:val="FootnoteText"/>
        <w:rPr>
          <w:rFonts w:ascii="Calibri" w:hAnsi="Calibri" w:cs="Calibri"/>
        </w:rPr>
      </w:pPr>
      <w:r w:rsidRPr="007923EC">
        <w:rPr>
          <w:rStyle w:val="FootnoteReference"/>
          <w:rFonts w:ascii="Calibri" w:hAnsi="Calibri" w:cs="Calibri"/>
        </w:rPr>
        <w:footnoteRef/>
      </w:r>
      <w:r w:rsidRPr="007923EC">
        <w:rPr>
          <w:rFonts w:ascii="Calibri" w:hAnsi="Calibri" w:cs="Calibri"/>
        </w:rPr>
        <w:t xml:space="preserve"> https://www.cancer.gov/research/leading-progress/stories/cytalux</w:t>
      </w:r>
    </w:p>
  </w:footnote>
  <w:footnote w:id="16">
    <w:p w14:paraId="1E6FBDD0" w14:textId="77777777" w:rsidR="0033511C" w:rsidRPr="007923EC" w:rsidRDefault="0033511C" w:rsidP="0033511C">
      <w:pPr>
        <w:pStyle w:val="FootnoteText"/>
        <w:rPr>
          <w:rFonts w:ascii="Calibri" w:hAnsi="Calibri" w:cs="Calibri"/>
        </w:rPr>
      </w:pPr>
      <w:r w:rsidRPr="007923EC">
        <w:rPr>
          <w:rStyle w:val="FootnoteReference"/>
          <w:rFonts w:ascii="Calibri" w:hAnsi="Calibri" w:cs="Calibri"/>
        </w:rPr>
        <w:footnoteRef/>
      </w:r>
      <w:r w:rsidRPr="007923EC">
        <w:rPr>
          <w:rFonts w:ascii="Calibri" w:hAnsi="Calibri" w:cs="Calibri"/>
        </w:rPr>
        <w:t xml:space="preserve"> Lu DY, et al</w:t>
      </w:r>
      <w:r w:rsidRPr="007923EC">
        <w:rPr>
          <w:rFonts w:ascii="Calibri" w:hAnsi="Calibri" w:cs="Calibri"/>
          <w:i/>
          <w:iCs/>
        </w:rPr>
        <w:t>. Nat Cell Biol</w:t>
      </w:r>
      <w:r w:rsidRPr="007923EC">
        <w:rPr>
          <w:rFonts w:ascii="Calibri" w:hAnsi="Calibri" w:cs="Calibri"/>
        </w:rPr>
        <w:t xml:space="preserve"> 2023;25(2):285-97. PMID: 36658220</w:t>
      </w:r>
    </w:p>
  </w:footnote>
  <w:footnote w:id="17">
    <w:p w14:paraId="3FD19334" w14:textId="77777777" w:rsidR="0033511C" w:rsidRPr="007923EC" w:rsidRDefault="0033511C" w:rsidP="0033511C">
      <w:pPr>
        <w:pStyle w:val="FootnoteText"/>
        <w:rPr>
          <w:rFonts w:ascii="Calibri" w:hAnsi="Calibri" w:cs="Calibri"/>
        </w:rPr>
      </w:pPr>
      <w:r w:rsidRPr="007923EC">
        <w:rPr>
          <w:rStyle w:val="FootnoteReference"/>
          <w:rFonts w:ascii="Calibri" w:hAnsi="Calibri" w:cs="Calibri"/>
        </w:rPr>
        <w:footnoteRef/>
      </w:r>
      <w:r w:rsidRPr="007923EC">
        <w:rPr>
          <w:rFonts w:ascii="Calibri" w:hAnsi="Calibri" w:cs="Calibri"/>
        </w:rPr>
        <w:t xml:space="preserve"> Gao Y, et al. </w:t>
      </w:r>
      <w:r w:rsidRPr="007923EC">
        <w:rPr>
          <w:rFonts w:ascii="Calibri" w:hAnsi="Calibri" w:cs="Calibri"/>
          <w:i/>
          <w:iCs/>
        </w:rPr>
        <w:t>Nat Cell Biol</w:t>
      </w:r>
      <w:r w:rsidRPr="007923EC">
        <w:rPr>
          <w:rFonts w:ascii="Calibri" w:hAnsi="Calibri" w:cs="Calibri"/>
        </w:rPr>
        <w:t xml:space="preserve"> 2023;25(2):298-308. PMID: 36658219</w:t>
      </w:r>
    </w:p>
  </w:footnote>
  <w:footnote w:id="18">
    <w:p w14:paraId="133B08DE" w14:textId="77777777" w:rsidR="0033511C" w:rsidRPr="007923EC" w:rsidRDefault="0033511C" w:rsidP="0033511C">
      <w:pPr>
        <w:pStyle w:val="FootnoteText"/>
        <w:rPr>
          <w:rFonts w:ascii="Calibri" w:hAnsi="Calibri" w:cs="Calibri"/>
        </w:rPr>
      </w:pPr>
      <w:r w:rsidRPr="007923EC">
        <w:rPr>
          <w:rStyle w:val="FootnoteReference"/>
          <w:rFonts w:ascii="Calibri" w:hAnsi="Calibri" w:cs="Calibri"/>
        </w:rPr>
        <w:footnoteRef/>
      </w:r>
      <w:r w:rsidRPr="007923EC">
        <w:rPr>
          <w:rFonts w:ascii="Calibri" w:hAnsi="Calibri" w:cs="Calibri"/>
        </w:rPr>
        <w:t xml:space="preserve"> Melani C, et al. </w:t>
      </w:r>
      <w:r w:rsidRPr="007923EC">
        <w:rPr>
          <w:rFonts w:ascii="Calibri" w:hAnsi="Calibri" w:cs="Calibri"/>
          <w:i/>
          <w:iCs/>
        </w:rPr>
        <w:t>N Engl J Med</w:t>
      </w:r>
      <w:r w:rsidRPr="007923EC">
        <w:rPr>
          <w:rFonts w:ascii="Calibri" w:hAnsi="Calibri" w:cs="Calibri"/>
        </w:rPr>
        <w:t xml:space="preserve"> 2024;390(23):2143-2155. PMID: 38899693</w:t>
      </w:r>
    </w:p>
  </w:footnote>
  <w:footnote w:id="19">
    <w:p w14:paraId="5ACFD8C8" w14:textId="77777777" w:rsidR="0033511C" w:rsidRDefault="0033511C" w:rsidP="0033511C">
      <w:pPr>
        <w:pStyle w:val="FootnoteText"/>
      </w:pPr>
      <w:r w:rsidRPr="007923EC">
        <w:rPr>
          <w:rStyle w:val="FootnoteReference"/>
          <w:rFonts w:ascii="Calibri" w:hAnsi="Calibri" w:cs="Calibri"/>
        </w:rPr>
        <w:footnoteRef/>
      </w:r>
      <w:r w:rsidRPr="007923EC">
        <w:rPr>
          <w:rFonts w:ascii="Calibri" w:hAnsi="Calibri" w:cs="Calibri"/>
        </w:rPr>
        <w:t xml:space="preserve"> https://clinicaltrials.gov/study/NCT03223610</w:t>
      </w:r>
    </w:p>
  </w:footnote>
  <w:footnote w:id="20">
    <w:p w14:paraId="053467FA" w14:textId="77777777" w:rsidR="00130469" w:rsidRPr="002A6E68" w:rsidRDefault="00130469" w:rsidP="00130469">
      <w:pPr>
        <w:pStyle w:val="FootnoteText"/>
        <w:rPr>
          <w:rFonts w:ascii="Calibri" w:hAnsi="Calibri" w:cs="Calibri"/>
        </w:rPr>
      </w:pPr>
      <w:r w:rsidRPr="002A6E68">
        <w:rPr>
          <w:rStyle w:val="FootnoteReference"/>
          <w:rFonts w:ascii="Calibri" w:hAnsi="Calibri" w:cs="Calibri"/>
        </w:rPr>
        <w:footnoteRef/>
      </w:r>
      <w:r w:rsidRPr="002A6E68">
        <w:rPr>
          <w:rFonts w:ascii="Calibri" w:hAnsi="Calibri" w:cs="Calibri"/>
        </w:rPr>
        <w:t xml:space="preserve"> https://clinicaltrials.gov/study/NCT06625775</w:t>
      </w:r>
    </w:p>
  </w:footnote>
  <w:footnote w:id="21">
    <w:p w14:paraId="6E0503A8" w14:textId="77777777" w:rsidR="00130469" w:rsidRDefault="00130469" w:rsidP="00130469">
      <w:pPr>
        <w:pStyle w:val="FootnoteText"/>
      </w:pPr>
      <w:r w:rsidRPr="002A6E68">
        <w:rPr>
          <w:rStyle w:val="FootnoteReference"/>
          <w:rFonts w:ascii="Calibri" w:hAnsi="Calibri" w:cs="Calibri"/>
        </w:rPr>
        <w:footnoteRef/>
      </w:r>
      <w:r w:rsidRPr="002A6E68">
        <w:rPr>
          <w:rFonts w:ascii="Calibri" w:hAnsi="Calibri" w:cs="Calibri"/>
        </w:rPr>
        <w:t xml:space="preserve"> Tutt ANJ, et al. </w:t>
      </w:r>
      <w:r w:rsidRPr="008801D4">
        <w:rPr>
          <w:rFonts w:ascii="Calibri" w:hAnsi="Calibri" w:cs="Calibri"/>
          <w:i/>
          <w:iCs/>
        </w:rPr>
        <w:t>N Engl J Med</w:t>
      </w:r>
      <w:r w:rsidRPr="002A6E68">
        <w:rPr>
          <w:rFonts w:ascii="Calibri" w:hAnsi="Calibri" w:cs="Calibri"/>
        </w:rPr>
        <w:t xml:space="preserve"> 2021;384(25):2394-2405. PMID: 34081848.</w:t>
      </w:r>
    </w:p>
  </w:footnote>
  <w:footnote w:id="22">
    <w:p w14:paraId="7A4AF8F2" w14:textId="77777777" w:rsidR="00130469" w:rsidRPr="002A6E68" w:rsidRDefault="00130469" w:rsidP="00130469">
      <w:pPr>
        <w:pStyle w:val="FootnoteText"/>
        <w:rPr>
          <w:rFonts w:ascii="Calibri" w:hAnsi="Calibri" w:cs="Calibri"/>
        </w:rPr>
      </w:pPr>
      <w:r w:rsidRPr="002A6E68">
        <w:rPr>
          <w:rStyle w:val="FootnoteReference"/>
          <w:rFonts w:ascii="Calibri" w:hAnsi="Calibri" w:cs="Calibri"/>
        </w:rPr>
        <w:footnoteRef/>
      </w:r>
      <w:r w:rsidRPr="002A6E68">
        <w:rPr>
          <w:rFonts w:ascii="Calibri" w:hAnsi="Calibri" w:cs="Calibri"/>
        </w:rPr>
        <w:t xml:space="preserve"> Wilson WH, et al. </w:t>
      </w:r>
      <w:r w:rsidRPr="002A6E68">
        <w:rPr>
          <w:rFonts w:ascii="Calibri" w:hAnsi="Calibri" w:cs="Calibri"/>
          <w:i/>
          <w:iCs/>
        </w:rPr>
        <w:t>Cancer Cell</w:t>
      </w:r>
      <w:r w:rsidRPr="002A6E68">
        <w:rPr>
          <w:rFonts w:ascii="Calibri" w:hAnsi="Calibri" w:cs="Calibri"/>
        </w:rPr>
        <w:t xml:space="preserve"> 2021;39(12):1643-1653.e3. PMID: 34739844</w:t>
      </w:r>
    </w:p>
  </w:footnote>
  <w:footnote w:id="23">
    <w:p w14:paraId="5F6881E4" w14:textId="77777777" w:rsidR="00130469" w:rsidRDefault="00130469" w:rsidP="00130469">
      <w:pPr>
        <w:pStyle w:val="FootnoteText"/>
      </w:pPr>
      <w:r w:rsidRPr="002A6E68">
        <w:rPr>
          <w:rStyle w:val="FootnoteReference"/>
          <w:rFonts w:ascii="Calibri" w:hAnsi="Calibri" w:cs="Calibri"/>
        </w:rPr>
        <w:footnoteRef/>
      </w:r>
      <w:r w:rsidRPr="002A6E68">
        <w:rPr>
          <w:rFonts w:ascii="Calibri" w:hAnsi="Calibri" w:cs="Calibri"/>
        </w:rPr>
        <w:t xml:space="preserve"> Huang Z, et al. </w:t>
      </w:r>
      <w:r w:rsidRPr="008801D4">
        <w:rPr>
          <w:rFonts w:ascii="Calibri" w:hAnsi="Calibri" w:cs="Calibri"/>
          <w:i/>
          <w:iCs/>
        </w:rPr>
        <w:t>Nat Genet</w:t>
      </w:r>
      <w:r w:rsidRPr="002A6E68">
        <w:rPr>
          <w:rFonts w:ascii="Calibri" w:hAnsi="Calibri" w:cs="Calibri"/>
        </w:rPr>
        <w:t xml:space="preserve"> 2022;54(4):492-98. PMID: 35410377</w:t>
      </w:r>
    </w:p>
  </w:footnote>
  <w:footnote w:id="24">
    <w:p w14:paraId="13B37EA9" w14:textId="77777777" w:rsidR="00CD7458" w:rsidRPr="008801D4" w:rsidRDefault="00CD7458" w:rsidP="00CD7458">
      <w:pPr>
        <w:pStyle w:val="FootnoteText"/>
        <w:rPr>
          <w:rFonts w:ascii="Calibri" w:hAnsi="Calibri" w:cs="Calibri"/>
        </w:rPr>
      </w:pPr>
      <w:r w:rsidRPr="008801D4">
        <w:rPr>
          <w:rStyle w:val="FootnoteReference"/>
          <w:rFonts w:ascii="Calibri" w:hAnsi="Calibri" w:cs="Calibri"/>
        </w:rPr>
        <w:footnoteRef/>
      </w:r>
      <w:r w:rsidRPr="008801D4">
        <w:rPr>
          <w:rFonts w:ascii="Calibri" w:hAnsi="Calibri" w:cs="Calibri"/>
        </w:rPr>
        <w:t xml:space="preserve"> Reinhold WC, et al. </w:t>
      </w:r>
      <w:r w:rsidRPr="008801D4">
        <w:rPr>
          <w:rFonts w:ascii="Calibri" w:hAnsi="Calibri" w:cs="Calibri"/>
          <w:i/>
          <w:iCs/>
        </w:rPr>
        <w:t>Cancer Res</w:t>
      </w:r>
      <w:r w:rsidRPr="008801D4">
        <w:rPr>
          <w:rFonts w:ascii="Calibri" w:hAnsi="Calibri" w:cs="Calibri"/>
        </w:rPr>
        <w:t xml:space="preserve"> 2023;83(12):1941-52. PMID: 37140427</w:t>
      </w:r>
    </w:p>
  </w:footnote>
  <w:footnote w:id="25">
    <w:p w14:paraId="0F926207" w14:textId="77777777" w:rsidR="006F7B6B" w:rsidRDefault="006F7B6B" w:rsidP="006F7B6B">
      <w:pPr>
        <w:pStyle w:val="FootnoteText"/>
      </w:pPr>
      <w:r w:rsidRPr="008801D4">
        <w:rPr>
          <w:rStyle w:val="FootnoteReference"/>
          <w:rFonts w:ascii="Calibri" w:hAnsi="Calibri" w:cs="Calibri"/>
        </w:rPr>
        <w:footnoteRef/>
      </w:r>
      <w:r w:rsidRPr="008801D4">
        <w:rPr>
          <w:rFonts w:ascii="Calibri" w:hAnsi="Calibri" w:cs="Calibri"/>
        </w:rPr>
        <w:t xml:space="preserve"> https://datacommons.cancer.gov</w:t>
      </w:r>
    </w:p>
  </w:footnote>
  <w:footnote w:id="26">
    <w:p w14:paraId="3692875C" w14:textId="77777777" w:rsidR="00E93C45" w:rsidRPr="008801D4" w:rsidRDefault="00E93C45" w:rsidP="00E93C45">
      <w:pPr>
        <w:pStyle w:val="FootnoteText"/>
        <w:rPr>
          <w:rFonts w:ascii="Calibri" w:hAnsi="Calibri" w:cs="Calibri"/>
        </w:rPr>
      </w:pPr>
      <w:r w:rsidRPr="008801D4">
        <w:rPr>
          <w:rStyle w:val="FootnoteReference"/>
          <w:rFonts w:ascii="Calibri" w:hAnsi="Calibri" w:cs="Calibri"/>
        </w:rPr>
        <w:footnoteRef/>
      </w:r>
      <w:r w:rsidRPr="008801D4">
        <w:rPr>
          <w:rFonts w:ascii="Calibri" w:hAnsi="Calibri" w:cs="Calibri"/>
        </w:rPr>
        <w:t xml:space="preserve"> Withrow DR, et al. </w:t>
      </w:r>
      <w:r w:rsidRPr="008801D4">
        <w:rPr>
          <w:rFonts w:ascii="Calibri" w:hAnsi="Calibri" w:cs="Calibri"/>
          <w:i/>
          <w:iCs/>
        </w:rPr>
        <w:t>JAMA Oncol</w:t>
      </w:r>
      <w:r w:rsidRPr="008801D4">
        <w:rPr>
          <w:rFonts w:ascii="Calibri" w:hAnsi="Calibri" w:cs="Calibri"/>
        </w:rPr>
        <w:t xml:space="preserve"> 2022;8(12):1756-64. PMID: 36201196</w:t>
      </w:r>
    </w:p>
  </w:footnote>
  <w:footnote w:id="27">
    <w:p w14:paraId="2614FA45" w14:textId="390D3FAA" w:rsidR="00D71B9D" w:rsidRDefault="00D71B9D">
      <w:pPr>
        <w:pStyle w:val="FootnoteText"/>
      </w:pPr>
      <w:r w:rsidRPr="008801D4">
        <w:rPr>
          <w:rStyle w:val="FootnoteReference"/>
          <w:rFonts w:ascii="Calibri" w:hAnsi="Calibri" w:cs="Calibri"/>
        </w:rPr>
        <w:footnoteRef/>
      </w:r>
      <w:r w:rsidRPr="008801D4">
        <w:rPr>
          <w:rFonts w:ascii="Calibri" w:hAnsi="Calibri" w:cs="Calibri"/>
        </w:rPr>
        <w:t xml:space="preserve"> Smith-Roe SL, et al. </w:t>
      </w:r>
      <w:r w:rsidRPr="008801D4">
        <w:rPr>
          <w:rFonts w:ascii="Calibri" w:hAnsi="Calibri" w:cs="Calibri"/>
          <w:i/>
          <w:iCs/>
        </w:rPr>
        <w:t>Environ Mol Mutagen</w:t>
      </w:r>
      <w:r w:rsidRPr="008801D4">
        <w:rPr>
          <w:rFonts w:ascii="Calibri" w:hAnsi="Calibri" w:cs="Calibri"/>
        </w:rPr>
        <w:t xml:space="preserve"> 2023;64(4):202-233. PMID: 36880770</w:t>
      </w:r>
    </w:p>
  </w:footnote>
  <w:footnote w:id="28">
    <w:p w14:paraId="18D39814" w14:textId="16F5BE1B" w:rsidR="00A00818" w:rsidRPr="00682775" w:rsidRDefault="00A00818">
      <w:pPr>
        <w:pStyle w:val="FootnoteText"/>
        <w:rPr>
          <w:rFonts w:ascii="Calibri" w:hAnsi="Calibri" w:cs="Calibri"/>
        </w:rPr>
      </w:pPr>
      <w:r w:rsidRPr="00682775">
        <w:rPr>
          <w:rStyle w:val="FootnoteReference"/>
          <w:rFonts w:ascii="Calibri" w:hAnsi="Calibri" w:cs="Calibri"/>
        </w:rPr>
        <w:footnoteRef/>
      </w:r>
      <w:r w:rsidRPr="00682775">
        <w:rPr>
          <w:rFonts w:ascii="Calibri" w:hAnsi="Calibri" w:cs="Calibri"/>
        </w:rPr>
        <w:t xml:space="preserve"> https://progressreport.cancer.gov/</w:t>
      </w:r>
    </w:p>
  </w:footnote>
  <w:footnote w:id="29">
    <w:p w14:paraId="2B46B415" w14:textId="77777777" w:rsidR="00E93C45" w:rsidRPr="00682775" w:rsidRDefault="00E93C45" w:rsidP="00E93C45">
      <w:pPr>
        <w:pStyle w:val="FootnoteText"/>
        <w:rPr>
          <w:rFonts w:ascii="Calibri" w:hAnsi="Calibri" w:cs="Calibri"/>
        </w:rPr>
      </w:pPr>
      <w:r w:rsidRPr="00682775">
        <w:rPr>
          <w:rStyle w:val="FootnoteReference"/>
          <w:rFonts w:ascii="Calibri" w:hAnsi="Calibri" w:cs="Calibri"/>
        </w:rPr>
        <w:footnoteRef/>
      </w:r>
      <w:r w:rsidRPr="00682775">
        <w:rPr>
          <w:rFonts w:ascii="Calibri" w:hAnsi="Calibri" w:cs="Calibri"/>
        </w:rPr>
        <w:t xml:space="preserve"> Luo J, et al. </w:t>
      </w:r>
      <w:r w:rsidRPr="00682775">
        <w:rPr>
          <w:rFonts w:ascii="Calibri" w:hAnsi="Calibri" w:cs="Calibri"/>
          <w:i/>
          <w:iCs/>
        </w:rPr>
        <w:t>BMC Cancer</w:t>
      </w:r>
      <w:r w:rsidRPr="00682775">
        <w:rPr>
          <w:rFonts w:ascii="Calibri" w:hAnsi="Calibri" w:cs="Calibri"/>
        </w:rPr>
        <w:t xml:space="preserve"> 2023;23(1):183. PMID: 36823587</w:t>
      </w:r>
    </w:p>
  </w:footnote>
  <w:footnote w:id="30">
    <w:p w14:paraId="59B00475" w14:textId="77777777" w:rsidR="00D5769D" w:rsidRPr="00682775" w:rsidRDefault="00D5769D" w:rsidP="00D5769D">
      <w:pPr>
        <w:pStyle w:val="FootnoteText"/>
        <w:rPr>
          <w:rFonts w:ascii="Calibri" w:hAnsi="Calibri" w:cs="Calibri"/>
        </w:rPr>
      </w:pPr>
      <w:r w:rsidRPr="00682775">
        <w:rPr>
          <w:rStyle w:val="FootnoteReference"/>
          <w:rFonts w:ascii="Calibri" w:hAnsi="Calibri" w:cs="Calibri"/>
        </w:rPr>
        <w:footnoteRef/>
      </w:r>
      <w:r w:rsidRPr="00682775">
        <w:rPr>
          <w:rFonts w:ascii="Calibri" w:hAnsi="Calibri" w:cs="Calibri"/>
        </w:rPr>
        <w:t xml:space="preserve"> Knudsen AB, et al. </w:t>
      </w:r>
      <w:r w:rsidRPr="00682775">
        <w:rPr>
          <w:rFonts w:ascii="Calibri" w:hAnsi="Calibri" w:cs="Calibri"/>
          <w:i/>
          <w:iCs/>
        </w:rPr>
        <w:t>JAMA Netw Open</w:t>
      </w:r>
      <w:r w:rsidRPr="00682775">
        <w:rPr>
          <w:rFonts w:ascii="Calibri" w:hAnsi="Calibri" w:cs="Calibri"/>
        </w:rPr>
        <w:t xml:space="preserve"> 2023;6(11):e2344698. PMID: 37991759</w:t>
      </w:r>
    </w:p>
  </w:footnote>
  <w:footnote w:id="31">
    <w:p w14:paraId="50A7F390" w14:textId="77777777" w:rsidR="00D5769D" w:rsidRDefault="00D5769D" w:rsidP="00D5769D">
      <w:pPr>
        <w:pStyle w:val="FootnoteText"/>
      </w:pPr>
      <w:r w:rsidRPr="00682775">
        <w:rPr>
          <w:rStyle w:val="FootnoteReference"/>
          <w:rFonts w:ascii="Calibri" w:hAnsi="Calibri" w:cs="Calibri"/>
        </w:rPr>
        <w:footnoteRef/>
      </w:r>
      <w:r w:rsidRPr="00682775">
        <w:rPr>
          <w:rFonts w:ascii="Calibri" w:hAnsi="Calibri" w:cs="Calibri"/>
        </w:rPr>
        <w:t xml:space="preserve"> </w:t>
      </w:r>
      <w:hyperlink r:id="rId5" w:tgtFrame="_new" w:history="1">
        <w:r w:rsidRPr="00682775">
          <w:rPr>
            <w:rStyle w:val="Hyperlink"/>
            <w:rFonts w:ascii="Calibri" w:hAnsi="Calibri" w:cs="Calibri"/>
            <w:color w:val="000000" w:themeColor="text1"/>
            <w:u w:val="none"/>
          </w:rPr>
          <w:t>https://www.cancer.gov/news-events/cancer-currents-blog/2024/more-cancer-screening-modeling-study-knudsen</w:t>
        </w:r>
      </w:hyperlink>
    </w:p>
  </w:footnote>
  <w:footnote w:id="32">
    <w:p w14:paraId="527759A7" w14:textId="77777777" w:rsidR="00E93C45" w:rsidRPr="0007430E" w:rsidRDefault="00E93C45" w:rsidP="00E93C45">
      <w:pPr>
        <w:pStyle w:val="FootnoteText"/>
        <w:rPr>
          <w:rFonts w:ascii="Calibri" w:hAnsi="Calibri" w:cs="Calibri"/>
        </w:rPr>
      </w:pPr>
      <w:r w:rsidRPr="0007430E">
        <w:rPr>
          <w:rStyle w:val="FootnoteReference"/>
          <w:rFonts w:ascii="Calibri" w:hAnsi="Calibri" w:cs="Calibri"/>
        </w:rPr>
        <w:footnoteRef/>
      </w:r>
      <w:r w:rsidRPr="0007430E">
        <w:rPr>
          <w:rFonts w:ascii="Calibri" w:hAnsi="Calibri" w:cs="Calibri"/>
        </w:rPr>
        <w:t xml:space="preserve"> Song M, et al. </w:t>
      </w:r>
      <w:r w:rsidRPr="0007430E">
        <w:rPr>
          <w:rFonts w:ascii="Calibri" w:hAnsi="Calibri" w:cs="Calibri"/>
          <w:i/>
          <w:iCs/>
        </w:rPr>
        <w:t>JAMA Oncol</w:t>
      </w:r>
      <w:r w:rsidRPr="0007430E">
        <w:rPr>
          <w:rFonts w:ascii="Calibri" w:hAnsi="Calibri" w:cs="Calibri"/>
        </w:rPr>
        <w:t xml:space="preserve"> 2022;8(2):268-74. PMID: 34913949</w:t>
      </w:r>
    </w:p>
  </w:footnote>
  <w:footnote w:id="33">
    <w:p w14:paraId="13EB9794" w14:textId="77777777" w:rsidR="00196BC6" w:rsidRPr="00702DDE" w:rsidRDefault="00196BC6" w:rsidP="00196BC6">
      <w:pPr>
        <w:pStyle w:val="FootnoteText"/>
        <w:rPr>
          <w:rFonts w:ascii="Calibri" w:hAnsi="Calibri" w:cs="Calibri"/>
        </w:rPr>
      </w:pPr>
      <w:r w:rsidRPr="00702DDE">
        <w:rPr>
          <w:rStyle w:val="FootnoteReference"/>
          <w:rFonts w:ascii="Calibri" w:hAnsi="Calibri" w:cs="Calibri"/>
        </w:rPr>
        <w:footnoteRef/>
      </w:r>
      <w:r w:rsidRPr="00702DDE">
        <w:rPr>
          <w:rFonts w:ascii="Calibri" w:hAnsi="Calibri" w:cs="Calibri"/>
        </w:rPr>
        <w:t xml:space="preserve"> Yan W, </w:t>
      </w:r>
      <w:r w:rsidRPr="00702DDE">
        <w:rPr>
          <w:rFonts w:ascii="Calibri" w:hAnsi="Calibri" w:cs="Calibri"/>
          <w:i/>
          <w:iCs/>
        </w:rPr>
        <w:t>et al.</w:t>
      </w:r>
      <w:r w:rsidRPr="00702DDE">
        <w:rPr>
          <w:rFonts w:ascii="Calibri" w:hAnsi="Calibri" w:cs="Calibri"/>
        </w:rPr>
        <w:t xml:space="preserve"> </w:t>
      </w:r>
      <w:r w:rsidRPr="00702DDE">
        <w:rPr>
          <w:rFonts w:ascii="Calibri" w:hAnsi="Calibri" w:cs="Calibri"/>
          <w:i/>
          <w:iCs/>
        </w:rPr>
        <w:t>Nat Cell Biol</w:t>
      </w:r>
      <w:r w:rsidRPr="00702DDE">
        <w:rPr>
          <w:rFonts w:ascii="Calibri" w:hAnsi="Calibri" w:cs="Calibri"/>
        </w:rPr>
        <w:t xml:space="preserve"> 2022;24(5):793-804. PMID: 35469018</w:t>
      </w:r>
    </w:p>
  </w:footnote>
  <w:footnote w:id="34">
    <w:p w14:paraId="5022D4D1" w14:textId="77777777" w:rsidR="00196BC6" w:rsidRPr="00702DDE" w:rsidRDefault="00196BC6" w:rsidP="00196BC6">
      <w:pPr>
        <w:pStyle w:val="FootnoteText"/>
        <w:rPr>
          <w:rFonts w:ascii="Calibri" w:hAnsi="Calibri" w:cs="Calibri"/>
        </w:rPr>
      </w:pPr>
      <w:r w:rsidRPr="00702DDE">
        <w:rPr>
          <w:rStyle w:val="FootnoteReference"/>
          <w:rFonts w:ascii="Calibri" w:hAnsi="Calibri" w:cs="Calibri"/>
        </w:rPr>
        <w:footnoteRef/>
      </w:r>
      <w:r w:rsidRPr="00702DDE">
        <w:rPr>
          <w:rFonts w:ascii="Calibri" w:hAnsi="Calibri" w:cs="Calibri"/>
        </w:rPr>
        <w:t xml:space="preserve"> Delfinis LJ, et al. </w:t>
      </w:r>
      <w:r w:rsidRPr="00702DDE">
        <w:rPr>
          <w:rFonts w:ascii="Calibri" w:hAnsi="Calibri" w:cs="Calibri"/>
          <w:i/>
          <w:iCs/>
        </w:rPr>
        <w:t>JCI Insight</w:t>
      </w:r>
      <w:r w:rsidRPr="00702DDE">
        <w:rPr>
          <w:rFonts w:ascii="Calibri" w:hAnsi="Calibri" w:cs="Calibri"/>
        </w:rPr>
        <w:t xml:space="preserve"> 2022;7(24):e155147. PMID: 36346680</w:t>
      </w:r>
    </w:p>
  </w:footnote>
  <w:footnote w:id="35">
    <w:p w14:paraId="634B3DC6" w14:textId="77777777" w:rsidR="00196BC6" w:rsidRPr="00702DDE" w:rsidRDefault="00196BC6" w:rsidP="00196BC6">
      <w:pPr>
        <w:pStyle w:val="FootnoteText"/>
        <w:rPr>
          <w:rFonts w:ascii="Calibri" w:hAnsi="Calibri" w:cs="Calibri"/>
        </w:rPr>
      </w:pPr>
      <w:r w:rsidRPr="00702DDE">
        <w:rPr>
          <w:rStyle w:val="FootnoteReference"/>
          <w:rFonts w:ascii="Calibri" w:hAnsi="Calibri" w:cs="Calibri"/>
        </w:rPr>
        <w:footnoteRef/>
      </w:r>
      <w:r w:rsidRPr="00702DDE">
        <w:rPr>
          <w:rFonts w:ascii="Calibri" w:hAnsi="Calibri" w:cs="Calibri"/>
        </w:rPr>
        <w:t xml:space="preserve"> Dasgupta A, et al. </w:t>
      </w:r>
      <w:r w:rsidRPr="00702DDE">
        <w:rPr>
          <w:rFonts w:ascii="Calibri" w:hAnsi="Calibri" w:cs="Calibri"/>
          <w:i/>
          <w:iCs/>
        </w:rPr>
        <w:t>Proc Natl Acad Sci U S A</w:t>
      </w:r>
      <w:r w:rsidRPr="00702DDE">
        <w:rPr>
          <w:rFonts w:ascii="Calibri" w:hAnsi="Calibri" w:cs="Calibri"/>
        </w:rPr>
        <w:t xml:space="preserve"> 2023;120(34):e2215095120. PMID: 37585460</w:t>
      </w:r>
    </w:p>
  </w:footnote>
  <w:footnote w:id="36">
    <w:p w14:paraId="032550DC" w14:textId="77777777" w:rsidR="003C6CD8" w:rsidRPr="00702DDE" w:rsidRDefault="003C6CD8" w:rsidP="003C6CD8">
      <w:pPr>
        <w:pStyle w:val="FootnoteText"/>
        <w:rPr>
          <w:rFonts w:ascii="Calibri" w:hAnsi="Calibri" w:cs="Calibri"/>
        </w:rPr>
      </w:pPr>
      <w:r w:rsidRPr="00702DDE">
        <w:rPr>
          <w:rStyle w:val="FootnoteReference"/>
          <w:rFonts w:ascii="Calibri" w:hAnsi="Calibri" w:cs="Calibri"/>
        </w:rPr>
        <w:footnoteRef/>
      </w:r>
      <w:r w:rsidRPr="00702DDE">
        <w:rPr>
          <w:rFonts w:ascii="Calibri" w:hAnsi="Calibri" w:cs="Calibri"/>
        </w:rPr>
        <w:t xml:space="preserve"> Morse DB, et al. </w:t>
      </w:r>
      <w:r w:rsidRPr="00702DDE">
        <w:rPr>
          <w:rFonts w:ascii="Calibri" w:hAnsi="Calibri" w:cs="Calibri"/>
          <w:i/>
          <w:iCs/>
        </w:rPr>
        <w:t>Cell Syst</w:t>
      </w:r>
      <w:r w:rsidRPr="00702DDE">
        <w:rPr>
          <w:rFonts w:ascii="Calibri" w:hAnsi="Calibri" w:cs="Calibri"/>
        </w:rPr>
        <w:t xml:space="preserve"> 2023;14(6):464-481.e7. PMID: 37348462</w:t>
      </w:r>
    </w:p>
  </w:footnote>
  <w:footnote w:id="37">
    <w:p w14:paraId="499BB1F5" w14:textId="77777777" w:rsidR="003C6CD8" w:rsidRPr="00702DDE" w:rsidRDefault="003C6CD8" w:rsidP="003C6CD8">
      <w:pPr>
        <w:pStyle w:val="FootnoteText"/>
        <w:rPr>
          <w:rFonts w:ascii="Calibri" w:hAnsi="Calibri" w:cs="Calibri"/>
        </w:rPr>
      </w:pPr>
      <w:r w:rsidRPr="00702DDE">
        <w:rPr>
          <w:rStyle w:val="FootnoteReference"/>
          <w:rFonts w:ascii="Calibri" w:hAnsi="Calibri" w:cs="Calibri"/>
        </w:rPr>
        <w:footnoteRef/>
      </w:r>
      <w:r w:rsidRPr="00702DDE">
        <w:rPr>
          <w:rFonts w:ascii="Calibri" w:hAnsi="Calibri" w:cs="Calibri"/>
        </w:rPr>
        <w:t xml:space="preserve"> https://www.nih.gov/news-events/news-releases/researchers-show-how-tumor-cell-s-location-environment-affect-its-identity</w:t>
      </w:r>
    </w:p>
  </w:footnote>
  <w:footnote w:id="38">
    <w:p w14:paraId="235FE070" w14:textId="096F75EC" w:rsidR="00612B97" w:rsidRDefault="00612B97">
      <w:pPr>
        <w:pStyle w:val="FootnoteText"/>
      </w:pPr>
      <w:r w:rsidRPr="00702DDE">
        <w:rPr>
          <w:rStyle w:val="FootnoteReference"/>
          <w:rFonts w:ascii="Calibri" w:hAnsi="Calibri" w:cs="Calibri"/>
        </w:rPr>
        <w:footnoteRef/>
      </w:r>
      <w:r w:rsidRPr="00702DDE">
        <w:rPr>
          <w:rFonts w:ascii="Calibri" w:hAnsi="Calibri" w:cs="Calibri"/>
        </w:rPr>
        <w:t xml:space="preserve"> Cornwell JA, et al. </w:t>
      </w:r>
      <w:r w:rsidRPr="00702DDE">
        <w:rPr>
          <w:rFonts w:ascii="Calibri" w:hAnsi="Calibri" w:cs="Calibri"/>
          <w:i/>
          <w:iCs/>
        </w:rPr>
        <w:t>Nature</w:t>
      </w:r>
      <w:r w:rsidRPr="00702DDE">
        <w:rPr>
          <w:rFonts w:ascii="Calibri" w:hAnsi="Calibri" w:cs="Calibri"/>
        </w:rPr>
        <w:t xml:space="preserve"> 2023;619(7969):363-370. PMID: 37407814</w:t>
      </w:r>
    </w:p>
  </w:footnote>
  <w:footnote w:id="39">
    <w:p w14:paraId="76CA2453" w14:textId="33EE58EA" w:rsidR="00CB4DA8" w:rsidRPr="00CD7474" w:rsidRDefault="00CB4DA8">
      <w:pPr>
        <w:pStyle w:val="FootnoteText"/>
        <w:rPr>
          <w:rFonts w:ascii="Calibri" w:hAnsi="Calibri" w:cs="Calibri"/>
        </w:rPr>
      </w:pPr>
      <w:r w:rsidRPr="00CD7474">
        <w:rPr>
          <w:rStyle w:val="FootnoteReference"/>
          <w:rFonts w:ascii="Calibri" w:hAnsi="Calibri" w:cs="Calibri"/>
        </w:rPr>
        <w:footnoteRef/>
      </w:r>
      <w:r w:rsidRPr="00CD7474">
        <w:rPr>
          <w:rFonts w:ascii="Calibri" w:hAnsi="Calibri" w:cs="Calibri"/>
        </w:rPr>
        <w:t xml:space="preserve"> </w:t>
      </w:r>
      <w:r w:rsidR="00591FA7" w:rsidRPr="00CD7474">
        <w:rPr>
          <w:rFonts w:ascii="Calibri" w:hAnsi="Calibri" w:cs="Calibri"/>
        </w:rPr>
        <w:t xml:space="preserve">Klomp JE, et al. </w:t>
      </w:r>
      <w:r w:rsidR="00591FA7" w:rsidRPr="00CD7474">
        <w:rPr>
          <w:rFonts w:ascii="Calibri" w:hAnsi="Calibri" w:cs="Calibri"/>
          <w:i/>
          <w:iCs/>
        </w:rPr>
        <w:t>Science</w:t>
      </w:r>
      <w:r w:rsidR="00591FA7" w:rsidRPr="00CD7474">
        <w:rPr>
          <w:rFonts w:ascii="Calibri" w:hAnsi="Calibri" w:cs="Calibri"/>
        </w:rPr>
        <w:t xml:space="preserve"> 2024;384(6700):eadk0850. PMID: 38843329</w:t>
      </w:r>
    </w:p>
  </w:footnote>
  <w:footnote w:id="40">
    <w:p w14:paraId="351210EE" w14:textId="77777777" w:rsidR="00862407" w:rsidRPr="00CD7474" w:rsidRDefault="00862407" w:rsidP="00862407">
      <w:pPr>
        <w:pStyle w:val="FootnoteText"/>
        <w:rPr>
          <w:rFonts w:ascii="Calibri" w:hAnsi="Calibri" w:cs="Calibri"/>
        </w:rPr>
      </w:pPr>
      <w:r w:rsidRPr="00CD7474">
        <w:rPr>
          <w:rStyle w:val="FootnoteReference"/>
          <w:rFonts w:ascii="Calibri" w:hAnsi="Calibri" w:cs="Calibri"/>
        </w:rPr>
        <w:footnoteRef/>
      </w:r>
      <w:r w:rsidRPr="00CD7474">
        <w:rPr>
          <w:rFonts w:ascii="Calibri" w:hAnsi="Calibri" w:cs="Calibri"/>
        </w:rPr>
        <w:t xml:space="preserve"> Melani C, et al. </w:t>
      </w:r>
      <w:r w:rsidRPr="00CD7474">
        <w:rPr>
          <w:rFonts w:ascii="Calibri" w:hAnsi="Calibri" w:cs="Calibri"/>
          <w:i/>
          <w:iCs/>
        </w:rPr>
        <w:t>N Engl J Med</w:t>
      </w:r>
      <w:r w:rsidRPr="00CD7474">
        <w:rPr>
          <w:rFonts w:ascii="Calibri" w:hAnsi="Calibri" w:cs="Calibri"/>
        </w:rPr>
        <w:t xml:space="preserve"> 2024;390(23):2143-2155. PMID: 38899693</w:t>
      </w:r>
    </w:p>
  </w:footnote>
  <w:footnote w:id="41">
    <w:p w14:paraId="11203A74" w14:textId="77777777" w:rsidR="00862407" w:rsidRPr="00CD7474" w:rsidRDefault="00862407" w:rsidP="00862407">
      <w:pPr>
        <w:pStyle w:val="FootnoteText"/>
        <w:rPr>
          <w:rFonts w:ascii="Calibri" w:hAnsi="Calibri" w:cs="Calibri"/>
        </w:rPr>
      </w:pPr>
      <w:r w:rsidRPr="00CD7474">
        <w:rPr>
          <w:rStyle w:val="FootnoteReference"/>
          <w:rFonts w:ascii="Calibri" w:hAnsi="Calibri" w:cs="Calibri"/>
        </w:rPr>
        <w:footnoteRef/>
      </w:r>
      <w:r w:rsidRPr="00CD7474">
        <w:rPr>
          <w:rFonts w:ascii="Calibri" w:hAnsi="Calibri" w:cs="Calibri"/>
        </w:rPr>
        <w:t xml:space="preserve"> https://clinicaltrials.gov/study/NCT03223610</w:t>
      </w:r>
    </w:p>
  </w:footnote>
  <w:footnote w:id="42">
    <w:p w14:paraId="7C949C62" w14:textId="77777777" w:rsidR="0046236C" w:rsidRPr="00CD7474" w:rsidRDefault="0046236C" w:rsidP="0046236C">
      <w:pPr>
        <w:pStyle w:val="FootnoteText"/>
        <w:rPr>
          <w:rFonts w:ascii="Calibri" w:hAnsi="Calibri" w:cs="Calibri"/>
        </w:rPr>
      </w:pPr>
      <w:r w:rsidRPr="00CD7474">
        <w:rPr>
          <w:rStyle w:val="FootnoteReference"/>
          <w:rFonts w:ascii="Calibri" w:hAnsi="Calibri" w:cs="Calibri"/>
        </w:rPr>
        <w:footnoteRef/>
      </w:r>
      <w:r w:rsidRPr="00CD7474">
        <w:rPr>
          <w:rFonts w:ascii="Calibri" w:hAnsi="Calibri" w:cs="Calibri"/>
        </w:rPr>
        <w:t xml:space="preserve"> https://clinicaltrials.gov/study/NCT06625775</w:t>
      </w:r>
    </w:p>
  </w:footnote>
  <w:footnote w:id="43">
    <w:p w14:paraId="3C1C6CC4" w14:textId="77777777" w:rsidR="00820929" w:rsidRDefault="00820929" w:rsidP="00820929">
      <w:pPr>
        <w:pStyle w:val="FootnoteText"/>
      </w:pPr>
      <w:r w:rsidRPr="00CD7474">
        <w:rPr>
          <w:rStyle w:val="FootnoteReference"/>
          <w:rFonts w:ascii="Calibri" w:hAnsi="Calibri" w:cs="Calibri"/>
        </w:rPr>
        <w:footnoteRef/>
      </w:r>
      <w:r w:rsidRPr="00CD7474">
        <w:rPr>
          <w:rFonts w:ascii="Calibri" w:hAnsi="Calibri" w:cs="Calibri"/>
        </w:rPr>
        <w:t xml:space="preserve"> https://ccdi.cancer.gov/</w:t>
      </w:r>
    </w:p>
  </w:footnote>
  <w:footnote w:id="44">
    <w:p w14:paraId="29856802" w14:textId="77777777" w:rsidR="00820929" w:rsidRPr="00EF1A19" w:rsidRDefault="00820929" w:rsidP="00820929">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https://moleculartargets.ccdi.cancer.gov/</w:t>
      </w:r>
    </w:p>
  </w:footnote>
  <w:footnote w:id="45">
    <w:p w14:paraId="7DF3CF2B" w14:textId="77777777" w:rsidR="00820929" w:rsidRPr="00EF1A19" w:rsidRDefault="00820929" w:rsidP="00820929">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https://datascience.cancer.gov/news-events/news/check-out-nci-childhood-cancer-data-initiatives-ccdis-newly-launched-molecular</w:t>
      </w:r>
    </w:p>
  </w:footnote>
  <w:footnote w:id="46">
    <w:p w14:paraId="0D5F988A" w14:textId="77777777" w:rsidR="00820929" w:rsidRPr="00EF1A19" w:rsidRDefault="00820929" w:rsidP="00820929">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https://datascience.cancer.gov/news-events/news/ccdi-central-hub-links-researchers-childhood-cancer-data-resources</w:t>
      </w:r>
    </w:p>
  </w:footnote>
  <w:footnote w:id="47">
    <w:p w14:paraId="68120548" w14:textId="77777777" w:rsidR="00983643" w:rsidRDefault="00983643" w:rsidP="00983643">
      <w:pPr>
        <w:pStyle w:val="FootnoteText"/>
      </w:pPr>
      <w:r w:rsidRPr="00EF1A19">
        <w:rPr>
          <w:rStyle w:val="FootnoteReference"/>
          <w:rFonts w:ascii="Calibri" w:hAnsi="Calibri" w:cs="Calibri"/>
        </w:rPr>
        <w:footnoteRef/>
      </w:r>
      <w:r w:rsidRPr="00EF1A19">
        <w:rPr>
          <w:rFonts w:ascii="Calibri" w:hAnsi="Calibri" w:cs="Calibri"/>
        </w:rPr>
        <w:t xml:space="preserve"> https://www.genome.gov/Funded-Programs-Projects/ClinGen-Clinical-Genome-Resource</w:t>
      </w:r>
    </w:p>
  </w:footnote>
  <w:footnote w:id="48">
    <w:p w14:paraId="7D7966A6" w14:textId="77777777" w:rsidR="007B588A" w:rsidRPr="00EF1A19" w:rsidRDefault="007B588A" w:rsidP="007B588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Li Y, et al. </w:t>
      </w:r>
      <w:r w:rsidRPr="00EF1A19">
        <w:rPr>
          <w:rFonts w:ascii="Calibri" w:hAnsi="Calibri" w:cs="Calibri"/>
          <w:i/>
          <w:iCs/>
        </w:rPr>
        <w:t>Nat Med</w:t>
      </w:r>
      <w:r w:rsidRPr="00EF1A19">
        <w:rPr>
          <w:rFonts w:ascii="Calibri" w:hAnsi="Calibri" w:cs="Calibri"/>
        </w:rPr>
        <w:t xml:space="preserve"> 2022;28(10):2133-44. PMID: 36175679</w:t>
      </w:r>
    </w:p>
  </w:footnote>
  <w:footnote w:id="49">
    <w:p w14:paraId="0DC6941D" w14:textId="77777777" w:rsidR="00F82046" w:rsidRPr="00EF1A19" w:rsidRDefault="00F82046" w:rsidP="00F82046">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Xia H,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Genome Med</w:t>
      </w:r>
      <w:r w:rsidRPr="00EF1A19">
        <w:rPr>
          <w:rFonts w:ascii="Calibri" w:hAnsi="Calibri" w:cs="Calibri"/>
        </w:rPr>
        <w:t xml:space="preserve"> 2024;16(1):132. PMID: 39538339</w:t>
      </w:r>
    </w:p>
  </w:footnote>
  <w:footnote w:id="50">
    <w:p w14:paraId="162CDF99" w14:textId="77777777" w:rsidR="00F82046" w:rsidRDefault="00F82046" w:rsidP="00F82046">
      <w:pPr>
        <w:pStyle w:val="FootnoteText"/>
      </w:pPr>
      <w:r w:rsidRPr="00EF1A19">
        <w:rPr>
          <w:rStyle w:val="FootnoteReference"/>
          <w:rFonts w:ascii="Calibri" w:hAnsi="Calibri" w:cs="Calibri"/>
        </w:rPr>
        <w:footnoteRef/>
      </w:r>
      <w:r w:rsidRPr="00EF1A19">
        <w:rPr>
          <w:rFonts w:ascii="Calibri" w:hAnsi="Calibri" w:cs="Calibri"/>
        </w:rPr>
        <w:t xml:space="preserve"> Zhang X, et al. </w:t>
      </w:r>
      <w:r w:rsidRPr="00EF1A19">
        <w:rPr>
          <w:rFonts w:ascii="Calibri" w:hAnsi="Calibri" w:cs="Calibri"/>
          <w:i/>
          <w:iCs/>
        </w:rPr>
        <w:t>Genome Med</w:t>
      </w:r>
      <w:r w:rsidRPr="00EF1A19">
        <w:rPr>
          <w:rFonts w:ascii="Calibri" w:hAnsi="Calibri" w:cs="Calibri"/>
        </w:rPr>
        <w:t xml:space="preserve"> 2024;16(1):131. PMID: 39538331</w:t>
      </w:r>
    </w:p>
  </w:footnote>
  <w:footnote w:id="51">
    <w:p w14:paraId="5338076C"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Gallanis A, et al. </w:t>
      </w:r>
      <w:r w:rsidRPr="00EF1A19">
        <w:rPr>
          <w:rFonts w:ascii="Calibri" w:hAnsi="Calibri" w:cs="Calibri"/>
          <w:i/>
          <w:iCs/>
        </w:rPr>
        <w:t>J Clin Oncol</w:t>
      </w:r>
      <w:r w:rsidRPr="00EF1A19">
        <w:rPr>
          <w:rFonts w:ascii="Calibri" w:hAnsi="Calibri" w:cs="Calibri"/>
        </w:rPr>
        <w:t xml:space="preserve"> 2024;42(4):421-30. PMID: 37903316</w:t>
      </w:r>
    </w:p>
  </w:footnote>
  <w:footnote w:id="52">
    <w:p w14:paraId="2781A4A2"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Gamble LA, et al. </w:t>
      </w:r>
      <w:r w:rsidRPr="00EF1A19">
        <w:rPr>
          <w:rFonts w:ascii="Calibri" w:hAnsi="Calibri" w:cs="Calibri"/>
          <w:i/>
          <w:iCs/>
        </w:rPr>
        <w:t>J Clin Endocrinol</w:t>
      </w:r>
      <w:r w:rsidRPr="00EF1A19">
        <w:rPr>
          <w:rFonts w:ascii="Calibri" w:hAnsi="Calibri" w:cs="Calibri"/>
        </w:rPr>
        <w:t xml:space="preserve"> Metab 2023;108(10):2635-42. PMID: 36950857</w:t>
      </w:r>
    </w:p>
  </w:footnote>
  <w:footnote w:id="53">
    <w:p w14:paraId="3395B1FF"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Roberts G, et al. </w:t>
      </w:r>
      <w:r w:rsidRPr="00EF1A19">
        <w:rPr>
          <w:rFonts w:ascii="Calibri" w:hAnsi="Calibri" w:cs="Calibri"/>
          <w:i/>
          <w:iCs/>
        </w:rPr>
        <w:t>Gastric Cancer</w:t>
      </w:r>
      <w:r w:rsidRPr="00EF1A19">
        <w:rPr>
          <w:rFonts w:ascii="Calibri" w:hAnsi="Calibri" w:cs="Calibri"/>
        </w:rPr>
        <w:t xml:space="preserve"> 2022; published online Jul 13. PMID: 35831514</w:t>
      </w:r>
    </w:p>
  </w:footnote>
  <w:footnote w:id="54">
    <w:p w14:paraId="10DA40A2"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Gamble LA, et al. </w:t>
      </w:r>
      <w:r w:rsidRPr="00EF1A19">
        <w:rPr>
          <w:rFonts w:ascii="Calibri" w:hAnsi="Calibri" w:cs="Calibri"/>
          <w:i/>
          <w:iCs/>
        </w:rPr>
        <w:t>J Acad Nutr Diet</w:t>
      </w:r>
      <w:r w:rsidRPr="00EF1A19">
        <w:rPr>
          <w:rFonts w:ascii="Calibri" w:hAnsi="Calibri" w:cs="Calibri"/>
        </w:rPr>
        <w:t xml:space="preserve"> 2022;122: [epub ahead of print]. PMID: 34968751</w:t>
      </w:r>
    </w:p>
  </w:footnote>
  <w:footnote w:id="55">
    <w:p w14:paraId="1FEE34C9"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t>
      </w:r>
      <w:hyperlink r:id="rId6" w:tgtFrame="_new" w:history="1">
        <w:r w:rsidRPr="00EF1A19">
          <w:rPr>
            <w:rStyle w:val="Hyperlink"/>
            <w:rFonts w:ascii="Calibri" w:hAnsi="Calibri" w:cs="Calibri"/>
          </w:rPr>
          <w:t>https://ccr.cancer.gov/surgical-oncology-program/clinical-team/diet-and-nutrition-after-gastrectomy-your-plan</w:t>
        </w:r>
      </w:hyperlink>
    </w:p>
  </w:footnote>
  <w:footnote w:id="56">
    <w:p w14:paraId="106BC3C3" w14:textId="39C55795"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https://ccr.cancer.gov/surgical-oncology-program/clinical-team/diet-and-nutrition-after-gastrectomy-what-you-should-know</w:t>
      </w:r>
    </w:p>
  </w:footnote>
  <w:footnote w:id="57">
    <w:p w14:paraId="13ADD878" w14:textId="77777777" w:rsidR="00DC055D" w:rsidRPr="00EF1A19" w:rsidRDefault="00DC055D" w:rsidP="00DC055D">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Parsons HM, et al. </w:t>
      </w:r>
      <w:r w:rsidRPr="00EF1A19">
        <w:rPr>
          <w:rFonts w:ascii="Calibri" w:hAnsi="Calibri" w:cs="Calibri"/>
          <w:i/>
          <w:iCs/>
        </w:rPr>
        <w:t>JNCI Cancer Spectrum</w:t>
      </w:r>
      <w:r w:rsidRPr="00EF1A19">
        <w:rPr>
          <w:rFonts w:ascii="Calibri" w:hAnsi="Calibri" w:cs="Calibri"/>
        </w:rPr>
        <w:t xml:space="preserve"> 2023;7(3):pkad035. PMID: 37289928</w:t>
      </w:r>
    </w:p>
  </w:footnote>
  <w:footnote w:id="58">
    <w:p w14:paraId="28B85992" w14:textId="1B555EA9" w:rsidR="00DC055D" w:rsidRDefault="00DC055D">
      <w:pPr>
        <w:pStyle w:val="FootnoteText"/>
      </w:pPr>
      <w:r w:rsidRPr="00EF1A19">
        <w:rPr>
          <w:rStyle w:val="FootnoteReference"/>
          <w:rFonts w:ascii="Calibri" w:hAnsi="Calibri" w:cs="Calibri"/>
        </w:rPr>
        <w:footnoteRef/>
      </w:r>
      <w:r w:rsidRPr="00EF1A19">
        <w:rPr>
          <w:rFonts w:ascii="Calibri" w:hAnsi="Calibri" w:cs="Calibri"/>
        </w:rPr>
        <w:t xml:space="preserve"> </w:t>
      </w:r>
      <w:r w:rsidR="00FB1B16" w:rsidRPr="00EF1A19">
        <w:rPr>
          <w:rFonts w:ascii="Calibri" w:hAnsi="Calibri" w:cs="Calibri"/>
        </w:rPr>
        <w:t>https://prevention.cancer.gov/news-and-events/meetings-and-events/nih-pathways-prevention-workshop-nutrition-prevention-improved</w:t>
      </w:r>
    </w:p>
  </w:footnote>
  <w:footnote w:id="59">
    <w:p w14:paraId="1CE38379"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Saint-Maurice PF, et al. </w:t>
      </w:r>
      <w:r w:rsidRPr="00EF1A19">
        <w:rPr>
          <w:rFonts w:ascii="Calibri" w:hAnsi="Calibri" w:cs="Calibri"/>
          <w:i/>
          <w:iCs/>
        </w:rPr>
        <w:t>JAMA Intern Med</w:t>
      </w:r>
      <w:r w:rsidRPr="00EF1A19">
        <w:rPr>
          <w:rFonts w:ascii="Calibri" w:hAnsi="Calibri" w:cs="Calibri"/>
        </w:rPr>
        <w:t xml:space="preserve"> 2022;182(11):1145-53. PMID: 35072698</w:t>
      </w:r>
    </w:p>
  </w:footnote>
  <w:footnote w:id="60">
    <w:p w14:paraId="5F3771C0"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Watts EL,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JAMA Netw Open</w:t>
      </w:r>
      <w:r w:rsidRPr="00EF1A19">
        <w:rPr>
          <w:rFonts w:ascii="Calibri" w:hAnsi="Calibri" w:cs="Calibri"/>
        </w:rPr>
        <w:t xml:space="preserve"> 2022;5(8):e2228510. PMID: 36001316</w:t>
      </w:r>
    </w:p>
  </w:footnote>
  <w:footnote w:id="61">
    <w:p w14:paraId="6D13C6D0"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Inoue-Choi M, et al. </w:t>
      </w:r>
      <w:r w:rsidRPr="00EF1A19">
        <w:rPr>
          <w:rFonts w:ascii="Calibri" w:hAnsi="Calibri" w:cs="Calibri"/>
          <w:i/>
          <w:iCs/>
        </w:rPr>
        <w:t>JAMA Netw Open</w:t>
      </w:r>
      <w:r w:rsidRPr="00EF1A19">
        <w:rPr>
          <w:rFonts w:ascii="Calibri" w:hAnsi="Calibri" w:cs="Calibri"/>
        </w:rPr>
        <w:t xml:space="preserve"> 2022;5(9):e2232778. PMID: 36136331</w:t>
      </w:r>
    </w:p>
  </w:footnote>
  <w:footnote w:id="62">
    <w:p w14:paraId="14F079D9"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Gallanis A, et al. </w:t>
      </w:r>
      <w:r w:rsidRPr="00EF1A19">
        <w:rPr>
          <w:rFonts w:ascii="Calibri" w:hAnsi="Calibri" w:cs="Calibri"/>
          <w:i/>
          <w:iCs/>
        </w:rPr>
        <w:t>J Clin Oncol</w:t>
      </w:r>
      <w:r w:rsidRPr="00EF1A19">
        <w:rPr>
          <w:rFonts w:ascii="Calibri" w:hAnsi="Calibri" w:cs="Calibri"/>
        </w:rPr>
        <w:t xml:space="preserve"> 2024;42(4):421-30. PMID: 37903316</w:t>
      </w:r>
    </w:p>
  </w:footnote>
  <w:footnote w:id="63">
    <w:p w14:paraId="687F25F6"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Gamble LA, et al. </w:t>
      </w:r>
      <w:r w:rsidRPr="00EF1A19">
        <w:rPr>
          <w:rFonts w:ascii="Calibri" w:hAnsi="Calibri" w:cs="Calibri"/>
          <w:i/>
          <w:iCs/>
        </w:rPr>
        <w:t>J Clin Endocrinol</w:t>
      </w:r>
      <w:r w:rsidRPr="00EF1A19">
        <w:rPr>
          <w:rFonts w:ascii="Calibri" w:hAnsi="Calibri" w:cs="Calibri"/>
        </w:rPr>
        <w:t xml:space="preserve"> Metab 2023;108(10):2635-42. PMID: 36950857</w:t>
      </w:r>
    </w:p>
  </w:footnote>
  <w:footnote w:id="64">
    <w:p w14:paraId="70E04E0B"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Roberts G, et al. </w:t>
      </w:r>
      <w:r w:rsidRPr="00EF1A19">
        <w:rPr>
          <w:rFonts w:ascii="Calibri" w:hAnsi="Calibri" w:cs="Calibri"/>
          <w:i/>
          <w:iCs/>
        </w:rPr>
        <w:t>Gastric Cancer</w:t>
      </w:r>
      <w:r w:rsidRPr="00EF1A19">
        <w:rPr>
          <w:rFonts w:ascii="Calibri" w:hAnsi="Calibri" w:cs="Calibri"/>
        </w:rPr>
        <w:t xml:space="preserve"> 2022; published online Jul 13. PMID: 35831514</w:t>
      </w:r>
    </w:p>
  </w:footnote>
  <w:footnote w:id="65">
    <w:p w14:paraId="681EE99D"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Gamble LA, et al. </w:t>
      </w:r>
      <w:r w:rsidRPr="00EF1A19">
        <w:rPr>
          <w:rFonts w:ascii="Calibri" w:hAnsi="Calibri" w:cs="Calibri"/>
          <w:i/>
          <w:iCs/>
        </w:rPr>
        <w:t>J Acad Nutr Diet</w:t>
      </w:r>
      <w:r w:rsidRPr="00EF1A19">
        <w:rPr>
          <w:rFonts w:ascii="Calibri" w:hAnsi="Calibri" w:cs="Calibri"/>
        </w:rPr>
        <w:t xml:space="preserve"> 2022;122: [epub ahead of print]. PMID: 34968751</w:t>
      </w:r>
    </w:p>
  </w:footnote>
  <w:footnote w:id="66">
    <w:p w14:paraId="04F5225A" w14:textId="77777777" w:rsidR="005A3ABA" w:rsidRPr="00EF1A19" w:rsidRDefault="005A3ABA" w:rsidP="005A3AB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t>
      </w:r>
      <w:hyperlink r:id="rId7" w:tgtFrame="_new" w:history="1">
        <w:r w:rsidRPr="00EF1A19">
          <w:rPr>
            <w:rStyle w:val="Hyperlink"/>
            <w:rFonts w:ascii="Calibri" w:hAnsi="Calibri" w:cs="Calibri"/>
          </w:rPr>
          <w:t>https://ccr.cancer.gov/surgical-oncology-program/clinical-team/diet-and-nutrition-after-gastrectomy-your-plan</w:t>
        </w:r>
      </w:hyperlink>
    </w:p>
  </w:footnote>
  <w:footnote w:id="67">
    <w:p w14:paraId="4B3382E7" w14:textId="6C2DF2B7" w:rsidR="005A3ABA" w:rsidRDefault="005A3ABA" w:rsidP="005A3ABA">
      <w:pPr>
        <w:pStyle w:val="FootnoteText"/>
      </w:pPr>
      <w:r w:rsidRPr="00EF1A19">
        <w:rPr>
          <w:rStyle w:val="FootnoteReference"/>
          <w:rFonts w:ascii="Calibri" w:hAnsi="Calibri" w:cs="Calibri"/>
        </w:rPr>
        <w:footnoteRef/>
      </w:r>
      <w:r w:rsidRPr="00EF1A19">
        <w:rPr>
          <w:rFonts w:ascii="Calibri" w:hAnsi="Calibri" w:cs="Calibri"/>
        </w:rPr>
        <w:t xml:space="preserve"> https://ccr.cancer.gov/surgical-oncology-program/clinical-team/diet-and-nutrition-after-gastrectomy-what-you-should-know</w:t>
      </w:r>
    </w:p>
  </w:footnote>
  <w:footnote w:id="68">
    <w:p w14:paraId="45CAC7D0"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Lowery FJ,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Science</w:t>
      </w:r>
      <w:r w:rsidRPr="00EF1A19">
        <w:rPr>
          <w:rFonts w:ascii="Calibri" w:hAnsi="Calibri" w:cs="Calibri"/>
        </w:rPr>
        <w:t xml:space="preserve"> 2022;375(6583):877-84. PMID: 35113651</w:t>
      </w:r>
    </w:p>
  </w:footnote>
  <w:footnote w:id="69">
    <w:p w14:paraId="0F604A09"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Hanada KI,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Cancer Cell</w:t>
      </w:r>
      <w:r w:rsidRPr="00EF1A19">
        <w:rPr>
          <w:rFonts w:ascii="Calibri" w:hAnsi="Calibri" w:cs="Calibri"/>
        </w:rPr>
        <w:t xml:space="preserve"> 2022;40(5):479-493.e6. PMID: 35452604</w:t>
      </w:r>
    </w:p>
  </w:footnote>
  <w:footnote w:id="70">
    <w:p w14:paraId="7C04FC14"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Zacharakis N,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J Clin Oncol</w:t>
      </w:r>
      <w:r w:rsidRPr="00EF1A19">
        <w:rPr>
          <w:rFonts w:ascii="Calibri" w:hAnsi="Calibri" w:cs="Calibri"/>
        </w:rPr>
        <w:t xml:space="preserve"> 2022;40(16):1741-54. PMID: 35104158</w:t>
      </w:r>
    </w:p>
  </w:footnote>
  <w:footnote w:id="71">
    <w:p w14:paraId="66479009"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Leidner R,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N Engl J Med</w:t>
      </w:r>
      <w:r w:rsidRPr="00EF1A19">
        <w:rPr>
          <w:rFonts w:ascii="Calibri" w:hAnsi="Calibri" w:cs="Calibri"/>
        </w:rPr>
        <w:t xml:space="preserve"> 2022;386(22):2112-19. PMID: 35648703</w:t>
      </w:r>
    </w:p>
  </w:footnote>
  <w:footnote w:id="72">
    <w:p w14:paraId="626DA460"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https://www.nih.gov/news-events/news-releases/gene-expression-profile-could-enable-rapid-identification-anti-tumor-immune-cells-personalized-immunotherapy</w:t>
      </w:r>
    </w:p>
  </w:footnote>
  <w:footnote w:id="73">
    <w:p w14:paraId="2347E16D" w14:textId="77777777" w:rsidR="00A77915" w:rsidRPr="00EF1A19" w:rsidRDefault="00A77915" w:rsidP="00A77915">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https://www.nih.gov/news-events/news-releases/nih-study-advances-personalized-immunotherapy-metastatic-breast-cancer</w:t>
      </w:r>
    </w:p>
  </w:footnote>
  <w:footnote w:id="74">
    <w:p w14:paraId="5B54198C" w14:textId="77777777" w:rsidR="00C648D9" w:rsidRPr="00EF1A19" w:rsidRDefault="00C648D9" w:rsidP="00C648D9">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Nwosu ZC,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Nature</w:t>
      </w:r>
      <w:r w:rsidRPr="00EF1A19">
        <w:rPr>
          <w:rFonts w:ascii="Calibri" w:hAnsi="Calibri" w:cs="Calibri"/>
        </w:rPr>
        <w:t xml:space="preserve"> 2023;618(7963):151-158. PMID: 37198494</w:t>
      </w:r>
    </w:p>
  </w:footnote>
  <w:footnote w:id="75">
    <w:p w14:paraId="4464E833" w14:textId="77777777" w:rsidR="00C648D9" w:rsidRDefault="00C648D9" w:rsidP="00C648D9">
      <w:pPr>
        <w:pStyle w:val="FootnoteText"/>
      </w:pPr>
      <w:r w:rsidRPr="00EF1A19">
        <w:rPr>
          <w:rStyle w:val="FootnoteReference"/>
          <w:rFonts w:ascii="Calibri" w:hAnsi="Calibri" w:cs="Calibri"/>
        </w:rPr>
        <w:footnoteRef/>
      </w:r>
      <w:r w:rsidRPr="00EF1A19">
        <w:rPr>
          <w:rFonts w:ascii="Calibri" w:hAnsi="Calibri" w:cs="Calibri"/>
        </w:rPr>
        <w:t xml:space="preserve"> https://www.cancer.gov/news-events/cancer-currents-blog/2023/pancreatic-cancer-uridine-energy-alternative</w:t>
      </w:r>
    </w:p>
  </w:footnote>
  <w:footnote w:id="76">
    <w:p w14:paraId="554A7B38" w14:textId="77960AEC" w:rsidR="005C5160" w:rsidRDefault="005C5160">
      <w:pPr>
        <w:pStyle w:val="FootnoteText"/>
      </w:pPr>
      <w:r>
        <w:rPr>
          <w:rStyle w:val="FootnoteReference"/>
        </w:rPr>
        <w:footnoteRef/>
      </w:r>
      <w:r>
        <w:t xml:space="preserve"> </w:t>
      </w:r>
      <w:r w:rsidR="00482FAD" w:rsidRPr="00482FAD">
        <w:rPr>
          <w:rFonts w:ascii="Calibri" w:hAnsi="Calibri" w:cs="Calibri"/>
        </w:rPr>
        <w:t xml:space="preserve">Lebensohn AJ, et al. </w:t>
      </w:r>
      <w:r w:rsidR="00482FAD" w:rsidRPr="00482FAD">
        <w:rPr>
          <w:rFonts w:ascii="Calibri" w:hAnsi="Calibri" w:cs="Calibri"/>
          <w:i/>
          <w:iCs/>
        </w:rPr>
        <w:t>JAMA Dermatol</w:t>
      </w:r>
      <w:r w:rsidR="00482FAD" w:rsidRPr="00482FAD">
        <w:rPr>
          <w:rFonts w:ascii="Calibri" w:hAnsi="Calibri" w:cs="Calibri"/>
        </w:rPr>
        <w:t xml:space="preserve"> 2024; Epub 17 May 2024. PMID: 38759225.</w:t>
      </w:r>
    </w:p>
  </w:footnote>
  <w:footnote w:id="77">
    <w:p w14:paraId="7D8BB2E2"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Garman KS</w:t>
      </w:r>
      <w:r w:rsidRPr="00EF1A19">
        <w:rPr>
          <w:rFonts w:ascii="Calibri" w:hAnsi="Calibri" w:cs="Calibri"/>
          <w:i/>
          <w:iCs/>
        </w:rPr>
        <w:t xml:space="preserve">, </w:t>
      </w:r>
      <w:r w:rsidRPr="00EF1A19">
        <w:rPr>
          <w:rFonts w:ascii="Calibri" w:hAnsi="Calibri" w:cs="Calibri"/>
        </w:rPr>
        <w:t xml:space="preserve">et al. </w:t>
      </w:r>
      <w:r w:rsidRPr="00EF1A19">
        <w:rPr>
          <w:rFonts w:ascii="Calibri" w:hAnsi="Calibri" w:cs="Calibri"/>
          <w:i/>
          <w:iCs/>
        </w:rPr>
        <w:t>Gastroenterology</w:t>
      </w:r>
      <w:r w:rsidRPr="00EF1A19">
        <w:rPr>
          <w:rFonts w:ascii="Calibri" w:hAnsi="Calibri" w:cs="Calibri"/>
        </w:rPr>
        <w:t xml:space="preserve"> 2023;165(6):1561-1564.e3. PMID: 37659676</w:t>
      </w:r>
    </w:p>
  </w:footnote>
  <w:footnote w:id="78">
    <w:p w14:paraId="735A7379"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Ravillah D, et al. </w:t>
      </w:r>
      <w:r w:rsidRPr="00EF1A19">
        <w:rPr>
          <w:rFonts w:ascii="Calibri" w:hAnsi="Calibri" w:cs="Calibri"/>
          <w:i/>
          <w:iCs/>
        </w:rPr>
        <w:t>Gastroenterology</w:t>
      </w:r>
      <w:r w:rsidRPr="00EF1A19">
        <w:rPr>
          <w:rFonts w:ascii="Calibri" w:hAnsi="Calibri" w:cs="Calibri"/>
        </w:rPr>
        <w:t xml:space="preserve"> 2023;165(2):505-508.e7. PMID: 37182784</w:t>
      </w:r>
    </w:p>
  </w:footnote>
  <w:footnote w:id="79">
    <w:p w14:paraId="700CCE08" w14:textId="77777777" w:rsidR="003F61B7" w:rsidRPr="00EF1A19" w:rsidRDefault="003F61B7" w:rsidP="003F61B7">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Weh KM, et al. </w:t>
      </w:r>
      <w:r w:rsidRPr="00EF1A19">
        <w:rPr>
          <w:rFonts w:ascii="Calibri" w:hAnsi="Calibri" w:cs="Calibri"/>
          <w:i/>
          <w:iCs/>
        </w:rPr>
        <w:t>bioRxiv</w:t>
      </w:r>
      <w:r w:rsidRPr="00EF1A19">
        <w:rPr>
          <w:rFonts w:ascii="Calibri" w:hAnsi="Calibri" w:cs="Calibri"/>
        </w:rPr>
        <w:t xml:space="preserve"> 2023; 2023.08.22.554315. PMID: 37662411</w:t>
      </w:r>
    </w:p>
  </w:footnote>
  <w:footnote w:id="80">
    <w:p w14:paraId="1FC52B96" w14:textId="77777777" w:rsidR="00D277AA" w:rsidRPr="00EF1A19" w:rsidRDefault="00D277AA" w:rsidP="00D277A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https://prevention.cancer.gov/news-and-events/blog/nci-launches-network-study-self-collection-hpv-testing-prevent-cervical-cancer</w:t>
      </w:r>
    </w:p>
  </w:footnote>
  <w:footnote w:id="81">
    <w:p w14:paraId="6A25E445" w14:textId="77777777" w:rsidR="00D277AA" w:rsidRPr="00EF1A19" w:rsidRDefault="00D277AA" w:rsidP="00D277A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Einstein MH, et al. </w:t>
      </w:r>
      <w:r w:rsidRPr="00EF1A19">
        <w:rPr>
          <w:rFonts w:ascii="Calibri" w:hAnsi="Calibri" w:cs="Calibri"/>
          <w:i/>
          <w:iCs/>
        </w:rPr>
        <w:t>Obstet Gynecol</w:t>
      </w:r>
      <w:r w:rsidRPr="00EF1A19">
        <w:rPr>
          <w:rFonts w:ascii="Calibri" w:hAnsi="Calibri" w:cs="Calibri"/>
        </w:rPr>
        <w:t xml:space="preserve"> 2023;142(5):1036-43. PMID: 37708516</w:t>
      </w:r>
    </w:p>
  </w:footnote>
  <w:footnote w:id="82">
    <w:p w14:paraId="4AB30F8B" w14:textId="77777777" w:rsidR="00D277AA" w:rsidRPr="00EF1A19" w:rsidRDefault="00D277AA" w:rsidP="00D277AA">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Arbyn M, et al</w:t>
      </w:r>
      <w:r w:rsidRPr="00EF1A19">
        <w:rPr>
          <w:rFonts w:ascii="Calibri" w:hAnsi="Calibri" w:cs="Calibri"/>
          <w:i/>
          <w:iCs/>
        </w:rPr>
        <w:t>.</w:t>
      </w:r>
      <w:r w:rsidRPr="00EF1A19">
        <w:rPr>
          <w:rFonts w:ascii="Calibri" w:hAnsi="Calibri" w:cs="Calibri"/>
        </w:rPr>
        <w:t xml:space="preserve"> </w:t>
      </w:r>
      <w:r w:rsidRPr="00EF1A19">
        <w:rPr>
          <w:rFonts w:ascii="Calibri" w:hAnsi="Calibri" w:cs="Calibri"/>
          <w:i/>
          <w:iCs/>
        </w:rPr>
        <w:t>Int J Cancer</w:t>
      </w:r>
      <w:r w:rsidRPr="00EF1A19">
        <w:rPr>
          <w:rFonts w:ascii="Calibri" w:hAnsi="Calibri" w:cs="Calibri"/>
        </w:rPr>
        <w:t xml:space="preserve"> 2022;151(2):308-12. PMID: 35179777</w:t>
      </w:r>
    </w:p>
  </w:footnote>
  <w:footnote w:id="83">
    <w:p w14:paraId="6AD6527C" w14:textId="09E2525C" w:rsidR="00060DA1" w:rsidRPr="00EF1A19" w:rsidRDefault="00060DA1" w:rsidP="008A35E0">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t>
      </w:r>
      <w:r w:rsidR="008A35E0" w:rsidRPr="00EF1A19">
        <w:rPr>
          <w:rFonts w:ascii="Calibri" w:hAnsi="Calibri" w:cs="Calibri"/>
        </w:rPr>
        <w:t xml:space="preserve">Palefsky JM, et al. </w:t>
      </w:r>
      <w:r w:rsidR="008A35E0" w:rsidRPr="00EF1A19">
        <w:rPr>
          <w:rFonts w:ascii="Calibri" w:hAnsi="Calibri" w:cs="Calibri"/>
          <w:i/>
          <w:iCs/>
        </w:rPr>
        <w:t>N Engl J Med</w:t>
      </w:r>
      <w:r w:rsidR="008A35E0" w:rsidRPr="00EF1A19">
        <w:rPr>
          <w:rFonts w:ascii="Calibri" w:hAnsi="Calibri" w:cs="Calibri"/>
        </w:rPr>
        <w:t xml:space="preserve"> 2022;386(24):2273-82. PMID: 35704479</w:t>
      </w:r>
    </w:p>
  </w:footnote>
  <w:footnote w:id="84">
    <w:p w14:paraId="06FCF651" w14:textId="5B048F60" w:rsidR="005B0C83" w:rsidRPr="002A6E68" w:rsidRDefault="005B0C83">
      <w:pPr>
        <w:pStyle w:val="FootnoteText"/>
        <w:rPr>
          <w:rFonts w:ascii="Calibri" w:hAnsi="Calibri" w:cs="Calibri"/>
        </w:rPr>
      </w:pPr>
      <w:r w:rsidRPr="00EF1A19">
        <w:rPr>
          <w:rStyle w:val="FootnoteReference"/>
          <w:rFonts w:ascii="Calibri" w:hAnsi="Calibri" w:cs="Calibri"/>
        </w:rPr>
        <w:footnoteRef/>
      </w:r>
      <w:r w:rsidRPr="00EF1A19">
        <w:rPr>
          <w:rFonts w:ascii="Calibri" w:hAnsi="Calibri" w:cs="Calibri"/>
        </w:rPr>
        <w:t xml:space="preserve"> </w:t>
      </w:r>
      <w:r w:rsidR="00962178" w:rsidRPr="00EF1A19">
        <w:rPr>
          <w:rFonts w:ascii="Calibri" w:hAnsi="Calibri" w:cs="Calibri"/>
        </w:rPr>
        <w:t xml:space="preserve">Stier EA, et al. </w:t>
      </w:r>
      <w:r w:rsidR="00962178" w:rsidRPr="00EF1A19">
        <w:rPr>
          <w:rFonts w:ascii="Calibri" w:hAnsi="Calibri" w:cs="Calibri"/>
          <w:i/>
          <w:iCs/>
        </w:rPr>
        <w:t>Int J Cancer</w:t>
      </w:r>
      <w:r w:rsidR="00962178" w:rsidRPr="00EF1A19">
        <w:rPr>
          <w:rFonts w:ascii="Calibri" w:hAnsi="Calibri" w:cs="Calibri"/>
        </w:rPr>
        <w:t xml:space="preserve"> 2024;154(10):1694-1702. PMID: 38297406</w:t>
      </w:r>
    </w:p>
  </w:footnote>
  <w:footnote w:id="85">
    <w:p w14:paraId="2AB61A2C" w14:textId="6A88A736" w:rsidR="00336F5F" w:rsidRPr="00E35862" w:rsidRDefault="00336F5F">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w:t>
      </w:r>
      <w:r w:rsidRPr="00E35862">
        <w:rPr>
          <w:rFonts w:ascii="Calibri" w:hAnsi="Calibri" w:cs="Calibri"/>
          <w:color w:val="000000" w:themeColor="text1"/>
        </w:rPr>
        <w:t xml:space="preserve">https://www.cancer.gov/news-events/press-releases/2022/hiv-hsil-anal-cancer-anchor-study </w:t>
      </w:r>
      <w:hyperlink r:id="rId8" w:tgtFrame="_blank" w:history="1">
        <w:r w:rsidRPr="00E35862">
          <w:rPr>
            <w:rStyle w:val="Hyperlink"/>
            <w:rFonts w:ascii="Calibri" w:hAnsi="Calibri" w:cs="Calibri"/>
            <w:color w:val="000000" w:themeColor="text1"/>
            <w:u w:val="none"/>
          </w:rPr>
          <w:t>cancer.gov</w:t>
        </w:r>
      </w:hyperlink>
    </w:p>
  </w:footnote>
  <w:footnote w:id="86">
    <w:p w14:paraId="2F9FC781" w14:textId="77777777" w:rsidR="00C27A59" w:rsidRPr="00E35862" w:rsidRDefault="00C27A59" w:rsidP="00C27A59">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https://www.cancer.gov/news-events/press-releases/2024/cancer-screening-research-network-launches</w:t>
      </w:r>
    </w:p>
  </w:footnote>
  <w:footnote w:id="87">
    <w:p w14:paraId="2BBFE56D" w14:textId="62DCB4DB" w:rsidR="004E53BF" w:rsidRPr="00E35862" w:rsidRDefault="004E53BF">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https://prevention.cancer.gov/major-programs/cancer-screening-research-network-csrn</w:t>
      </w:r>
    </w:p>
  </w:footnote>
  <w:footnote w:id="88">
    <w:p w14:paraId="1F52E9BE" w14:textId="77777777" w:rsidR="002450D5" w:rsidRPr="00E35862" w:rsidRDefault="002450D5" w:rsidP="002450D5">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Coole JB, et al. </w:t>
      </w:r>
      <w:r w:rsidRPr="00E35862">
        <w:rPr>
          <w:rFonts w:ascii="Calibri" w:hAnsi="Calibri" w:cs="Calibri"/>
          <w:i/>
          <w:iCs/>
        </w:rPr>
        <w:t>J Biomed Opt</w:t>
      </w:r>
      <w:r w:rsidRPr="00E35862">
        <w:rPr>
          <w:rFonts w:ascii="Calibri" w:hAnsi="Calibri" w:cs="Calibri"/>
        </w:rPr>
        <w:t xml:space="preserve"> 2023;28(1):016002. PMID: 36654656</w:t>
      </w:r>
    </w:p>
  </w:footnote>
  <w:footnote w:id="89">
    <w:p w14:paraId="74D31DA2" w14:textId="77777777" w:rsidR="00C067B1" w:rsidRPr="002A6E68" w:rsidRDefault="00C067B1" w:rsidP="00C067B1">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w:t>
      </w:r>
      <w:r w:rsidRPr="00E35862">
        <w:rPr>
          <w:rFonts w:ascii="Calibri" w:hAnsi="Calibri" w:cs="Calibri"/>
          <w:color w:val="000000" w:themeColor="text1"/>
        </w:rPr>
        <w:t>https://www.nidcr.nih.gov/grants-funding/research-funded-by-nidcr</w:t>
      </w:r>
      <w:r w:rsidRPr="002A6E68">
        <w:rPr>
          <w:rFonts w:ascii="Calibri" w:hAnsi="Calibri" w:cs="Calibri"/>
          <w:color w:val="000000" w:themeColor="text1"/>
        </w:rPr>
        <w:t>-extramural/ahead</w:t>
      </w:r>
    </w:p>
  </w:footnote>
  <w:footnote w:id="90">
    <w:p w14:paraId="6224D7B2" w14:textId="77777777" w:rsidR="00C067B1" w:rsidRDefault="00C067B1" w:rsidP="00C067B1">
      <w:pPr>
        <w:pStyle w:val="FootnoteText"/>
      </w:pPr>
      <w:r w:rsidRPr="002A6E68">
        <w:rPr>
          <w:rStyle w:val="FootnoteReference"/>
          <w:rFonts w:ascii="Calibri" w:hAnsi="Calibri" w:cs="Calibri"/>
        </w:rPr>
        <w:footnoteRef/>
      </w:r>
      <w:r w:rsidRPr="002A6E68">
        <w:rPr>
          <w:rFonts w:ascii="Calibri" w:hAnsi="Calibri" w:cs="Calibri"/>
        </w:rPr>
        <w:t xml:space="preserve"> https://edrn.nci.nih.gov/about-edrn/mission-and-structure/</w:t>
      </w:r>
    </w:p>
  </w:footnote>
  <w:footnote w:id="91">
    <w:p w14:paraId="6FC4176D" w14:textId="08382108" w:rsidR="00B23C25" w:rsidRPr="00E35862" w:rsidRDefault="00B23C25">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Houlahan KE, et al</w:t>
      </w:r>
      <w:r w:rsidRPr="00E35862">
        <w:rPr>
          <w:rFonts w:ascii="Calibri" w:hAnsi="Calibri" w:cs="Calibri"/>
          <w:i/>
          <w:iCs/>
        </w:rPr>
        <w:t>.</w:t>
      </w:r>
      <w:r w:rsidRPr="00E35862">
        <w:rPr>
          <w:rFonts w:ascii="Calibri" w:hAnsi="Calibri" w:cs="Calibri"/>
        </w:rPr>
        <w:t xml:space="preserve"> </w:t>
      </w:r>
      <w:r w:rsidRPr="00E35862">
        <w:rPr>
          <w:rFonts w:ascii="Calibri" w:hAnsi="Calibri" w:cs="Calibri"/>
          <w:i/>
          <w:iCs/>
        </w:rPr>
        <w:t>Science</w:t>
      </w:r>
      <w:r w:rsidRPr="00E35862">
        <w:rPr>
          <w:rFonts w:ascii="Calibri" w:hAnsi="Calibri" w:cs="Calibri"/>
        </w:rPr>
        <w:t xml:space="preserve"> 2024;384(6699):eadh8697. PMID: 38815010</w:t>
      </w:r>
    </w:p>
  </w:footnote>
  <w:footnote w:id="92">
    <w:p w14:paraId="1339550A" w14:textId="77777777" w:rsidR="00696572" w:rsidRPr="00E35862" w:rsidRDefault="00696572" w:rsidP="00696572">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Helms EJ, et al. </w:t>
      </w:r>
      <w:r w:rsidRPr="00E35862">
        <w:rPr>
          <w:rFonts w:ascii="Calibri" w:hAnsi="Calibri" w:cs="Calibri"/>
          <w:i/>
          <w:iCs/>
        </w:rPr>
        <w:t>Cancer Discov</w:t>
      </w:r>
      <w:r w:rsidRPr="00E35862">
        <w:rPr>
          <w:rFonts w:ascii="Calibri" w:hAnsi="Calibri" w:cs="Calibri"/>
        </w:rPr>
        <w:t xml:space="preserve"> 2022;12(2):484-501. PMID: 34548310</w:t>
      </w:r>
    </w:p>
  </w:footnote>
  <w:footnote w:id="93">
    <w:p w14:paraId="0193EE7C" w14:textId="77777777" w:rsidR="00F82046" w:rsidRPr="00E35862" w:rsidRDefault="00F82046" w:rsidP="00F82046">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Xia H, et al</w:t>
      </w:r>
      <w:r w:rsidRPr="00E35862">
        <w:rPr>
          <w:rFonts w:ascii="Calibri" w:hAnsi="Calibri" w:cs="Calibri"/>
          <w:i/>
          <w:iCs/>
        </w:rPr>
        <w:t>.</w:t>
      </w:r>
      <w:r w:rsidRPr="00E35862">
        <w:rPr>
          <w:rFonts w:ascii="Calibri" w:hAnsi="Calibri" w:cs="Calibri"/>
        </w:rPr>
        <w:t xml:space="preserve"> </w:t>
      </w:r>
      <w:r w:rsidRPr="00E35862">
        <w:rPr>
          <w:rFonts w:ascii="Calibri" w:hAnsi="Calibri" w:cs="Calibri"/>
          <w:i/>
          <w:iCs/>
        </w:rPr>
        <w:t>Genome Med</w:t>
      </w:r>
      <w:r w:rsidRPr="00E35862">
        <w:rPr>
          <w:rFonts w:ascii="Calibri" w:hAnsi="Calibri" w:cs="Calibri"/>
        </w:rPr>
        <w:t xml:space="preserve"> 2024;16(1):132. PMID: 39538339</w:t>
      </w:r>
    </w:p>
  </w:footnote>
  <w:footnote w:id="94">
    <w:p w14:paraId="2330B65C" w14:textId="77777777" w:rsidR="00F82046" w:rsidRPr="002A6E68" w:rsidRDefault="00F82046" w:rsidP="00F82046">
      <w:pPr>
        <w:pStyle w:val="FootnoteText"/>
        <w:rPr>
          <w:rFonts w:ascii="Calibri" w:hAnsi="Calibri" w:cs="Calibri"/>
        </w:rPr>
      </w:pPr>
      <w:r w:rsidRPr="00E35862">
        <w:rPr>
          <w:rStyle w:val="FootnoteReference"/>
          <w:rFonts w:ascii="Calibri" w:hAnsi="Calibri" w:cs="Calibri"/>
        </w:rPr>
        <w:footnoteRef/>
      </w:r>
      <w:r w:rsidRPr="00E35862">
        <w:rPr>
          <w:rFonts w:ascii="Calibri" w:hAnsi="Calibri" w:cs="Calibri"/>
        </w:rPr>
        <w:t xml:space="preserve"> Zhang X, et al. </w:t>
      </w:r>
      <w:r w:rsidRPr="00E35862">
        <w:rPr>
          <w:rFonts w:ascii="Calibri" w:hAnsi="Calibri" w:cs="Calibri"/>
          <w:i/>
          <w:iCs/>
        </w:rPr>
        <w:t>Genome Med</w:t>
      </w:r>
      <w:r w:rsidRPr="00E35862">
        <w:rPr>
          <w:rFonts w:ascii="Calibri" w:hAnsi="Calibri" w:cs="Calibri"/>
        </w:rPr>
        <w:t xml:space="preserve"> 2024;16(1):131. PMID: 39538331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405"/>
    <w:multiLevelType w:val="multilevel"/>
    <w:tmpl w:val="F2ECD7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D0C09C3"/>
    <w:multiLevelType w:val="multilevel"/>
    <w:tmpl w:val="386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602B9"/>
    <w:multiLevelType w:val="multilevel"/>
    <w:tmpl w:val="5B52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95EB1"/>
    <w:multiLevelType w:val="multilevel"/>
    <w:tmpl w:val="EAAC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6D6DEE"/>
    <w:multiLevelType w:val="multilevel"/>
    <w:tmpl w:val="F2EC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683342">
    <w:abstractNumId w:val="3"/>
  </w:num>
  <w:num w:numId="2" w16cid:durableId="2145081783">
    <w:abstractNumId w:val="4"/>
  </w:num>
  <w:num w:numId="3" w16cid:durableId="695812795">
    <w:abstractNumId w:val="0"/>
  </w:num>
  <w:num w:numId="4" w16cid:durableId="1274676838">
    <w:abstractNumId w:val="2"/>
  </w:num>
  <w:num w:numId="5" w16cid:durableId="41801733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160"/>
    <w:rsid w:val="00000BE3"/>
    <w:rsid w:val="00005FF4"/>
    <w:rsid w:val="00007C4E"/>
    <w:rsid w:val="00010A2E"/>
    <w:rsid w:val="000123E5"/>
    <w:rsid w:val="00016B16"/>
    <w:rsid w:val="00017DCA"/>
    <w:rsid w:val="00022BBF"/>
    <w:rsid w:val="000240FA"/>
    <w:rsid w:val="00025991"/>
    <w:rsid w:val="0003321F"/>
    <w:rsid w:val="00035FB1"/>
    <w:rsid w:val="00041201"/>
    <w:rsid w:val="00044B72"/>
    <w:rsid w:val="0004526E"/>
    <w:rsid w:val="00047C0A"/>
    <w:rsid w:val="00060DA1"/>
    <w:rsid w:val="000611CB"/>
    <w:rsid w:val="00061DDC"/>
    <w:rsid w:val="000641C6"/>
    <w:rsid w:val="00066CC7"/>
    <w:rsid w:val="00073467"/>
    <w:rsid w:val="0007430E"/>
    <w:rsid w:val="00080794"/>
    <w:rsid w:val="00083608"/>
    <w:rsid w:val="00087A22"/>
    <w:rsid w:val="000937EC"/>
    <w:rsid w:val="00093DB6"/>
    <w:rsid w:val="000A2F30"/>
    <w:rsid w:val="000A345C"/>
    <w:rsid w:val="000A3464"/>
    <w:rsid w:val="000A36DB"/>
    <w:rsid w:val="000A7111"/>
    <w:rsid w:val="000B5859"/>
    <w:rsid w:val="000B6A6B"/>
    <w:rsid w:val="000C2ADF"/>
    <w:rsid w:val="000C64A0"/>
    <w:rsid w:val="000D4659"/>
    <w:rsid w:val="000D62AF"/>
    <w:rsid w:val="000D74D5"/>
    <w:rsid w:val="000E41A9"/>
    <w:rsid w:val="000F6BAA"/>
    <w:rsid w:val="00104AEA"/>
    <w:rsid w:val="00106619"/>
    <w:rsid w:val="00114BE1"/>
    <w:rsid w:val="00114E77"/>
    <w:rsid w:val="001157E7"/>
    <w:rsid w:val="00117056"/>
    <w:rsid w:val="001172EF"/>
    <w:rsid w:val="00120470"/>
    <w:rsid w:val="00120515"/>
    <w:rsid w:val="0012329A"/>
    <w:rsid w:val="001232D9"/>
    <w:rsid w:val="00123429"/>
    <w:rsid w:val="00130469"/>
    <w:rsid w:val="001328E3"/>
    <w:rsid w:val="00134D75"/>
    <w:rsid w:val="001354ED"/>
    <w:rsid w:val="00145011"/>
    <w:rsid w:val="001509C8"/>
    <w:rsid w:val="00150C61"/>
    <w:rsid w:val="001537BD"/>
    <w:rsid w:val="00155A4D"/>
    <w:rsid w:val="00160F18"/>
    <w:rsid w:val="00163D07"/>
    <w:rsid w:val="00166896"/>
    <w:rsid w:val="00166CC5"/>
    <w:rsid w:val="00171BDF"/>
    <w:rsid w:val="00172676"/>
    <w:rsid w:val="00173BD5"/>
    <w:rsid w:val="00182A2D"/>
    <w:rsid w:val="00183603"/>
    <w:rsid w:val="0018627F"/>
    <w:rsid w:val="00190ADB"/>
    <w:rsid w:val="00193DC3"/>
    <w:rsid w:val="00196BC6"/>
    <w:rsid w:val="001976D6"/>
    <w:rsid w:val="00197989"/>
    <w:rsid w:val="001A04A8"/>
    <w:rsid w:val="001A1591"/>
    <w:rsid w:val="001A7E5F"/>
    <w:rsid w:val="001B4E52"/>
    <w:rsid w:val="001C22CB"/>
    <w:rsid w:val="001C3F80"/>
    <w:rsid w:val="001C71A1"/>
    <w:rsid w:val="001C78D9"/>
    <w:rsid w:val="001C7E54"/>
    <w:rsid w:val="001D54BE"/>
    <w:rsid w:val="001D5F12"/>
    <w:rsid w:val="001D6DF3"/>
    <w:rsid w:val="001F287B"/>
    <w:rsid w:val="001F2B68"/>
    <w:rsid w:val="001F36DB"/>
    <w:rsid w:val="001F791D"/>
    <w:rsid w:val="001F7E75"/>
    <w:rsid w:val="00214658"/>
    <w:rsid w:val="0021538C"/>
    <w:rsid w:val="00217A5A"/>
    <w:rsid w:val="00217D04"/>
    <w:rsid w:val="00230179"/>
    <w:rsid w:val="00231181"/>
    <w:rsid w:val="0023590C"/>
    <w:rsid w:val="002449E8"/>
    <w:rsid w:val="00244AC2"/>
    <w:rsid w:val="002450D5"/>
    <w:rsid w:val="002504C8"/>
    <w:rsid w:val="00262264"/>
    <w:rsid w:val="002679F8"/>
    <w:rsid w:val="002712A9"/>
    <w:rsid w:val="00276204"/>
    <w:rsid w:val="00277792"/>
    <w:rsid w:val="002950BC"/>
    <w:rsid w:val="002A0EC5"/>
    <w:rsid w:val="002A1B45"/>
    <w:rsid w:val="002A20F6"/>
    <w:rsid w:val="002A22DA"/>
    <w:rsid w:val="002A37F2"/>
    <w:rsid w:val="002A6E68"/>
    <w:rsid w:val="002B1211"/>
    <w:rsid w:val="002B27FF"/>
    <w:rsid w:val="002C0E46"/>
    <w:rsid w:val="002C3596"/>
    <w:rsid w:val="002C3B42"/>
    <w:rsid w:val="002C6499"/>
    <w:rsid w:val="002D4695"/>
    <w:rsid w:val="002D5625"/>
    <w:rsid w:val="002F0386"/>
    <w:rsid w:val="002F24B2"/>
    <w:rsid w:val="002F45E8"/>
    <w:rsid w:val="002F5E79"/>
    <w:rsid w:val="002F6899"/>
    <w:rsid w:val="003019AF"/>
    <w:rsid w:val="0030317E"/>
    <w:rsid w:val="00303597"/>
    <w:rsid w:val="00306A66"/>
    <w:rsid w:val="00310B9B"/>
    <w:rsid w:val="00311FC5"/>
    <w:rsid w:val="003132FC"/>
    <w:rsid w:val="00317DEA"/>
    <w:rsid w:val="00320445"/>
    <w:rsid w:val="003205B4"/>
    <w:rsid w:val="003262A4"/>
    <w:rsid w:val="00326AD5"/>
    <w:rsid w:val="003300FE"/>
    <w:rsid w:val="0033093E"/>
    <w:rsid w:val="0033286B"/>
    <w:rsid w:val="0033431C"/>
    <w:rsid w:val="0033474F"/>
    <w:rsid w:val="0033511C"/>
    <w:rsid w:val="00336F5F"/>
    <w:rsid w:val="00346A83"/>
    <w:rsid w:val="00346F68"/>
    <w:rsid w:val="00353F00"/>
    <w:rsid w:val="00361EDC"/>
    <w:rsid w:val="00363E8A"/>
    <w:rsid w:val="003651B6"/>
    <w:rsid w:val="0036556D"/>
    <w:rsid w:val="003657D9"/>
    <w:rsid w:val="003657FD"/>
    <w:rsid w:val="00366656"/>
    <w:rsid w:val="00370170"/>
    <w:rsid w:val="00372A78"/>
    <w:rsid w:val="0037395B"/>
    <w:rsid w:val="00375AA7"/>
    <w:rsid w:val="003763FB"/>
    <w:rsid w:val="00383E44"/>
    <w:rsid w:val="0038496A"/>
    <w:rsid w:val="003858A2"/>
    <w:rsid w:val="003921EC"/>
    <w:rsid w:val="00394C65"/>
    <w:rsid w:val="003950C4"/>
    <w:rsid w:val="003A1249"/>
    <w:rsid w:val="003A1FB3"/>
    <w:rsid w:val="003A555E"/>
    <w:rsid w:val="003B460C"/>
    <w:rsid w:val="003B7768"/>
    <w:rsid w:val="003C2C6D"/>
    <w:rsid w:val="003C6CD8"/>
    <w:rsid w:val="003C78AF"/>
    <w:rsid w:val="003D052C"/>
    <w:rsid w:val="003D2CEF"/>
    <w:rsid w:val="003D58E5"/>
    <w:rsid w:val="003D78D7"/>
    <w:rsid w:val="003E1551"/>
    <w:rsid w:val="003E1EC4"/>
    <w:rsid w:val="003E6CF0"/>
    <w:rsid w:val="003E78FB"/>
    <w:rsid w:val="003F0FC8"/>
    <w:rsid w:val="003F1199"/>
    <w:rsid w:val="003F61B7"/>
    <w:rsid w:val="003F76E4"/>
    <w:rsid w:val="003F799D"/>
    <w:rsid w:val="004037BA"/>
    <w:rsid w:val="00404050"/>
    <w:rsid w:val="00406061"/>
    <w:rsid w:val="004110CA"/>
    <w:rsid w:val="004173CF"/>
    <w:rsid w:val="004207FD"/>
    <w:rsid w:val="00420DF4"/>
    <w:rsid w:val="004245D1"/>
    <w:rsid w:val="00424CA9"/>
    <w:rsid w:val="00426CF5"/>
    <w:rsid w:val="004340F1"/>
    <w:rsid w:val="00434AC8"/>
    <w:rsid w:val="00435D46"/>
    <w:rsid w:val="00437BFE"/>
    <w:rsid w:val="0044015B"/>
    <w:rsid w:val="00440DD7"/>
    <w:rsid w:val="00442BF3"/>
    <w:rsid w:val="00442F6A"/>
    <w:rsid w:val="00446700"/>
    <w:rsid w:val="00455C12"/>
    <w:rsid w:val="004565E6"/>
    <w:rsid w:val="00457F7C"/>
    <w:rsid w:val="004602F3"/>
    <w:rsid w:val="0046236C"/>
    <w:rsid w:val="00466AE7"/>
    <w:rsid w:val="004716CB"/>
    <w:rsid w:val="004737E6"/>
    <w:rsid w:val="004760BB"/>
    <w:rsid w:val="00477F92"/>
    <w:rsid w:val="00481F43"/>
    <w:rsid w:val="00482FAD"/>
    <w:rsid w:val="0048326E"/>
    <w:rsid w:val="00484EB0"/>
    <w:rsid w:val="004900C4"/>
    <w:rsid w:val="00493C6D"/>
    <w:rsid w:val="00495B80"/>
    <w:rsid w:val="004A1383"/>
    <w:rsid w:val="004A1473"/>
    <w:rsid w:val="004B0D00"/>
    <w:rsid w:val="004B173F"/>
    <w:rsid w:val="004B7345"/>
    <w:rsid w:val="004C00B2"/>
    <w:rsid w:val="004C0325"/>
    <w:rsid w:val="004C58AF"/>
    <w:rsid w:val="004D1020"/>
    <w:rsid w:val="004D21EE"/>
    <w:rsid w:val="004E27E1"/>
    <w:rsid w:val="004E3160"/>
    <w:rsid w:val="004E3D55"/>
    <w:rsid w:val="004E4BD6"/>
    <w:rsid w:val="004E53BF"/>
    <w:rsid w:val="004F4112"/>
    <w:rsid w:val="004F7090"/>
    <w:rsid w:val="004F77D7"/>
    <w:rsid w:val="005002FE"/>
    <w:rsid w:val="00500C8C"/>
    <w:rsid w:val="00504896"/>
    <w:rsid w:val="00506537"/>
    <w:rsid w:val="005121AB"/>
    <w:rsid w:val="0051659B"/>
    <w:rsid w:val="00516819"/>
    <w:rsid w:val="0052036F"/>
    <w:rsid w:val="00520FF4"/>
    <w:rsid w:val="00521D41"/>
    <w:rsid w:val="00526747"/>
    <w:rsid w:val="005268E7"/>
    <w:rsid w:val="005333CB"/>
    <w:rsid w:val="0053370E"/>
    <w:rsid w:val="00533CEE"/>
    <w:rsid w:val="00534F00"/>
    <w:rsid w:val="005362A9"/>
    <w:rsid w:val="00543644"/>
    <w:rsid w:val="00546395"/>
    <w:rsid w:val="00546A25"/>
    <w:rsid w:val="00550033"/>
    <w:rsid w:val="00552F7F"/>
    <w:rsid w:val="0055495B"/>
    <w:rsid w:val="00556FA4"/>
    <w:rsid w:val="0056335E"/>
    <w:rsid w:val="00577247"/>
    <w:rsid w:val="00585E9B"/>
    <w:rsid w:val="00586430"/>
    <w:rsid w:val="005874C4"/>
    <w:rsid w:val="00591FA7"/>
    <w:rsid w:val="00594014"/>
    <w:rsid w:val="005A1073"/>
    <w:rsid w:val="005A1ADD"/>
    <w:rsid w:val="005A1B7E"/>
    <w:rsid w:val="005A2BE7"/>
    <w:rsid w:val="005A3ABA"/>
    <w:rsid w:val="005A5D98"/>
    <w:rsid w:val="005B0C83"/>
    <w:rsid w:val="005B18EA"/>
    <w:rsid w:val="005C10F8"/>
    <w:rsid w:val="005C35B7"/>
    <w:rsid w:val="005C50D5"/>
    <w:rsid w:val="005C5160"/>
    <w:rsid w:val="005C6FB1"/>
    <w:rsid w:val="005D15CD"/>
    <w:rsid w:val="005D3F97"/>
    <w:rsid w:val="005E0C34"/>
    <w:rsid w:val="005E1AE3"/>
    <w:rsid w:val="005E7494"/>
    <w:rsid w:val="005F007F"/>
    <w:rsid w:val="005F73B3"/>
    <w:rsid w:val="00600229"/>
    <w:rsid w:val="006005B0"/>
    <w:rsid w:val="00602913"/>
    <w:rsid w:val="006029C3"/>
    <w:rsid w:val="00603256"/>
    <w:rsid w:val="00604F38"/>
    <w:rsid w:val="0060584C"/>
    <w:rsid w:val="0060691E"/>
    <w:rsid w:val="00610F37"/>
    <w:rsid w:val="00612B97"/>
    <w:rsid w:val="00614884"/>
    <w:rsid w:val="00617DF7"/>
    <w:rsid w:val="00622ED1"/>
    <w:rsid w:val="0062476B"/>
    <w:rsid w:val="006248BD"/>
    <w:rsid w:val="006271D7"/>
    <w:rsid w:val="0062745B"/>
    <w:rsid w:val="0063186D"/>
    <w:rsid w:val="00632824"/>
    <w:rsid w:val="006334FB"/>
    <w:rsid w:val="0063450E"/>
    <w:rsid w:val="0064414C"/>
    <w:rsid w:val="00655C37"/>
    <w:rsid w:val="00660051"/>
    <w:rsid w:val="00660C76"/>
    <w:rsid w:val="00661B4E"/>
    <w:rsid w:val="006646E2"/>
    <w:rsid w:val="00665845"/>
    <w:rsid w:val="006663F2"/>
    <w:rsid w:val="0067314C"/>
    <w:rsid w:val="00675402"/>
    <w:rsid w:val="00677DFF"/>
    <w:rsid w:val="0068259D"/>
    <w:rsid w:val="006826F1"/>
    <w:rsid w:val="00682775"/>
    <w:rsid w:val="00683AF0"/>
    <w:rsid w:val="006844A0"/>
    <w:rsid w:val="00684749"/>
    <w:rsid w:val="00687E62"/>
    <w:rsid w:val="0069039F"/>
    <w:rsid w:val="0069088A"/>
    <w:rsid w:val="00690A5D"/>
    <w:rsid w:val="00696572"/>
    <w:rsid w:val="006967A3"/>
    <w:rsid w:val="006A0937"/>
    <w:rsid w:val="006A0D5F"/>
    <w:rsid w:val="006A191B"/>
    <w:rsid w:val="006A696F"/>
    <w:rsid w:val="006A6B88"/>
    <w:rsid w:val="006A6E89"/>
    <w:rsid w:val="006B3623"/>
    <w:rsid w:val="006C42C4"/>
    <w:rsid w:val="006C53E4"/>
    <w:rsid w:val="006C7BE1"/>
    <w:rsid w:val="006D09A1"/>
    <w:rsid w:val="006D1729"/>
    <w:rsid w:val="006D174E"/>
    <w:rsid w:val="006D4122"/>
    <w:rsid w:val="006D48EE"/>
    <w:rsid w:val="006E2AF5"/>
    <w:rsid w:val="006E2F8D"/>
    <w:rsid w:val="006F5A6A"/>
    <w:rsid w:val="006F7536"/>
    <w:rsid w:val="006F7B6B"/>
    <w:rsid w:val="00702DDE"/>
    <w:rsid w:val="00703F20"/>
    <w:rsid w:val="007128A1"/>
    <w:rsid w:val="007166EE"/>
    <w:rsid w:val="0071673E"/>
    <w:rsid w:val="00722DF7"/>
    <w:rsid w:val="00731C45"/>
    <w:rsid w:val="007328AB"/>
    <w:rsid w:val="00734E3C"/>
    <w:rsid w:val="007358F6"/>
    <w:rsid w:val="007416FF"/>
    <w:rsid w:val="00741EC2"/>
    <w:rsid w:val="007446F6"/>
    <w:rsid w:val="00744DDE"/>
    <w:rsid w:val="007471E8"/>
    <w:rsid w:val="007503D9"/>
    <w:rsid w:val="00752FD9"/>
    <w:rsid w:val="00755476"/>
    <w:rsid w:val="007563E5"/>
    <w:rsid w:val="00756D53"/>
    <w:rsid w:val="007571CB"/>
    <w:rsid w:val="00760723"/>
    <w:rsid w:val="00761552"/>
    <w:rsid w:val="00765233"/>
    <w:rsid w:val="00767251"/>
    <w:rsid w:val="00767A1D"/>
    <w:rsid w:val="007714A0"/>
    <w:rsid w:val="0077307A"/>
    <w:rsid w:val="00780CD2"/>
    <w:rsid w:val="00780F06"/>
    <w:rsid w:val="00781325"/>
    <w:rsid w:val="00782063"/>
    <w:rsid w:val="00782442"/>
    <w:rsid w:val="0078556D"/>
    <w:rsid w:val="00787C40"/>
    <w:rsid w:val="00791809"/>
    <w:rsid w:val="007922DD"/>
    <w:rsid w:val="007923EC"/>
    <w:rsid w:val="00792710"/>
    <w:rsid w:val="007945BB"/>
    <w:rsid w:val="0079615A"/>
    <w:rsid w:val="007A4C68"/>
    <w:rsid w:val="007B588A"/>
    <w:rsid w:val="007B7EF4"/>
    <w:rsid w:val="007C0918"/>
    <w:rsid w:val="007C6103"/>
    <w:rsid w:val="007C77FC"/>
    <w:rsid w:val="007D1DBA"/>
    <w:rsid w:val="007D5571"/>
    <w:rsid w:val="007D691B"/>
    <w:rsid w:val="007E2F20"/>
    <w:rsid w:val="007E46B6"/>
    <w:rsid w:val="007E597B"/>
    <w:rsid w:val="007F3409"/>
    <w:rsid w:val="007F48E3"/>
    <w:rsid w:val="007F57EA"/>
    <w:rsid w:val="00803802"/>
    <w:rsid w:val="00805F79"/>
    <w:rsid w:val="008078D7"/>
    <w:rsid w:val="00807CDA"/>
    <w:rsid w:val="0081139B"/>
    <w:rsid w:val="0081556E"/>
    <w:rsid w:val="00820929"/>
    <w:rsid w:val="00822F0D"/>
    <w:rsid w:val="00832CCB"/>
    <w:rsid w:val="00833EDA"/>
    <w:rsid w:val="00842E7F"/>
    <w:rsid w:val="00843B23"/>
    <w:rsid w:val="00845883"/>
    <w:rsid w:val="00845C51"/>
    <w:rsid w:val="00854F6E"/>
    <w:rsid w:val="00857472"/>
    <w:rsid w:val="00857F3D"/>
    <w:rsid w:val="00857FF4"/>
    <w:rsid w:val="00860B2A"/>
    <w:rsid w:val="008614CF"/>
    <w:rsid w:val="00862407"/>
    <w:rsid w:val="0086349F"/>
    <w:rsid w:val="008656EA"/>
    <w:rsid w:val="008707AA"/>
    <w:rsid w:val="00876927"/>
    <w:rsid w:val="00877679"/>
    <w:rsid w:val="00877C82"/>
    <w:rsid w:val="00877D31"/>
    <w:rsid w:val="008801D4"/>
    <w:rsid w:val="00882519"/>
    <w:rsid w:val="00883A43"/>
    <w:rsid w:val="00884AA4"/>
    <w:rsid w:val="008853FE"/>
    <w:rsid w:val="008859D7"/>
    <w:rsid w:val="00887AA8"/>
    <w:rsid w:val="00891C08"/>
    <w:rsid w:val="008A151C"/>
    <w:rsid w:val="008A35E0"/>
    <w:rsid w:val="008B35DF"/>
    <w:rsid w:val="008B40DF"/>
    <w:rsid w:val="008B4B9A"/>
    <w:rsid w:val="008B5653"/>
    <w:rsid w:val="008C07C6"/>
    <w:rsid w:val="008C1391"/>
    <w:rsid w:val="008C1F61"/>
    <w:rsid w:val="008C2A8B"/>
    <w:rsid w:val="008C3A8F"/>
    <w:rsid w:val="008C4240"/>
    <w:rsid w:val="008D188E"/>
    <w:rsid w:val="008D3AB6"/>
    <w:rsid w:val="008D6503"/>
    <w:rsid w:val="008E1168"/>
    <w:rsid w:val="008E5A47"/>
    <w:rsid w:val="008F3344"/>
    <w:rsid w:val="00900D17"/>
    <w:rsid w:val="00903070"/>
    <w:rsid w:val="00905A74"/>
    <w:rsid w:val="00906AD4"/>
    <w:rsid w:val="009116A2"/>
    <w:rsid w:val="00911A8B"/>
    <w:rsid w:val="0091788B"/>
    <w:rsid w:val="00922106"/>
    <w:rsid w:val="00923B00"/>
    <w:rsid w:val="00924848"/>
    <w:rsid w:val="00925367"/>
    <w:rsid w:val="00944412"/>
    <w:rsid w:val="00947D5C"/>
    <w:rsid w:val="0095272C"/>
    <w:rsid w:val="00955A1B"/>
    <w:rsid w:val="00956413"/>
    <w:rsid w:val="00962178"/>
    <w:rsid w:val="00966021"/>
    <w:rsid w:val="009710E7"/>
    <w:rsid w:val="00973411"/>
    <w:rsid w:val="00982C7C"/>
    <w:rsid w:val="00983643"/>
    <w:rsid w:val="00983DF8"/>
    <w:rsid w:val="009844EC"/>
    <w:rsid w:val="00985C73"/>
    <w:rsid w:val="0098708B"/>
    <w:rsid w:val="009962BE"/>
    <w:rsid w:val="009A6299"/>
    <w:rsid w:val="009C0AA0"/>
    <w:rsid w:val="009C0C3F"/>
    <w:rsid w:val="009C0E19"/>
    <w:rsid w:val="009D07C4"/>
    <w:rsid w:val="009D2331"/>
    <w:rsid w:val="009D5F8B"/>
    <w:rsid w:val="009D7EE8"/>
    <w:rsid w:val="009E14A5"/>
    <w:rsid w:val="009E1793"/>
    <w:rsid w:val="009E4430"/>
    <w:rsid w:val="009E46AF"/>
    <w:rsid w:val="009E4C4F"/>
    <w:rsid w:val="009E6DF6"/>
    <w:rsid w:val="009F3C10"/>
    <w:rsid w:val="009F5C9A"/>
    <w:rsid w:val="00A00818"/>
    <w:rsid w:val="00A01F73"/>
    <w:rsid w:val="00A02BC4"/>
    <w:rsid w:val="00A02DD8"/>
    <w:rsid w:val="00A0573A"/>
    <w:rsid w:val="00A062C2"/>
    <w:rsid w:val="00A157DE"/>
    <w:rsid w:val="00A16AC0"/>
    <w:rsid w:val="00A20C74"/>
    <w:rsid w:val="00A22277"/>
    <w:rsid w:val="00A24974"/>
    <w:rsid w:val="00A25CD3"/>
    <w:rsid w:val="00A32E1E"/>
    <w:rsid w:val="00A34E4C"/>
    <w:rsid w:val="00A41CF4"/>
    <w:rsid w:val="00A447D5"/>
    <w:rsid w:val="00A45385"/>
    <w:rsid w:val="00A52AA3"/>
    <w:rsid w:val="00A53800"/>
    <w:rsid w:val="00A56D8F"/>
    <w:rsid w:val="00A651DA"/>
    <w:rsid w:val="00A74650"/>
    <w:rsid w:val="00A7660B"/>
    <w:rsid w:val="00A7682A"/>
    <w:rsid w:val="00A776C8"/>
    <w:rsid w:val="00A77915"/>
    <w:rsid w:val="00A81020"/>
    <w:rsid w:val="00A83363"/>
    <w:rsid w:val="00A83E3B"/>
    <w:rsid w:val="00A85265"/>
    <w:rsid w:val="00A85BE2"/>
    <w:rsid w:val="00A917F9"/>
    <w:rsid w:val="00A940F8"/>
    <w:rsid w:val="00A94327"/>
    <w:rsid w:val="00A94637"/>
    <w:rsid w:val="00A9469C"/>
    <w:rsid w:val="00A95B01"/>
    <w:rsid w:val="00A96B37"/>
    <w:rsid w:val="00AA7DA9"/>
    <w:rsid w:val="00AB0083"/>
    <w:rsid w:val="00AB22CE"/>
    <w:rsid w:val="00AB23EA"/>
    <w:rsid w:val="00AB2A26"/>
    <w:rsid w:val="00AC0020"/>
    <w:rsid w:val="00AC00D4"/>
    <w:rsid w:val="00AC199F"/>
    <w:rsid w:val="00AC1FDA"/>
    <w:rsid w:val="00AC5603"/>
    <w:rsid w:val="00AC77D0"/>
    <w:rsid w:val="00AD1D6A"/>
    <w:rsid w:val="00AD5CD2"/>
    <w:rsid w:val="00AE1131"/>
    <w:rsid w:val="00AE1F95"/>
    <w:rsid w:val="00AE618B"/>
    <w:rsid w:val="00AF1731"/>
    <w:rsid w:val="00AF6EED"/>
    <w:rsid w:val="00B01044"/>
    <w:rsid w:val="00B01241"/>
    <w:rsid w:val="00B05111"/>
    <w:rsid w:val="00B069FA"/>
    <w:rsid w:val="00B07913"/>
    <w:rsid w:val="00B113FE"/>
    <w:rsid w:val="00B175EF"/>
    <w:rsid w:val="00B20F34"/>
    <w:rsid w:val="00B2183C"/>
    <w:rsid w:val="00B23929"/>
    <w:rsid w:val="00B23C25"/>
    <w:rsid w:val="00B30282"/>
    <w:rsid w:val="00B353A6"/>
    <w:rsid w:val="00B37CEB"/>
    <w:rsid w:val="00B40BAF"/>
    <w:rsid w:val="00B413C2"/>
    <w:rsid w:val="00B4156C"/>
    <w:rsid w:val="00B417AA"/>
    <w:rsid w:val="00B45695"/>
    <w:rsid w:val="00B47947"/>
    <w:rsid w:val="00B47C02"/>
    <w:rsid w:val="00B51A2B"/>
    <w:rsid w:val="00B52625"/>
    <w:rsid w:val="00B53A70"/>
    <w:rsid w:val="00B53DAA"/>
    <w:rsid w:val="00B5765E"/>
    <w:rsid w:val="00B63F3B"/>
    <w:rsid w:val="00B65FA8"/>
    <w:rsid w:val="00B678F5"/>
    <w:rsid w:val="00B70ABF"/>
    <w:rsid w:val="00B756FA"/>
    <w:rsid w:val="00B81E19"/>
    <w:rsid w:val="00B81EBB"/>
    <w:rsid w:val="00B8451A"/>
    <w:rsid w:val="00B916F3"/>
    <w:rsid w:val="00B921C5"/>
    <w:rsid w:val="00B93B56"/>
    <w:rsid w:val="00BA12C7"/>
    <w:rsid w:val="00BA3EED"/>
    <w:rsid w:val="00BA6832"/>
    <w:rsid w:val="00BB06AF"/>
    <w:rsid w:val="00BB35E7"/>
    <w:rsid w:val="00BB3C57"/>
    <w:rsid w:val="00BB4AA6"/>
    <w:rsid w:val="00BB4D5F"/>
    <w:rsid w:val="00BC0472"/>
    <w:rsid w:val="00BC574F"/>
    <w:rsid w:val="00BD3887"/>
    <w:rsid w:val="00BE260A"/>
    <w:rsid w:val="00BE468B"/>
    <w:rsid w:val="00BE5834"/>
    <w:rsid w:val="00BE662E"/>
    <w:rsid w:val="00BF2994"/>
    <w:rsid w:val="00BF7DED"/>
    <w:rsid w:val="00C02EED"/>
    <w:rsid w:val="00C038CC"/>
    <w:rsid w:val="00C067B1"/>
    <w:rsid w:val="00C126F1"/>
    <w:rsid w:val="00C1440D"/>
    <w:rsid w:val="00C15A31"/>
    <w:rsid w:val="00C16BE1"/>
    <w:rsid w:val="00C22A6C"/>
    <w:rsid w:val="00C231EA"/>
    <w:rsid w:val="00C27A59"/>
    <w:rsid w:val="00C326DB"/>
    <w:rsid w:val="00C35D9B"/>
    <w:rsid w:val="00C378AE"/>
    <w:rsid w:val="00C40F54"/>
    <w:rsid w:val="00C4269D"/>
    <w:rsid w:val="00C55F5C"/>
    <w:rsid w:val="00C628F5"/>
    <w:rsid w:val="00C63291"/>
    <w:rsid w:val="00C63724"/>
    <w:rsid w:val="00C648D9"/>
    <w:rsid w:val="00C67132"/>
    <w:rsid w:val="00C74D0A"/>
    <w:rsid w:val="00C75B1F"/>
    <w:rsid w:val="00C855D2"/>
    <w:rsid w:val="00C9226C"/>
    <w:rsid w:val="00C92E26"/>
    <w:rsid w:val="00C95208"/>
    <w:rsid w:val="00CA1250"/>
    <w:rsid w:val="00CA1F00"/>
    <w:rsid w:val="00CA2BB1"/>
    <w:rsid w:val="00CA49EB"/>
    <w:rsid w:val="00CA6207"/>
    <w:rsid w:val="00CA6E2F"/>
    <w:rsid w:val="00CB3031"/>
    <w:rsid w:val="00CB3F8D"/>
    <w:rsid w:val="00CB4DA8"/>
    <w:rsid w:val="00CB5981"/>
    <w:rsid w:val="00CC6EE8"/>
    <w:rsid w:val="00CD05C5"/>
    <w:rsid w:val="00CD0D47"/>
    <w:rsid w:val="00CD7458"/>
    <w:rsid w:val="00CD7474"/>
    <w:rsid w:val="00CD7F44"/>
    <w:rsid w:val="00CE5873"/>
    <w:rsid w:val="00CE6156"/>
    <w:rsid w:val="00CF0A95"/>
    <w:rsid w:val="00CF2A89"/>
    <w:rsid w:val="00CF36FC"/>
    <w:rsid w:val="00CF4D22"/>
    <w:rsid w:val="00CF7385"/>
    <w:rsid w:val="00CF739E"/>
    <w:rsid w:val="00D034B5"/>
    <w:rsid w:val="00D0511C"/>
    <w:rsid w:val="00D07777"/>
    <w:rsid w:val="00D1706A"/>
    <w:rsid w:val="00D21A17"/>
    <w:rsid w:val="00D22EAB"/>
    <w:rsid w:val="00D25E2E"/>
    <w:rsid w:val="00D25F53"/>
    <w:rsid w:val="00D277AA"/>
    <w:rsid w:val="00D27D82"/>
    <w:rsid w:val="00D303A2"/>
    <w:rsid w:val="00D31415"/>
    <w:rsid w:val="00D341D1"/>
    <w:rsid w:val="00D35E6A"/>
    <w:rsid w:val="00D36066"/>
    <w:rsid w:val="00D3706D"/>
    <w:rsid w:val="00D4320C"/>
    <w:rsid w:val="00D45D6B"/>
    <w:rsid w:val="00D475E1"/>
    <w:rsid w:val="00D50DBE"/>
    <w:rsid w:val="00D51209"/>
    <w:rsid w:val="00D53753"/>
    <w:rsid w:val="00D5769D"/>
    <w:rsid w:val="00D648B3"/>
    <w:rsid w:val="00D64FC2"/>
    <w:rsid w:val="00D709A9"/>
    <w:rsid w:val="00D71B9D"/>
    <w:rsid w:val="00D76B29"/>
    <w:rsid w:val="00D81625"/>
    <w:rsid w:val="00D83D78"/>
    <w:rsid w:val="00D87E8B"/>
    <w:rsid w:val="00D90E4E"/>
    <w:rsid w:val="00D9112B"/>
    <w:rsid w:val="00D93CD6"/>
    <w:rsid w:val="00DA4441"/>
    <w:rsid w:val="00DA773A"/>
    <w:rsid w:val="00DB14A4"/>
    <w:rsid w:val="00DB5BF8"/>
    <w:rsid w:val="00DB5D4D"/>
    <w:rsid w:val="00DB7C07"/>
    <w:rsid w:val="00DC055D"/>
    <w:rsid w:val="00DC3CF4"/>
    <w:rsid w:val="00DC655D"/>
    <w:rsid w:val="00DD017E"/>
    <w:rsid w:val="00DD070D"/>
    <w:rsid w:val="00DD105B"/>
    <w:rsid w:val="00DD2D93"/>
    <w:rsid w:val="00DE5996"/>
    <w:rsid w:val="00DE7655"/>
    <w:rsid w:val="00DE7B2B"/>
    <w:rsid w:val="00DF1DC9"/>
    <w:rsid w:val="00E001A4"/>
    <w:rsid w:val="00E0381A"/>
    <w:rsid w:val="00E1057E"/>
    <w:rsid w:val="00E11B62"/>
    <w:rsid w:val="00E1235F"/>
    <w:rsid w:val="00E14058"/>
    <w:rsid w:val="00E159CB"/>
    <w:rsid w:val="00E16236"/>
    <w:rsid w:val="00E16CEB"/>
    <w:rsid w:val="00E20942"/>
    <w:rsid w:val="00E20D25"/>
    <w:rsid w:val="00E23BF0"/>
    <w:rsid w:val="00E25581"/>
    <w:rsid w:val="00E266EE"/>
    <w:rsid w:val="00E34B3D"/>
    <w:rsid w:val="00E35862"/>
    <w:rsid w:val="00E36944"/>
    <w:rsid w:val="00E3751E"/>
    <w:rsid w:val="00E415FF"/>
    <w:rsid w:val="00E41E5B"/>
    <w:rsid w:val="00E42723"/>
    <w:rsid w:val="00E4595D"/>
    <w:rsid w:val="00E46D30"/>
    <w:rsid w:val="00E56AEA"/>
    <w:rsid w:val="00E64013"/>
    <w:rsid w:val="00E73709"/>
    <w:rsid w:val="00E7602E"/>
    <w:rsid w:val="00E8006B"/>
    <w:rsid w:val="00E83D5D"/>
    <w:rsid w:val="00E845C5"/>
    <w:rsid w:val="00E84905"/>
    <w:rsid w:val="00E8654F"/>
    <w:rsid w:val="00E86DB0"/>
    <w:rsid w:val="00E87DEB"/>
    <w:rsid w:val="00E91D98"/>
    <w:rsid w:val="00E93C45"/>
    <w:rsid w:val="00E97599"/>
    <w:rsid w:val="00EA0BA6"/>
    <w:rsid w:val="00EA4C31"/>
    <w:rsid w:val="00EB30E0"/>
    <w:rsid w:val="00EB5417"/>
    <w:rsid w:val="00EB7228"/>
    <w:rsid w:val="00EB7690"/>
    <w:rsid w:val="00EC31C4"/>
    <w:rsid w:val="00ED136A"/>
    <w:rsid w:val="00ED40A1"/>
    <w:rsid w:val="00ED499F"/>
    <w:rsid w:val="00ED5641"/>
    <w:rsid w:val="00ED5753"/>
    <w:rsid w:val="00ED7D89"/>
    <w:rsid w:val="00EE1CA7"/>
    <w:rsid w:val="00EE68F9"/>
    <w:rsid w:val="00EE6D01"/>
    <w:rsid w:val="00EF1A19"/>
    <w:rsid w:val="00EF2CC2"/>
    <w:rsid w:val="00EF3228"/>
    <w:rsid w:val="00EF4349"/>
    <w:rsid w:val="00EF56E5"/>
    <w:rsid w:val="00F00AFC"/>
    <w:rsid w:val="00F02317"/>
    <w:rsid w:val="00F02605"/>
    <w:rsid w:val="00F11196"/>
    <w:rsid w:val="00F11FB0"/>
    <w:rsid w:val="00F122AF"/>
    <w:rsid w:val="00F26A3C"/>
    <w:rsid w:val="00F278D4"/>
    <w:rsid w:val="00F30902"/>
    <w:rsid w:val="00F30F21"/>
    <w:rsid w:val="00F33C97"/>
    <w:rsid w:val="00F36AE5"/>
    <w:rsid w:val="00F37CD9"/>
    <w:rsid w:val="00F43D53"/>
    <w:rsid w:val="00F5202B"/>
    <w:rsid w:val="00F54200"/>
    <w:rsid w:val="00F607DA"/>
    <w:rsid w:val="00F623D9"/>
    <w:rsid w:val="00F6426A"/>
    <w:rsid w:val="00F67016"/>
    <w:rsid w:val="00F67FF5"/>
    <w:rsid w:val="00F71947"/>
    <w:rsid w:val="00F77527"/>
    <w:rsid w:val="00F82046"/>
    <w:rsid w:val="00F820CC"/>
    <w:rsid w:val="00F82A89"/>
    <w:rsid w:val="00F82A98"/>
    <w:rsid w:val="00F92EA9"/>
    <w:rsid w:val="00F93492"/>
    <w:rsid w:val="00F9588A"/>
    <w:rsid w:val="00F95F37"/>
    <w:rsid w:val="00FA0011"/>
    <w:rsid w:val="00FA7E2A"/>
    <w:rsid w:val="00FB0B21"/>
    <w:rsid w:val="00FB171B"/>
    <w:rsid w:val="00FB1868"/>
    <w:rsid w:val="00FB1B16"/>
    <w:rsid w:val="00FB586A"/>
    <w:rsid w:val="00FB77D7"/>
    <w:rsid w:val="00FC1C47"/>
    <w:rsid w:val="00FC1F11"/>
    <w:rsid w:val="00FC6AE8"/>
    <w:rsid w:val="00FD125B"/>
    <w:rsid w:val="00FD1D18"/>
    <w:rsid w:val="00FD2F02"/>
    <w:rsid w:val="00FD562E"/>
    <w:rsid w:val="00FD639F"/>
    <w:rsid w:val="00FE0864"/>
    <w:rsid w:val="00FE2A4F"/>
    <w:rsid w:val="00FE6FFF"/>
    <w:rsid w:val="00FF157F"/>
    <w:rsid w:val="00FF3CDA"/>
    <w:rsid w:val="00FF7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1380B"/>
  <w15:chartTrackingRefBased/>
  <w15:docId w15:val="{F30DDC87-3F12-44A0-8F89-C648857A0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160"/>
    <w:rPr>
      <w:rFonts w:eastAsiaTheme="majorEastAsia" w:cstheme="majorBidi"/>
      <w:color w:val="272727" w:themeColor="text1" w:themeTint="D8"/>
    </w:rPr>
  </w:style>
  <w:style w:type="paragraph" w:styleId="Title">
    <w:name w:val="Title"/>
    <w:basedOn w:val="Normal"/>
    <w:next w:val="Normal"/>
    <w:link w:val="TitleChar"/>
    <w:uiPriority w:val="10"/>
    <w:qFormat/>
    <w:rsid w:val="004E3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160"/>
    <w:pPr>
      <w:spacing w:before="160"/>
      <w:jc w:val="center"/>
    </w:pPr>
    <w:rPr>
      <w:i/>
      <w:iCs/>
      <w:color w:val="404040" w:themeColor="text1" w:themeTint="BF"/>
    </w:rPr>
  </w:style>
  <w:style w:type="character" w:customStyle="1" w:styleId="QuoteChar">
    <w:name w:val="Quote Char"/>
    <w:basedOn w:val="DefaultParagraphFont"/>
    <w:link w:val="Quote"/>
    <w:uiPriority w:val="29"/>
    <w:rsid w:val="004E3160"/>
    <w:rPr>
      <w:i/>
      <w:iCs/>
      <w:color w:val="404040" w:themeColor="text1" w:themeTint="BF"/>
    </w:rPr>
  </w:style>
  <w:style w:type="paragraph" w:styleId="ListParagraph">
    <w:name w:val="List Paragraph"/>
    <w:basedOn w:val="Normal"/>
    <w:uiPriority w:val="34"/>
    <w:qFormat/>
    <w:rsid w:val="004E3160"/>
    <w:pPr>
      <w:ind w:left="720"/>
      <w:contextualSpacing/>
    </w:pPr>
  </w:style>
  <w:style w:type="character" w:styleId="IntenseEmphasis">
    <w:name w:val="Intense Emphasis"/>
    <w:basedOn w:val="DefaultParagraphFont"/>
    <w:uiPriority w:val="21"/>
    <w:qFormat/>
    <w:rsid w:val="004E3160"/>
    <w:rPr>
      <w:i/>
      <w:iCs/>
      <w:color w:val="0F4761" w:themeColor="accent1" w:themeShade="BF"/>
    </w:rPr>
  </w:style>
  <w:style w:type="paragraph" w:styleId="IntenseQuote">
    <w:name w:val="Intense Quote"/>
    <w:basedOn w:val="Normal"/>
    <w:next w:val="Normal"/>
    <w:link w:val="IntenseQuoteChar"/>
    <w:uiPriority w:val="30"/>
    <w:qFormat/>
    <w:rsid w:val="004E3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160"/>
    <w:rPr>
      <w:i/>
      <w:iCs/>
      <w:color w:val="0F4761" w:themeColor="accent1" w:themeShade="BF"/>
    </w:rPr>
  </w:style>
  <w:style w:type="character" w:styleId="IntenseReference">
    <w:name w:val="Intense Reference"/>
    <w:basedOn w:val="DefaultParagraphFont"/>
    <w:uiPriority w:val="32"/>
    <w:qFormat/>
    <w:rsid w:val="004E3160"/>
    <w:rPr>
      <w:b/>
      <w:bCs/>
      <w:smallCaps/>
      <w:color w:val="0F4761" w:themeColor="accent1" w:themeShade="BF"/>
      <w:spacing w:val="5"/>
    </w:rPr>
  </w:style>
  <w:style w:type="character" w:styleId="Hyperlink">
    <w:name w:val="Hyperlink"/>
    <w:basedOn w:val="DefaultParagraphFont"/>
    <w:uiPriority w:val="99"/>
    <w:unhideWhenUsed/>
    <w:rsid w:val="004E3160"/>
    <w:rPr>
      <w:color w:val="467886" w:themeColor="hyperlink"/>
      <w:u w:val="single"/>
    </w:rPr>
  </w:style>
  <w:style w:type="character" w:styleId="UnresolvedMention">
    <w:name w:val="Unresolved Mention"/>
    <w:basedOn w:val="DefaultParagraphFont"/>
    <w:uiPriority w:val="99"/>
    <w:semiHidden/>
    <w:unhideWhenUsed/>
    <w:rsid w:val="004E3160"/>
    <w:rPr>
      <w:color w:val="605E5C"/>
      <w:shd w:val="clear" w:color="auto" w:fill="E1DFDD"/>
    </w:rPr>
  </w:style>
  <w:style w:type="paragraph" w:styleId="FootnoteText">
    <w:name w:val="footnote text"/>
    <w:basedOn w:val="Normal"/>
    <w:link w:val="FootnoteTextChar"/>
    <w:uiPriority w:val="99"/>
    <w:unhideWhenUsed/>
    <w:rsid w:val="004E3160"/>
    <w:pPr>
      <w:spacing w:after="0" w:line="240" w:lineRule="auto"/>
    </w:pPr>
    <w:rPr>
      <w:sz w:val="20"/>
      <w:szCs w:val="20"/>
    </w:rPr>
  </w:style>
  <w:style w:type="character" w:customStyle="1" w:styleId="FootnoteTextChar">
    <w:name w:val="Footnote Text Char"/>
    <w:basedOn w:val="DefaultParagraphFont"/>
    <w:link w:val="FootnoteText"/>
    <w:uiPriority w:val="99"/>
    <w:rsid w:val="004E3160"/>
    <w:rPr>
      <w:sz w:val="20"/>
      <w:szCs w:val="20"/>
    </w:rPr>
  </w:style>
  <w:style w:type="character" w:styleId="FootnoteReference">
    <w:name w:val="footnote reference"/>
    <w:basedOn w:val="DefaultParagraphFont"/>
    <w:uiPriority w:val="99"/>
    <w:semiHidden/>
    <w:unhideWhenUsed/>
    <w:rsid w:val="004E3160"/>
    <w:rPr>
      <w:vertAlign w:val="superscript"/>
    </w:rPr>
  </w:style>
  <w:style w:type="character" w:styleId="FollowedHyperlink">
    <w:name w:val="FollowedHyperlink"/>
    <w:basedOn w:val="DefaultParagraphFont"/>
    <w:uiPriority w:val="99"/>
    <w:semiHidden/>
    <w:unhideWhenUsed/>
    <w:rsid w:val="008B4B9A"/>
    <w:rPr>
      <w:color w:val="96607D" w:themeColor="followedHyperlink"/>
      <w:u w:val="single"/>
    </w:rPr>
  </w:style>
  <w:style w:type="character" w:styleId="CommentReference">
    <w:name w:val="annotation reference"/>
    <w:basedOn w:val="DefaultParagraphFont"/>
    <w:uiPriority w:val="99"/>
    <w:semiHidden/>
    <w:unhideWhenUsed/>
    <w:rsid w:val="00AB2A26"/>
    <w:rPr>
      <w:sz w:val="16"/>
      <w:szCs w:val="16"/>
    </w:rPr>
  </w:style>
  <w:style w:type="paragraph" w:styleId="CommentText">
    <w:name w:val="annotation text"/>
    <w:basedOn w:val="Normal"/>
    <w:link w:val="CommentTextChar"/>
    <w:uiPriority w:val="99"/>
    <w:unhideWhenUsed/>
    <w:rsid w:val="00AB2A26"/>
    <w:pPr>
      <w:spacing w:line="240" w:lineRule="auto"/>
    </w:pPr>
    <w:rPr>
      <w:sz w:val="20"/>
      <w:szCs w:val="20"/>
    </w:rPr>
  </w:style>
  <w:style w:type="character" w:customStyle="1" w:styleId="CommentTextChar">
    <w:name w:val="Comment Text Char"/>
    <w:basedOn w:val="DefaultParagraphFont"/>
    <w:link w:val="CommentText"/>
    <w:uiPriority w:val="99"/>
    <w:rsid w:val="00AB2A26"/>
    <w:rPr>
      <w:sz w:val="20"/>
      <w:szCs w:val="20"/>
    </w:rPr>
  </w:style>
  <w:style w:type="paragraph" w:styleId="CommentSubject">
    <w:name w:val="annotation subject"/>
    <w:basedOn w:val="CommentText"/>
    <w:next w:val="CommentText"/>
    <w:link w:val="CommentSubjectChar"/>
    <w:uiPriority w:val="99"/>
    <w:semiHidden/>
    <w:unhideWhenUsed/>
    <w:rsid w:val="00AB2A26"/>
    <w:rPr>
      <w:b/>
      <w:bCs/>
    </w:rPr>
  </w:style>
  <w:style w:type="character" w:customStyle="1" w:styleId="CommentSubjectChar">
    <w:name w:val="Comment Subject Char"/>
    <w:basedOn w:val="CommentTextChar"/>
    <w:link w:val="CommentSubject"/>
    <w:uiPriority w:val="99"/>
    <w:semiHidden/>
    <w:rsid w:val="00AB2A26"/>
    <w:rPr>
      <w:b/>
      <w:bCs/>
      <w:sz w:val="20"/>
      <w:szCs w:val="20"/>
    </w:rPr>
  </w:style>
  <w:style w:type="character" w:styleId="Strong">
    <w:name w:val="Strong"/>
    <w:basedOn w:val="DefaultParagraphFont"/>
    <w:uiPriority w:val="22"/>
    <w:qFormat/>
    <w:rsid w:val="00B353A6"/>
    <w:rPr>
      <w:b/>
      <w:bCs/>
    </w:rPr>
  </w:style>
  <w:style w:type="paragraph" w:styleId="NormalWeb">
    <w:name w:val="Normal (Web)"/>
    <w:basedOn w:val="Normal"/>
    <w:uiPriority w:val="99"/>
    <w:unhideWhenUsed/>
    <w:rsid w:val="00B353A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B353A6"/>
    <w:rPr>
      <w:i/>
      <w:iCs/>
    </w:rPr>
  </w:style>
  <w:style w:type="character" w:customStyle="1" w:styleId="ms-1">
    <w:name w:val="ms-1"/>
    <w:basedOn w:val="DefaultParagraphFont"/>
    <w:rsid w:val="004245D1"/>
  </w:style>
  <w:style w:type="character" w:customStyle="1" w:styleId="max-w-full">
    <w:name w:val="max-w-full"/>
    <w:basedOn w:val="DefaultParagraphFont"/>
    <w:rsid w:val="004245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51">
      <w:bodyDiv w:val="1"/>
      <w:marLeft w:val="0"/>
      <w:marRight w:val="0"/>
      <w:marTop w:val="0"/>
      <w:marBottom w:val="0"/>
      <w:divBdr>
        <w:top w:val="none" w:sz="0" w:space="0" w:color="auto"/>
        <w:left w:val="none" w:sz="0" w:space="0" w:color="auto"/>
        <w:bottom w:val="none" w:sz="0" w:space="0" w:color="auto"/>
        <w:right w:val="none" w:sz="0" w:space="0" w:color="auto"/>
      </w:divBdr>
    </w:div>
    <w:div w:id="27075835">
      <w:bodyDiv w:val="1"/>
      <w:marLeft w:val="0"/>
      <w:marRight w:val="0"/>
      <w:marTop w:val="0"/>
      <w:marBottom w:val="0"/>
      <w:divBdr>
        <w:top w:val="none" w:sz="0" w:space="0" w:color="auto"/>
        <w:left w:val="none" w:sz="0" w:space="0" w:color="auto"/>
        <w:bottom w:val="none" w:sz="0" w:space="0" w:color="auto"/>
        <w:right w:val="none" w:sz="0" w:space="0" w:color="auto"/>
      </w:divBdr>
    </w:div>
    <w:div w:id="40137269">
      <w:bodyDiv w:val="1"/>
      <w:marLeft w:val="0"/>
      <w:marRight w:val="0"/>
      <w:marTop w:val="0"/>
      <w:marBottom w:val="0"/>
      <w:divBdr>
        <w:top w:val="none" w:sz="0" w:space="0" w:color="auto"/>
        <w:left w:val="none" w:sz="0" w:space="0" w:color="auto"/>
        <w:bottom w:val="none" w:sz="0" w:space="0" w:color="auto"/>
        <w:right w:val="none" w:sz="0" w:space="0" w:color="auto"/>
      </w:divBdr>
    </w:div>
    <w:div w:id="53044526">
      <w:bodyDiv w:val="1"/>
      <w:marLeft w:val="0"/>
      <w:marRight w:val="0"/>
      <w:marTop w:val="0"/>
      <w:marBottom w:val="0"/>
      <w:divBdr>
        <w:top w:val="none" w:sz="0" w:space="0" w:color="auto"/>
        <w:left w:val="none" w:sz="0" w:space="0" w:color="auto"/>
        <w:bottom w:val="none" w:sz="0" w:space="0" w:color="auto"/>
        <w:right w:val="none" w:sz="0" w:space="0" w:color="auto"/>
      </w:divBdr>
    </w:div>
    <w:div w:id="74135187">
      <w:bodyDiv w:val="1"/>
      <w:marLeft w:val="0"/>
      <w:marRight w:val="0"/>
      <w:marTop w:val="0"/>
      <w:marBottom w:val="0"/>
      <w:divBdr>
        <w:top w:val="none" w:sz="0" w:space="0" w:color="auto"/>
        <w:left w:val="none" w:sz="0" w:space="0" w:color="auto"/>
        <w:bottom w:val="none" w:sz="0" w:space="0" w:color="auto"/>
        <w:right w:val="none" w:sz="0" w:space="0" w:color="auto"/>
      </w:divBdr>
    </w:div>
    <w:div w:id="91046768">
      <w:bodyDiv w:val="1"/>
      <w:marLeft w:val="0"/>
      <w:marRight w:val="0"/>
      <w:marTop w:val="0"/>
      <w:marBottom w:val="0"/>
      <w:divBdr>
        <w:top w:val="none" w:sz="0" w:space="0" w:color="auto"/>
        <w:left w:val="none" w:sz="0" w:space="0" w:color="auto"/>
        <w:bottom w:val="none" w:sz="0" w:space="0" w:color="auto"/>
        <w:right w:val="none" w:sz="0" w:space="0" w:color="auto"/>
      </w:divBdr>
    </w:div>
    <w:div w:id="92939633">
      <w:bodyDiv w:val="1"/>
      <w:marLeft w:val="0"/>
      <w:marRight w:val="0"/>
      <w:marTop w:val="0"/>
      <w:marBottom w:val="0"/>
      <w:divBdr>
        <w:top w:val="none" w:sz="0" w:space="0" w:color="auto"/>
        <w:left w:val="none" w:sz="0" w:space="0" w:color="auto"/>
        <w:bottom w:val="none" w:sz="0" w:space="0" w:color="auto"/>
        <w:right w:val="none" w:sz="0" w:space="0" w:color="auto"/>
      </w:divBdr>
    </w:div>
    <w:div w:id="97917714">
      <w:bodyDiv w:val="1"/>
      <w:marLeft w:val="0"/>
      <w:marRight w:val="0"/>
      <w:marTop w:val="0"/>
      <w:marBottom w:val="0"/>
      <w:divBdr>
        <w:top w:val="none" w:sz="0" w:space="0" w:color="auto"/>
        <w:left w:val="none" w:sz="0" w:space="0" w:color="auto"/>
        <w:bottom w:val="none" w:sz="0" w:space="0" w:color="auto"/>
        <w:right w:val="none" w:sz="0" w:space="0" w:color="auto"/>
      </w:divBdr>
      <w:divsChild>
        <w:div w:id="211118134">
          <w:marLeft w:val="0"/>
          <w:marRight w:val="0"/>
          <w:marTop w:val="0"/>
          <w:marBottom w:val="0"/>
          <w:divBdr>
            <w:top w:val="none" w:sz="0" w:space="0" w:color="auto"/>
            <w:left w:val="none" w:sz="0" w:space="0" w:color="auto"/>
            <w:bottom w:val="none" w:sz="0" w:space="0" w:color="auto"/>
            <w:right w:val="none" w:sz="0" w:space="0" w:color="auto"/>
          </w:divBdr>
          <w:divsChild>
            <w:div w:id="685014362">
              <w:marLeft w:val="0"/>
              <w:marRight w:val="0"/>
              <w:marTop w:val="0"/>
              <w:marBottom w:val="0"/>
              <w:divBdr>
                <w:top w:val="none" w:sz="0" w:space="0" w:color="auto"/>
                <w:left w:val="none" w:sz="0" w:space="0" w:color="auto"/>
                <w:bottom w:val="none" w:sz="0" w:space="0" w:color="auto"/>
                <w:right w:val="none" w:sz="0" w:space="0" w:color="auto"/>
              </w:divBdr>
              <w:divsChild>
                <w:div w:id="1883055733">
                  <w:marLeft w:val="0"/>
                  <w:marRight w:val="0"/>
                  <w:marTop w:val="0"/>
                  <w:marBottom w:val="0"/>
                  <w:divBdr>
                    <w:top w:val="none" w:sz="0" w:space="0" w:color="auto"/>
                    <w:left w:val="none" w:sz="0" w:space="0" w:color="auto"/>
                    <w:bottom w:val="none" w:sz="0" w:space="0" w:color="auto"/>
                    <w:right w:val="none" w:sz="0" w:space="0" w:color="auto"/>
                  </w:divBdr>
                  <w:divsChild>
                    <w:div w:id="16929677">
                      <w:marLeft w:val="0"/>
                      <w:marRight w:val="0"/>
                      <w:marTop w:val="0"/>
                      <w:marBottom w:val="0"/>
                      <w:divBdr>
                        <w:top w:val="none" w:sz="0" w:space="0" w:color="auto"/>
                        <w:left w:val="none" w:sz="0" w:space="0" w:color="auto"/>
                        <w:bottom w:val="none" w:sz="0" w:space="0" w:color="auto"/>
                        <w:right w:val="none" w:sz="0" w:space="0" w:color="auto"/>
                      </w:divBdr>
                      <w:divsChild>
                        <w:div w:id="559755688">
                          <w:marLeft w:val="0"/>
                          <w:marRight w:val="0"/>
                          <w:marTop w:val="0"/>
                          <w:marBottom w:val="0"/>
                          <w:divBdr>
                            <w:top w:val="none" w:sz="0" w:space="0" w:color="auto"/>
                            <w:left w:val="none" w:sz="0" w:space="0" w:color="auto"/>
                            <w:bottom w:val="none" w:sz="0" w:space="0" w:color="auto"/>
                            <w:right w:val="none" w:sz="0" w:space="0" w:color="auto"/>
                          </w:divBdr>
                          <w:divsChild>
                            <w:div w:id="7279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0161">
                  <w:marLeft w:val="0"/>
                  <w:marRight w:val="0"/>
                  <w:marTop w:val="0"/>
                  <w:marBottom w:val="0"/>
                  <w:divBdr>
                    <w:top w:val="none" w:sz="0" w:space="0" w:color="auto"/>
                    <w:left w:val="none" w:sz="0" w:space="0" w:color="auto"/>
                    <w:bottom w:val="none" w:sz="0" w:space="0" w:color="auto"/>
                    <w:right w:val="none" w:sz="0" w:space="0" w:color="auto"/>
                  </w:divBdr>
                  <w:divsChild>
                    <w:div w:id="1391926422">
                      <w:marLeft w:val="0"/>
                      <w:marRight w:val="0"/>
                      <w:marTop w:val="0"/>
                      <w:marBottom w:val="0"/>
                      <w:divBdr>
                        <w:top w:val="none" w:sz="0" w:space="0" w:color="auto"/>
                        <w:left w:val="none" w:sz="0" w:space="0" w:color="auto"/>
                        <w:bottom w:val="none" w:sz="0" w:space="0" w:color="auto"/>
                        <w:right w:val="none" w:sz="0" w:space="0" w:color="auto"/>
                      </w:divBdr>
                      <w:divsChild>
                        <w:div w:id="943266560">
                          <w:marLeft w:val="0"/>
                          <w:marRight w:val="0"/>
                          <w:marTop w:val="0"/>
                          <w:marBottom w:val="0"/>
                          <w:divBdr>
                            <w:top w:val="none" w:sz="0" w:space="0" w:color="auto"/>
                            <w:left w:val="none" w:sz="0" w:space="0" w:color="auto"/>
                            <w:bottom w:val="none" w:sz="0" w:space="0" w:color="auto"/>
                            <w:right w:val="none" w:sz="0" w:space="0" w:color="auto"/>
                          </w:divBdr>
                          <w:divsChild>
                            <w:div w:id="552235384">
                              <w:marLeft w:val="0"/>
                              <w:marRight w:val="0"/>
                              <w:marTop w:val="0"/>
                              <w:marBottom w:val="0"/>
                              <w:divBdr>
                                <w:top w:val="none" w:sz="0" w:space="0" w:color="auto"/>
                                <w:left w:val="none" w:sz="0" w:space="0" w:color="auto"/>
                                <w:bottom w:val="none" w:sz="0" w:space="0" w:color="auto"/>
                                <w:right w:val="none" w:sz="0" w:space="0" w:color="auto"/>
                              </w:divBdr>
                              <w:divsChild>
                                <w:div w:id="321397650">
                                  <w:marLeft w:val="0"/>
                                  <w:marRight w:val="0"/>
                                  <w:marTop w:val="0"/>
                                  <w:marBottom w:val="0"/>
                                  <w:divBdr>
                                    <w:top w:val="none" w:sz="0" w:space="0" w:color="auto"/>
                                    <w:left w:val="none" w:sz="0" w:space="0" w:color="auto"/>
                                    <w:bottom w:val="none" w:sz="0" w:space="0" w:color="auto"/>
                                    <w:right w:val="none" w:sz="0" w:space="0" w:color="auto"/>
                                  </w:divBdr>
                                  <w:divsChild>
                                    <w:div w:id="1804493681">
                                      <w:marLeft w:val="0"/>
                                      <w:marRight w:val="0"/>
                                      <w:marTop w:val="0"/>
                                      <w:marBottom w:val="0"/>
                                      <w:divBdr>
                                        <w:top w:val="none" w:sz="0" w:space="0" w:color="auto"/>
                                        <w:left w:val="none" w:sz="0" w:space="0" w:color="auto"/>
                                        <w:bottom w:val="none" w:sz="0" w:space="0" w:color="auto"/>
                                        <w:right w:val="none" w:sz="0" w:space="0" w:color="auto"/>
                                      </w:divBdr>
                                    </w:div>
                                  </w:divsChild>
                                </w:div>
                                <w:div w:id="1083574202">
                                  <w:marLeft w:val="0"/>
                                  <w:marRight w:val="0"/>
                                  <w:marTop w:val="0"/>
                                  <w:marBottom w:val="0"/>
                                  <w:divBdr>
                                    <w:top w:val="none" w:sz="0" w:space="0" w:color="auto"/>
                                    <w:left w:val="none" w:sz="0" w:space="0" w:color="auto"/>
                                    <w:bottom w:val="none" w:sz="0" w:space="0" w:color="auto"/>
                                    <w:right w:val="none" w:sz="0" w:space="0" w:color="auto"/>
                                  </w:divBdr>
                                  <w:divsChild>
                                    <w:div w:id="527909347">
                                      <w:marLeft w:val="0"/>
                                      <w:marRight w:val="0"/>
                                      <w:marTop w:val="0"/>
                                      <w:marBottom w:val="0"/>
                                      <w:divBdr>
                                        <w:top w:val="none" w:sz="0" w:space="0" w:color="auto"/>
                                        <w:left w:val="none" w:sz="0" w:space="0" w:color="auto"/>
                                        <w:bottom w:val="none" w:sz="0" w:space="0" w:color="auto"/>
                                        <w:right w:val="none" w:sz="0" w:space="0" w:color="auto"/>
                                      </w:divBdr>
                                    </w:div>
                                  </w:divsChild>
                                </w:div>
                                <w:div w:id="1800102433">
                                  <w:marLeft w:val="0"/>
                                  <w:marRight w:val="0"/>
                                  <w:marTop w:val="0"/>
                                  <w:marBottom w:val="0"/>
                                  <w:divBdr>
                                    <w:top w:val="none" w:sz="0" w:space="0" w:color="auto"/>
                                    <w:left w:val="none" w:sz="0" w:space="0" w:color="auto"/>
                                    <w:bottom w:val="none" w:sz="0" w:space="0" w:color="auto"/>
                                    <w:right w:val="none" w:sz="0" w:space="0" w:color="auto"/>
                                  </w:divBdr>
                                  <w:divsChild>
                                    <w:div w:id="18350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6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48897">
                  <w:marLeft w:val="0"/>
                  <w:marRight w:val="0"/>
                  <w:marTop w:val="0"/>
                  <w:marBottom w:val="0"/>
                  <w:divBdr>
                    <w:top w:val="none" w:sz="0" w:space="0" w:color="auto"/>
                    <w:left w:val="none" w:sz="0" w:space="0" w:color="auto"/>
                    <w:bottom w:val="none" w:sz="0" w:space="0" w:color="auto"/>
                    <w:right w:val="none" w:sz="0" w:space="0" w:color="auto"/>
                  </w:divBdr>
                  <w:divsChild>
                    <w:div w:id="193489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6784">
      <w:bodyDiv w:val="1"/>
      <w:marLeft w:val="0"/>
      <w:marRight w:val="0"/>
      <w:marTop w:val="0"/>
      <w:marBottom w:val="0"/>
      <w:divBdr>
        <w:top w:val="none" w:sz="0" w:space="0" w:color="auto"/>
        <w:left w:val="none" w:sz="0" w:space="0" w:color="auto"/>
        <w:bottom w:val="none" w:sz="0" w:space="0" w:color="auto"/>
        <w:right w:val="none" w:sz="0" w:space="0" w:color="auto"/>
      </w:divBdr>
    </w:div>
    <w:div w:id="112670761">
      <w:bodyDiv w:val="1"/>
      <w:marLeft w:val="0"/>
      <w:marRight w:val="0"/>
      <w:marTop w:val="0"/>
      <w:marBottom w:val="0"/>
      <w:divBdr>
        <w:top w:val="none" w:sz="0" w:space="0" w:color="auto"/>
        <w:left w:val="none" w:sz="0" w:space="0" w:color="auto"/>
        <w:bottom w:val="none" w:sz="0" w:space="0" w:color="auto"/>
        <w:right w:val="none" w:sz="0" w:space="0" w:color="auto"/>
      </w:divBdr>
    </w:div>
    <w:div w:id="141624202">
      <w:bodyDiv w:val="1"/>
      <w:marLeft w:val="0"/>
      <w:marRight w:val="0"/>
      <w:marTop w:val="0"/>
      <w:marBottom w:val="0"/>
      <w:divBdr>
        <w:top w:val="none" w:sz="0" w:space="0" w:color="auto"/>
        <w:left w:val="none" w:sz="0" w:space="0" w:color="auto"/>
        <w:bottom w:val="none" w:sz="0" w:space="0" w:color="auto"/>
        <w:right w:val="none" w:sz="0" w:space="0" w:color="auto"/>
      </w:divBdr>
    </w:div>
    <w:div w:id="174003883">
      <w:bodyDiv w:val="1"/>
      <w:marLeft w:val="0"/>
      <w:marRight w:val="0"/>
      <w:marTop w:val="0"/>
      <w:marBottom w:val="0"/>
      <w:divBdr>
        <w:top w:val="none" w:sz="0" w:space="0" w:color="auto"/>
        <w:left w:val="none" w:sz="0" w:space="0" w:color="auto"/>
        <w:bottom w:val="none" w:sz="0" w:space="0" w:color="auto"/>
        <w:right w:val="none" w:sz="0" w:space="0" w:color="auto"/>
      </w:divBdr>
    </w:div>
    <w:div w:id="190190362">
      <w:bodyDiv w:val="1"/>
      <w:marLeft w:val="0"/>
      <w:marRight w:val="0"/>
      <w:marTop w:val="0"/>
      <w:marBottom w:val="0"/>
      <w:divBdr>
        <w:top w:val="none" w:sz="0" w:space="0" w:color="auto"/>
        <w:left w:val="none" w:sz="0" w:space="0" w:color="auto"/>
        <w:bottom w:val="none" w:sz="0" w:space="0" w:color="auto"/>
        <w:right w:val="none" w:sz="0" w:space="0" w:color="auto"/>
      </w:divBdr>
    </w:div>
    <w:div w:id="207840459">
      <w:bodyDiv w:val="1"/>
      <w:marLeft w:val="0"/>
      <w:marRight w:val="0"/>
      <w:marTop w:val="0"/>
      <w:marBottom w:val="0"/>
      <w:divBdr>
        <w:top w:val="none" w:sz="0" w:space="0" w:color="auto"/>
        <w:left w:val="none" w:sz="0" w:space="0" w:color="auto"/>
        <w:bottom w:val="none" w:sz="0" w:space="0" w:color="auto"/>
        <w:right w:val="none" w:sz="0" w:space="0" w:color="auto"/>
      </w:divBdr>
    </w:div>
    <w:div w:id="208998097">
      <w:bodyDiv w:val="1"/>
      <w:marLeft w:val="0"/>
      <w:marRight w:val="0"/>
      <w:marTop w:val="0"/>
      <w:marBottom w:val="0"/>
      <w:divBdr>
        <w:top w:val="none" w:sz="0" w:space="0" w:color="auto"/>
        <w:left w:val="none" w:sz="0" w:space="0" w:color="auto"/>
        <w:bottom w:val="none" w:sz="0" w:space="0" w:color="auto"/>
        <w:right w:val="none" w:sz="0" w:space="0" w:color="auto"/>
      </w:divBdr>
    </w:div>
    <w:div w:id="218899899">
      <w:bodyDiv w:val="1"/>
      <w:marLeft w:val="0"/>
      <w:marRight w:val="0"/>
      <w:marTop w:val="0"/>
      <w:marBottom w:val="0"/>
      <w:divBdr>
        <w:top w:val="none" w:sz="0" w:space="0" w:color="auto"/>
        <w:left w:val="none" w:sz="0" w:space="0" w:color="auto"/>
        <w:bottom w:val="none" w:sz="0" w:space="0" w:color="auto"/>
        <w:right w:val="none" w:sz="0" w:space="0" w:color="auto"/>
      </w:divBdr>
    </w:div>
    <w:div w:id="233318626">
      <w:bodyDiv w:val="1"/>
      <w:marLeft w:val="0"/>
      <w:marRight w:val="0"/>
      <w:marTop w:val="0"/>
      <w:marBottom w:val="0"/>
      <w:divBdr>
        <w:top w:val="none" w:sz="0" w:space="0" w:color="auto"/>
        <w:left w:val="none" w:sz="0" w:space="0" w:color="auto"/>
        <w:bottom w:val="none" w:sz="0" w:space="0" w:color="auto"/>
        <w:right w:val="none" w:sz="0" w:space="0" w:color="auto"/>
      </w:divBdr>
    </w:div>
    <w:div w:id="236593099">
      <w:bodyDiv w:val="1"/>
      <w:marLeft w:val="0"/>
      <w:marRight w:val="0"/>
      <w:marTop w:val="0"/>
      <w:marBottom w:val="0"/>
      <w:divBdr>
        <w:top w:val="none" w:sz="0" w:space="0" w:color="auto"/>
        <w:left w:val="none" w:sz="0" w:space="0" w:color="auto"/>
        <w:bottom w:val="none" w:sz="0" w:space="0" w:color="auto"/>
        <w:right w:val="none" w:sz="0" w:space="0" w:color="auto"/>
      </w:divBdr>
    </w:div>
    <w:div w:id="236791642">
      <w:bodyDiv w:val="1"/>
      <w:marLeft w:val="0"/>
      <w:marRight w:val="0"/>
      <w:marTop w:val="0"/>
      <w:marBottom w:val="0"/>
      <w:divBdr>
        <w:top w:val="none" w:sz="0" w:space="0" w:color="auto"/>
        <w:left w:val="none" w:sz="0" w:space="0" w:color="auto"/>
        <w:bottom w:val="none" w:sz="0" w:space="0" w:color="auto"/>
        <w:right w:val="none" w:sz="0" w:space="0" w:color="auto"/>
      </w:divBdr>
    </w:div>
    <w:div w:id="252010678">
      <w:bodyDiv w:val="1"/>
      <w:marLeft w:val="0"/>
      <w:marRight w:val="0"/>
      <w:marTop w:val="0"/>
      <w:marBottom w:val="0"/>
      <w:divBdr>
        <w:top w:val="none" w:sz="0" w:space="0" w:color="auto"/>
        <w:left w:val="none" w:sz="0" w:space="0" w:color="auto"/>
        <w:bottom w:val="none" w:sz="0" w:space="0" w:color="auto"/>
        <w:right w:val="none" w:sz="0" w:space="0" w:color="auto"/>
      </w:divBdr>
    </w:div>
    <w:div w:id="264384810">
      <w:bodyDiv w:val="1"/>
      <w:marLeft w:val="0"/>
      <w:marRight w:val="0"/>
      <w:marTop w:val="0"/>
      <w:marBottom w:val="0"/>
      <w:divBdr>
        <w:top w:val="none" w:sz="0" w:space="0" w:color="auto"/>
        <w:left w:val="none" w:sz="0" w:space="0" w:color="auto"/>
        <w:bottom w:val="none" w:sz="0" w:space="0" w:color="auto"/>
        <w:right w:val="none" w:sz="0" w:space="0" w:color="auto"/>
      </w:divBdr>
      <w:divsChild>
        <w:div w:id="815951890">
          <w:marLeft w:val="0"/>
          <w:marRight w:val="0"/>
          <w:marTop w:val="0"/>
          <w:marBottom w:val="0"/>
          <w:divBdr>
            <w:top w:val="none" w:sz="0" w:space="0" w:color="auto"/>
            <w:left w:val="none" w:sz="0" w:space="0" w:color="auto"/>
            <w:bottom w:val="none" w:sz="0" w:space="0" w:color="auto"/>
            <w:right w:val="none" w:sz="0" w:space="0" w:color="auto"/>
          </w:divBdr>
          <w:divsChild>
            <w:div w:id="1656058662">
              <w:marLeft w:val="0"/>
              <w:marRight w:val="0"/>
              <w:marTop w:val="0"/>
              <w:marBottom w:val="0"/>
              <w:divBdr>
                <w:top w:val="none" w:sz="0" w:space="0" w:color="auto"/>
                <w:left w:val="none" w:sz="0" w:space="0" w:color="auto"/>
                <w:bottom w:val="none" w:sz="0" w:space="0" w:color="auto"/>
                <w:right w:val="none" w:sz="0" w:space="0" w:color="auto"/>
              </w:divBdr>
              <w:divsChild>
                <w:div w:id="514611265">
                  <w:marLeft w:val="0"/>
                  <w:marRight w:val="0"/>
                  <w:marTop w:val="0"/>
                  <w:marBottom w:val="0"/>
                  <w:divBdr>
                    <w:top w:val="none" w:sz="0" w:space="0" w:color="auto"/>
                    <w:left w:val="none" w:sz="0" w:space="0" w:color="auto"/>
                    <w:bottom w:val="none" w:sz="0" w:space="0" w:color="auto"/>
                    <w:right w:val="none" w:sz="0" w:space="0" w:color="auto"/>
                  </w:divBdr>
                  <w:divsChild>
                    <w:div w:id="65109422">
                      <w:marLeft w:val="0"/>
                      <w:marRight w:val="0"/>
                      <w:marTop w:val="0"/>
                      <w:marBottom w:val="0"/>
                      <w:divBdr>
                        <w:top w:val="none" w:sz="0" w:space="0" w:color="auto"/>
                        <w:left w:val="none" w:sz="0" w:space="0" w:color="auto"/>
                        <w:bottom w:val="none" w:sz="0" w:space="0" w:color="auto"/>
                        <w:right w:val="none" w:sz="0" w:space="0" w:color="auto"/>
                      </w:divBdr>
                      <w:divsChild>
                        <w:div w:id="1724938068">
                          <w:marLeft w:val="0"/>
                          <w:marRight w:val="0"/>
                          <w:marTop w:val="0"/>
                          <w:marBottom w:val="0"/>
                          <w:divBdr>
                            <w:top w:val="none" w:sz="0" w:space="0" w:color="auto"/>
                            <w:left w:val="none" w:sz="0" w:space="0" w:color="auto"/>
                            <w:bottom w:val="none" w:sz="0" w:space="0" w:color="auto"/>
                            <w:right w:val="none" w:sz="0" w:space="0" w:color="auto"/>
                          </w:divBdr>
                          <w:divsChild>
                            <w:div w:id="1750810928">
                              <w:marLeft w:val="0"/>
                              <w:marRight w:val="0"/>
                              <w:marTop w:val="0"/>
                              <w:marBottom w:val="0"/>
                              <w:divBdr>
                                <w:top w:val="none" w:sz="0" w:space="0" w:color="auto"/>
                                <w:left w:val="none" w:sz="0" w:space="0" w:color="auto"/>
                                <w:bottom w:val="none" w:sz="0" w:space="0" w:color="auto"/>
                                <w:right w:val="none" w:sz="0" w:space="0" w:color="auto"/>
                              </w:divBdr>
                              <w:divsChild>
                                <w:div w:id="267781403">
                                  <w:marLeft w:val="0"/>
                                  <w:marRight w:val="0"/>
                                  <w:marTop w:val="0"/>
                                  <w:marBottom w:val="0"/>
                                  <w:divBdr>
                                    <w:top w:val="none" w:sz="0" w:space="0" w:color="auto"/>
                                    <w:left w:val="none" w:sz="0" w:space="0" w:color="auto"/>
                                    <w:bottom w:val="none" w:sz="0" w:space="0" w:color="auto"/>
                                    <w:right w:val="none" w:sz="0" w:space="0" w:color="auto"/>
                                  </w:divBdr>
                                  <w:divsChild>
                                    <w:div w:id="80662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0572">
                      <w:marLeft w:val="0"/>
                      <w:marRight w:val="0"/>
                      <w:marTop w:val="0"/>
                      <w:marBottom w:val="0"/>
                      <w:divBdr>
                        <w:top w:val="none" w:sz="0" w:space="0" w:color="auto"/>
                        <w:left w:val="none" w:sz="0" w:space="0" w:color="auto"/>
                        <w:bottom w:val="none" w:sz="0" w:space="0" w:color="auto"/>
                        <w:right w:val="none" w:sz="0" w:space="0" w:color="auto"/>
                      </w:divBdr>
                      <w:divsChild>
                        <w:div w:id="10197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216340">
      <w:bodyDiv w:val="1"/>
      <w:marLeft w:val="0"/>
      <w:marRight w:val="0"/>
      <w:marTop w:val="0"/>
      <w:marBottom w:val="0"/>
      <w:divBdr>
        <w:top w:val="none" w:sz="0" w:space="0" w:color="auto"/>
        <w:left w:val="none" w:sz="0" w:space="0" w:color="auto"/>
        <w:bottom w:val="none" w:sz="0" w:space="0" w:color="auto"/>
        <w:right w:val="none" w:sz="0" w:space="0" w:color="auto"/>
      </w:divBdr>
    </w:div>
    <w:div w:id="316613272">
      <w:bodyDiv w:val="1"/>
      <w:marLeft w:val="0"/>
      <w:marRight w:val="0"/>
      <w:marTop w:val="0"/>
      <w:marBottom w:val="0"/>
      <w:divBdr>
        <w:top w:val="none" w:sz="0" w:space="0" w:color="auto"/>
        <w:left w:val="none" w:sz="0" w:space="0" w:color="auto"/>
        <w:bottom w:val="none" w:sz="0" w:space="0" w:color="auto"/>
        <w:right w:val="none" w:sz="0" w:space="0" w:color="auto"/>
      </w:divBdr>
    </w:div>
    <w:div w:id="320158527">
      <w:bodyDiv w:val="1"/>
      <w:marLeft w:val="0"/>
      <w:marRight w:val="0"/>
      <w:marTop w:val="0"/>
      <w:marBottom w:val="0"/>
      <w:divBdr>
        <w:top w:val="none" w:sz="0" w:space="0" w:color="auto"/>
        <w:left w:val="none" w:sz="0" w:space="0" w:color="auto"/>
        <w:bottom w:val="none" w:sz="0" w:space="0" w:color="auto"/>
        <w:right w:val="none" w:sz="0" w:space="0" w:color="auto"/>
      </w:divBdr>
    </w:div>
    <w:div w:id="350570075">
      <w:bodyDiv w:val="1"/>
      <w:marLeft w:val="0"/>
      <w:marRight w:val="0"/>
      <w:marTop w:val="0"/>
      <w:marBottom w:val="0"/>
      <w:divBdr>
        <w:top w:val="none" w:sz="0" w:space="0" w:color="auto"/>
        <w:left w:val="none" w:sz="0" w:space="0" w:color="auto"/>
        <w:bottom w:val="none" w:sz="0" w:space="0" w:color="auto"/>
        <w:right w:val="none" w:sz="0" w:space="0" w:color="auto"/>
      </w:divBdr>
    </w:div>
    <w:div w:id="379088636">
      <w:bodyDiv w:val="1"/>
      <w:marLeft w:val="0"/>
      <w:marRight w:val="0"/>
      <w:marTop w:val="0"/>
      <w:marBottom w:val="0"/>
      <w:divBdr>
        <w:top w:val="none" w:sz="0" w:space="0" w:color="auto"/>
        <w:left w:val="none" w:sz="0" w:space="0" w:color="auto"/>
        <w:bottom w:val="none" w:sz="0" w:space="0" w:color="auto"/>
        <w:right w:val="none" w:sz="0" w:space="0" w:color="auto"/>
      </w:divBdr>
    </w:div>
    <w:div w:id="443962104">
      <w:bodyDiv w:val="1"/>
      <w:marLeft w:val="0"/>
      <w:marRight w:val="0"/>
      <w:marTop w:val="0"/>
      <w:marBottom w:val="0"/>
      <w:divBdr>
        <w:top w:val="none" w:sz="0" w:space="0" w:color="auto"/>
        <w:left w:val="none" w:sz="0" w:space="0" w:color="auto"/>
        <w:bottom w:val="none" w:sz="0" w:space="0" w:color="auto"/>
        <w:right w:val="none" w:sz="0" w:space="0" w:color="auto"/>
      </w:divBdr>
    </w:div>
    <w:div w:id="445152146">
      <w:bodyDiv w:val="1"/>
      <w:marLeft w:val="0"/>
      <w:marRight w:val="0"/>
      <w:marTop w:val="0"/>
      <w:marBottom w:val="0"/>
      <w:divBdr>
        <w:top w:val="none" w:sz="0" w:space="0" w:color="auto"/>
        <w:left w:val="none" w:sz="0" w:space="0" w:color="auto"/>
        <w:bottom w:val="none" w:sz="0" w:space="0" w:color="auto"/>
        <w:right w:val="none" w:sz="0" w:space="0" w:color="auto"/>
      </w:divBdr>
    </w:div>
    <w:div w:id="446975169">
      <w:bodyDiv w:val="1"/>
      <w:marLeft w:val="0"/>
      <w:marRight w:val="0"/>
      <w:marTop w:val="0"/>
      <w:marBottom w:val="0"/>
      <w:divBdr>
        <w:top w:val="none" w:sz="0" w:space="0" w:color="auto"/>
        <w:left w:val="none" w:sz="0" w:space="0" w:color="auto"/>
        <w:bottom w:val="none" w:sz="0" w:space="0" w:color="auto"/>
        <w:right w:val="none" w:sz="0" w:space="0" w:color="auto"/>
      </w:divBdr>
    </w:div>
    <w:div w:id="450782263">
      <w:bodyDiv w:val="1"/>
      <w:marLeft w:val="0"/>
      <w:marRight w:val="0"/>
      <w:marTop w:val="0"/>
      <w:marBottom w:val="0"/>
      <w:divBdr>
        <w:top w:val="none" w:sz="0" w:space="0" w:color="auto"/>
        <w:left w:val="none" w:sz="0" w:space="0" w:color="auto"/>
        <w:bottom w:val="none" w:sz="0" w:space="0" w:color="auto"/>
        <w:right w:val="none" w:sz="0" w:space="0" w:color="auto"/>
      </w:divBdr>
    </w:div>
    <w:div w:id="456293908">
      <w:bodyDiv w:val="1"/>
      <w:marLeft w:val="0"/>
      <w:marRight w:val="0"/>
      <w:marTop w:val="0"/>
      <w:marBottom w:val="0"/>
      <w:divBdr>
        <w:top w:val="none" w:sz="0" w:space="0" w:color="auto"/>
        <w:left w:val="none" w:sz="0" w:space="0" w:color="auto"/>
        <w:bottom w:val="none" w:sz="0" w:space="0" w:color="auto"/>
        <w:right w:val="none" w:sz="0" w:space="0" w:color="auto"/>
      </w:divBdr>
    </w:div>
    <w:div w:id="475726700">
      <w:bodyDiv w:val="1"/>
      <w:marLeft w:val="0"/>
      <w:marRight w:val="0"/>
      <w:marTop w:val="0"/>
      <w:marBottom w:val="0"/>
      <w:divBdr>
        <w:top w:val="none" w:sz="0" w:space="0" w:color="auto"/>
        <w:left w:val="none" w:sz="0" w:space="0" w:color="auto"/>
        <w:bottom w:val="none" w:sz="0" w:space="0" w:color="auto"/>
        <w:right w:val="none" w:sz="0" w:space="0" w:color="auto"/>
      </w:divBdr>
    </w:div>
    <w:div w:id="493759971">
      <w:bodyDiv w:val="1"/>
      <w:marLeft w:val="0"/>
      <w:marRight w:val="0"/>
      <w:marTop w:val="0"/>
      <w:marBottom w:val="0"/>
      <w:divBdr>
        <w:top w:val="none" w:sz="0" w:space="0" w:color="auto"/>
        <w:left w:val="none" w:sz="0" w:space="0" w:color="auto"/>
        <w:bottom w:val="none" w:sz="0" w:space="0" w:color="auto"/>
        <w:right w:val="none" w:sz="0" w:space="0" w:color="auto"/>
      </w:divBdr>
    </w:div>
    <w:div w:id="506676351">
      <w:bodyDiv w:val="1"/>
      <w:marLeft w:val="0"/>
      <w:marRight w:val="0"/>
      <w:marTop w:val="0"/>
      <w:marBottom w:val="0"/>
      <w:divBdr>
        <w:top w:val="none" w:sz="0" w:space="0" w:color="auto"/>
        <w:left w:val="none" w:sz="0" w:space="0" w:color="auto"/>
        <w:bottom w:val="none" w:sz="0" w:space="0" w:color="auto"/>
        <w:right w:val="none" w:sz="0" w:space="0" w:color="auto"/>
      </w:divBdr>
    </w:div>
    <w:div w:id="539784250">
      <w:bodyDiv w:val="1"/>
      <w:marLeft w:val="0"/>
      <w:marRight w:val="0"/>
      <w:marTop w:val="0"/>
      <w:marBottom w:val="0"/>
      <w:divBdr>
        <w:top w:val="none" w:sz="0" w:space="0" w:color="auto"/>
        <w:left w:val="none" w:sz="0" w:space="0" w:color="auto"/>
        <w:bottom w:val="none" w:sz="0" w:space="0" w:color="auto"/>
        <w:right w:val="none" w:sz="0" w:space="0" w:color="auto"/>
      </w:divBdr>
    </w:div>
    <w:div w:id="575479352">
      <w:bodyDiv w:val="1"/>
      <w:marLeft w:val="0"/>
      <w:marRight w:val="0"/>
      <w:marTop w:val="0"/>
      <w:marBottom w:val="0"/>
      <w:divBdr>
        <w:top w:val="none" w:sz="0" w:space="0" w:color="auto"/>
        <w:left w:val="none" w:sz="0" w:space="0" w:color="auto"/>
        <w:bottom w:val="none" w:sz="0" w:space="0" w:color="auto"/>
        <w:right w:val="none" w:sz="0" w:space="0" w:color="auto"/>
      </w:divBdr>
    </w:div>
    <w:div w:id="597062598">
      <w:bodyDiv w:val="1"/>
      <w:marLeft w:val="0"/>
      <w:marRight w:val="0"/>
      <w:marTop w:val="0"/>
      <w:marBottom w:val="0"/>
      <w:divBdr>
        <w:top w:val="none" w:sz="0" w:space="0" w:color="auto"/>
        <w:left w:val="none" w:sz="0" w:space="0" w:color="auto"/>
        <w:bottom w:val="none" w:sz="0" w:space="0" w:color="auto"/>
        <w:right w:val="none" w:sz="0" w:space="0" w:color="auto"/>
      </w:divBdr>
    </w:div>
    <w:div w:id="598372469">
      <w:bodyDiv w:val="1"/>
      <w:marLeft w:val="0"/>
      <w:marRight w:val="0"/>
      <w:marTop w:val="0"/>
      <w:marBottom w:val="0"/>
      <w:divBdr>
        <w:top w:val="none" w:sz="0" w:space="0" w:color="auto"/>
        <w:left w:val="none" w:sz="0" w:space="0" w:color="auto"/>
        <w:bottom w:val="none" w:sz="0" w:space="0" w:color="auto"/>
        <w:right w:val="none" w:sz="0" w:space="0" w:color="auto"/>
      </w:divBdr>
    </w:div>
    <w:div w:id="598877827">
      <w:bodyDiv w:val="1"/>
      <w:marLeft w:val="0"/>
      <w:marRight w:val="0"/>
      <w:marTop w:val="0"/>
      <w:marBottom w:val="0"/>
      <w:divBdr>
        <w:top w:val="none" w:sz="0" w:space="0" w:color="auto"/>
        <w:left w:val="none" w:sz="0" w:space="0" w:color="auto"/>
        <w:bottom w:val="none" w:sz="0" w:space="0" w:color="auto"/>
        <w:right w:val="none" w:sz="0" w:space="0" w:color="auto"/>
      </w:divBdr>
    </w:div>
    <w:div w:id="611743283">
      <w:bodyDiv w:val="1"/>
      <w:marLeft w:val="0"/>
      <w:marRight w:val="0"/>
      <w:marTop w:val="0"/>
      <w:marBottom w:val="0"/>
      <w:divBdr>
        <w:top w:val="none" w:sz="0" w:space="0" w:color="auto"/>
        <w:left w:val="none" w:sz="0" w:space="0" w:color="auto"/>
        <w:bottom w:val="none" w:sz="0" w:space="0" w:color="auto"/>
        <w:right w:val="none" w:sz="0" w:space="0" w:color="auto"/>
      </w:divBdr>
    </w:div>
    <w:div w:id="621495056">
      <w:bodyDiv w:val="1"/>
      <w:marLeft w:val="0"/>
      <w:marRight w:val="0"/>
      <w:marTop w:val="0"/>
      <w:marBottom w:val="0"/>
      <w:divBdr>
        <w:top w:val="none" w:sz="0" w:space="0" w:color="auto"/>
        <w:left w:val="none" w:sz="0" w:space="0" w:color="auto"/>
        <w:bottom w:val="none" w:sz="0" w:space="0" w:color="auto"/>
        <w:right w:val="none" w:sz="0" w:space="0" w:color="auto"/>
      </w:divBdr>
    </w:div>
    <w:div w:id="623535719">
      <w:bodyDiv w:val="1"/>
      <w:marLeft w:val="0"/>
      <w:marRight w:val="0"/>
      <w:marTop w:val="0"/>
      <w:marBottom w:val="0"/>
      <w:divBdr>
        <w:top w:val="none" w:sz="0" w:space="0" w:color="auto"/>
        <w:left w:val="none" w:sz="0" w:space="0" w:color="auto"/>
        <w:bottom w:val="none" w:sz="0" w:space="0" w:color="auto"/>
        <w:right w:val="none" w:sz="0" w:space="0" w:color="auto"/>
      </w:divBdr>
    </w:div>
    <w:div w:id="628975781">
      <w:bodyDiv w:val="1"/>
      <w:marLeft w:val="0"/>
      <w:marRight w:val="0"/>
      <w:marTop w:val="0"/>
      <w:marBottom w:val="0"/>
      <w:divBdr>
        <w:top w:val="none" w:sz="0" w:space="0" w:color="auto"/>
        <w:left w:val="none" w:sz="0" w:space="0" w:color="auto"/>
        <w:bottom w:val="none" w:sz="0" w:space="0" w:color="auto"/>
        <w:right w:val="none" w:sz="0" w:space="0" w:color="auto"/>
      </w:divBdr>
    </w:div>
    <w:div w:id="631060420">
      <w:bodyDiv w:val="1"/>
      <w:marLeft w:val="0"/>
      <w:marRight w:val="0"/>
      <w:marTop w:val="0"/>
      <w:marBottom w:val="0"/>
      <w:divBdr>
        <w:top w:val="none" w:sz="0" w:space="0" w:color="auto"/>
        <w:left w:val="none" w:sz="0" w:space="0" w:color="auto"/>
        <w:bottom w:val="none" w:sz="0" w:space="0" w:color="auto"/>
        <w:right w:val="none" w:sz="0" w:space="0" w:color="auto"/>
      </w:divBdr>
    </w:div>
    <w:div w:id="638532150">
      <w:bodyDiv w:val="1"/>
      <w:marLeft w:val="0"/>
      <w:marRight w:val="0"/>
      <w:marTop w:val="0"/>
      <w:marBottom w:val="0"/>
      <w:divBdr>
        <w:top w:val="none" w:sz="0" w:space="0" w:color="auto"/>
        <w:left w:val="none" w:sz="0" w:space="0" w:color="auto"/>
        <w:bottom w:val="none" w:sz="0" w:space="0" w:color="auto"/>
        <w:right w:val="none" w:sz="0" w:space="0" w:color="auto"/>
      </w:divBdr>
    </w:div>
    <w:div w:id="657198585">
      <w:bodyDiv w:val="1"/>
      <w:marLeft w:val="0"/>
      <w:marRight w:val="0"/>
      <w:marTop w:val="0"/>
      <w:marBottom w:val="0"/>
      <w:divBdr>
        <w:top w:val="none" w:sz="0" w:space="0" w:color="auto"/>
        <w:left w:val="none" w:sz="0" w:space="0" w:color="auto"/>
        <w:bottom w:val="none" w:sz="0" w:space="0" w:color="auto"/>
        <w:right w:val="none" w:sz="0" w:space="0" w:color="auto"/>
      </w:divBdr>
    </w:div>
    <w:div w:id="661349730">
      <w:bodyDiv w:val="1"/>
      <w:marLeft w:val="0"/>
      <w:marRight w:val="0"/>
      <w:marTop w:val="0"/>
      <w:marBottom w:val="0"/>
      <w:divBdr>
        <w:top w:val="none" w:sz="0" w:space="0" w:color="auto"/>
        <w:left w:val="none" w:sz="0" w:space="0" w:color="auto"/>
        <w:bottom w:val="none" w:sz="0" w:space="0" w:color="auto"/>
        <w:right w:val="none" w:sz="0" w:space="0" w:color="auto"/>
      </w:divBdr>
      <w:divsChild>
        <w:div w:id="947663022">
          <w:marLeft w:val="0"/>
          <w:marRight w:val="0"/>
          <w:marTop w:val="0"/>
          <w:marBottom w:val="0"/>
          <w:divBdr>
            <w:top w:val="none" w:sz="0" w:space="0" w:color="auto"/>
            <w:left w:val="none" w:sz="0" w:space="0" w:color="auto"/>
            <w:bottom w:val="none" w:sz="0" w:space="0" w:color="auto"/>
            <w:right w:val="none" w:sz="0" w:space="0" w:color="auto"/>
          </w:divBdr>
          <w:divsChild>
            <w:div w:id="1595088012">
              <w:marLeft w:val="0"/>
              <w:marRight w:val="0"/>
              <w:marTop w:val="0"/>
              <w:marBottom w:val="0"/>
              <w:divBdr>
                <w:top w:val="none" w:sz="0" w:space="0" w:color="auto"/>
                <w:left w:val="none" w:sz="0" w:space="0" w:color="auto"/>
                <w:bottom w:val="none" w:sz="0" w:space="0" w:color="auto"/>
                <w:right w:val="none" w:sz="0" w:space="0" w:color="auto"/>
              </w:divBdr>
              <w:divsChild>
                <w:div w:id="526792363">
                  <w:marLeft w:val="0"/>
                  <w:marRight w:val="0"/>
                  <w:marTop w:val="0"/>
                  <w:marBottom w:val="0"/>
                  <w:divBdr>
                    <w:top w:val="none" w:sz="0" w:space="0" w:color="auto"/>
                    <w:left w:val="none" w:sz="0" w:space="0" w:color="auto"/>
                    <w:bottom w:val="none" w:sz="0" w:space="0" w:color="auto"/>
                    <w:right w:val="none" w:sz="0" w:space="0" w:color="auto"/>
                  </w:divBdr>
                  <w:divsChild>
                    <w:div w:id="1154030398">
                      <w:marLeft w:val="0"/>
                      <w:marRight w:val="0"/>
                      <w:marTop w:val="0"/>
                      <w:marBottom w:val="0"/>
                      <w:divBdr>
                        <w:top w:val="none" w:sz="0" w:space="0" w:color="auto"/>
                        <w:left w:val="none" w:sz="0" w:space="0" w:color="auto"/>
                        <w:bottom w:val="none" w:sz="0" w:space="0" w:color="auto"/>
                        <w:right w:val="none" w:sz="0" w:space="0" w:color="auto"/>
                      </w:divBdr>
                      <w:divsChild>
                        <w:div w:id="1451850846">
                          <w:marLeft w:val="0"/>
                          <w:marRight w:val="0"/>
                          <w:marTop w:val="0"/>
                          <w:marBottom w:val="0"/>
                          <w:divBdr>
                            <w:top w:val="none" w:sz="0" w:space="0" w:color="auto"/>
                            <w:left w:val="none" w:sz="0" w:space="0" w:color="auto"/>
                            <w:bottom w:val="none" w:sz="0" w:space="0" w:color="auto"/>
                            <w:right w:val="none" w:sz="0" w:space="0" w:color="auto"/>
                          </w:divBdr>
                          <w:divsChild>
                            <w:div w:id="7885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272042">
                  <w:marLeft w:val="0"/>
                  <w:marRight w:val="0"/>
                  <w:marTop w:val="0"/>
                  <w:marBottom w:val="0"/>
                  <w:divBdr>
                    <w:top w:val="none" w:sz="0" w:space="0" w:color="auto"/>
                    <w:left w:val="none" w:sz="0" w:space="0" w:color="auto"/>
                    <w:bottom w:val="none" w:sz="0" w:space="0" w:color="auto"/>
                    <w:right w:val="none" w:sz="0" w:space="0" w:color="auto"/>
                  </w:divBdr>
                  <w:divsChild>
                    <w:div w:id="2712571">
                      <w:marLeft w:val="0"/>
                      <w:marRight w:val="0"/>
                      <w:marTop w:val="0"/>
                      <w:marBottom w:val="0"/>
                      <w:divBdr>
                        <w:top w:val="none" w:sz="0" w:space="0" w:color="auto"/>
                        <w:left w:val="none" w:sz="0" w:space="0" w:color="auto"/>
                        <w:bottom w:val="none" w:sz="0" w:space="0" w:color="auto"/>
                        <w:right w:val="none" w:sz="0" w:space="0" w:color="auto"/>
                      </w:divBdr>
                      <w:divsChild>
                        <w:div w:id="252475267">
                          <w:marLeft w:val="0"/>
                          <w:marRight w:val="0"/>
                          <w:marTop w:val="0"/>
                          <w:marBottom w:val="0"/>
                          <w:divBdr>
                            <w:top w:val="none" w:sz="0" w:space="0" w:color="auto"/>
                            <w:left w:val="none" w:sz="0" w:space="0" w:color="auto"/>
                            <w:bottom w:val="none" w:sz="0" w:space="0" w:color="auto"/>
                            <w:right w:val="none" w:sz="0" w:space="0" w:color="auto"/>
                          </w:divBdr>
                          <w:divsChild>
                            <w:div w:id="1065108294">
                              <w:marLeft w:val="0"/>
                              <w:marRight w:val="0"/>
                              <w:marTop w:val="0"/>
                              <w:marBottom w:val="0"/>
                              <w:divBdr>
                                <w:top w:val="none" w:sz="0" w:space="0" w:color="auto"/>
                                <w:left w:val="none" w:sz="0" w:space="0" w:color="auto"/>
                                <w:bottom w:val="none" w:sz="0" w:space="0" w:color="auto"/>
                                <w:right w:val="none" w:sz="0" w:space="0" w:color="auto"/>
                              </w:divBdr>
                              <w:divsChild>
                                <w:div w:id="1842088031">
                                  <w:marLeft w:val="0"/>
                                  <w:marRight w:val="0"/>
                                  <w:marTop w:val="0"/>
                                  <w:marBottom w:val="0"/>
                                  <w:divBdr>
                                    <w:top w:val="none" w:sz="0" w:space="0" w:color="auto"/>
                                    <w:left w:val="none" w:sz="0" w:space="0" w:color="auto"/>
                                    <w:bottom w:val="none" w:sz="0" w:space="0" w:color="auto"/>
                                    <w:right w:val="none" w:sz="0" w:space="0" w:color="auto"/>
                                  </w:divBdr>
                                  <w:divsChild>
                                    <w:div w:id="1758749506">
                                      <w:marLeft w:val="0"/>
                                      <w:marRight w:val="0"/>
                                      <w:marTop w:val="0"/>
                                      <w:marBottom w:val="0"/>
                                      <w:divBdr>
                                        <w:top w:val="none" w:sz="0" w:space="0" w:color="auto"/>
                                        <w:left w:val="none" w:sz="0" w:space="0" w:color="auto"/>
                                        <w:bottom w:val="none" w:sz="0" w:space="0" w:color="auto"/>
                                        <w:right w:val="none" w:sz="0" w:space="0" w:color="auto"/>
                                      </w:divBdr>
                                    </w:div>
                                  </w:divsChild>
                                </w:div>
                                <w:div w:id="1950621444">
                                  <w:marLeft w:val="0"/>
                                  <w:marRight w:val="0"/>
                                  <w:marTop w:val="0"/>
                                  <w:marBottom w:val="0"/>
                                  <w:divBdr>
                                    <w:top w:val="none" w:sz="0" w:space="0" w:color="auto"/>
                                    <w:left w:val="none" w:sz="0" w:space="0" w:color="auto"/>
                                    <w:bottom w:val="none" w:sz="0" w:space="0" w:color="auto"/>
                                    <w:right w:val="none" w:sz="0" w:space="0" w:color="auto"/>
                                  </w:divBdr>
                                  <w:divsChild>
                                    <w:div w:id="861167762">
                                      <w:marLeft w:val="0"/>
                                      <w:marRight w:val="0"/>
                                      <w:marTop w:val="0"/>
                                      <w:marBottom w:val="0"/>
                                      <w:divBdr>
                                        <w:top w:val="none" w:sz="0" w:space="0" w:color="auto"/>
                                        <w:left w:val="none" w:sz="0" w:space="0" w:color="auto"/>
                                        <w:bottom w:val="none" w:sz="0" w:space="0" w:color="auto"/>
                                        <w:right w:val="none" w:sz="0" w:space="0" w:color="auto"/>
                                      </w:divBdr>
                                    </w:div>
                                  </w:divsChild>
                                </w:div>
                                <w:div w:id="772675127">
                                  <w:marLeft w:val="0"/>
                                  <w:marRight w:val="0"/>
                                  <w:marTop w:val="0"/>
                                  <w:marBottom w:val="0"/>
                                  <w:divBdr>
                                    <w:top w:val="none" w:sz="0" w:space="0" w:color="auto"/>
                                    <w:left w:val="none" w:sz="0" w:space="0" w:color="auto"/>
                                    <w:bottom w:val="none" w:sz="0" w:space="0" w:color="auto"/>
                                    <w:right w:val="none" w:sz="0" w:space="0" w:color="auto"/>
                                  </w:divBdr>
                                  <w:divsChild>
                                    <w:div w:id="203803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6413">
                  <w:marLeft w:val="0"/>
                  <w:marRight w:val="0"/>
                  <w:marTop w:val="0"/>
                  <w:marBottom w:val="0"/>
                  <w:divBdr>
                    <w:top w:val="none" w:sz="0" w:space="0" w:color="auto"/>
                    <w:left w:val="none" w:sz="0" w:space="0" w:color="auto"/>
                    <w:bottom w:val="none" w:sz="0" w:space="0" w:color="auto"/>
                    <w:right w:val="none" w:sz="0" w:space="0" w:color="auto"/>
                  </w:divBdr>
                  <w:divsChild>
                    <w:div w:id="16656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61">
      <w:bodyDiv w:val="1"/>
      <w:marLeft w:val="0"/>
      <w:marRight w:val="0"/>
      <w:marTop w:val="0"/>
      <w:marBottom w:val="0"/>
      <w:divBdr>
        <w:top w:val="none" w:sz="0" w:space="0" w:color="auto"/>
        <w:left w:val="none" w:sz="0" w:space="0" w:color="auto"/>
        <w:bottom w:val="none" w:sz="0" w:space="0" w:color="auto"/>
        <w:right w:val="none" w:sz="0" w:space="0" w:color="auto"/>
      </w:divBdr>
    </w:div>
    <w:div w:id="704447094">
      <w:bodyDiv w:val="1"/>
      <w:marLeft w:val="0"/>
      <w:marRight w:val="0"/>
      <w:marTop w:val="0"/>
      <w:marBottom w:val="0"/>
      <w:divBdr>
        <w:top w:val="none" w:sz="0" w:space="0" w:color="auto"/>
        <w:left w:val="none" w:sz="0" w:space="0" w:color="auto"/>
        <w:bottom w:val="none" w:sz="0" w:space="0" w:color="auto"/>
        <w:right w:val="none" w:sz="0" w:space="0" w:color="auto"/>
      </w:divBdr>
    </w:div>
    <w:div w:id="716858641">
      <w:bodyDiv w:val="1"/>
      <w:marLeft w:val="0"/>
      <w:marRight w:val="0"/>
      <w:marTop w:val="0"/>
      <w:marBottom w:val="0"/>
      <w:divBdr>
        <w:top w:val="none" w:sz="0" w:space="0" w:color="auto"/>
        <w:left w:val="none" w:sz="0" w:space="0" w:color="auto"/>
        <w:bottom w:val="none" w:sz="0" w:space="0" w:color="auto"/>
        <w:right w:val="none" w:sz="0" w:space="0" w:color="auto"/>
      </w:divBdr>
    </w:div>
    <w:div w:id="727143099">
      <w:bodyDiv w:val="1"/>
      <w:marLeft w:val="0"/>
      <w:marRight w:val="0"/>
      <w:marTop w:val="0"/>
      <w:marBottom w:val="0"/>
      <w:divBdr>
        <w:top w:val="none" w:sz="0" w:space="0" w:color="auto"/>
        <w:left w:val="none" w:sz="0" w:space="0" w:color="auto"/>
        <w:bottom w:val="none" w:sz="0" w:space="0" w:color="auto"/>
        <w:right w:val="none" w:sz="0" w:space="0" w:color="auto"/>
      </w:divBdr>
    </w:div>
    <w:div w:id="731346836">
      <w:bodyDiv w:val="1"/>
      <w:marLeft w:val="0"/>
      <w:marRight w:val="0"/>
      <w:marTop w:val="0"/>
      <w:marBottom w:val="0"/>
      <w:divBdr>
        <w:top w:val="none" w:sz="0" w:space="0" w:color="auto"/>
        <w:left w:val="none" w:sz="0" w:space="0" w:color="auto"/>
        <w:bottom w:val="none" w:sz="0" w:space="0" w:color="auto"/>
        <w:right w:val="none" w:sz="0" w:space="0" w:color="auto"/>
      </w:divBdr>
    </w:div>
    <w:div w:id="744377622">
      <w:bodyDiv w:val="1"/>
      <w:marLeft w:val="0"/>
      <w:marRight w:val="0"/>
      <w:marTop w:val="0"/>
      <w:marBottom w:val="0"/>
      <w:divBdr>
        <w:top w:val="none" w:sz="0" w:space="0" w:color="auto"/>
        <w:left w:val="none" w:sz="0" w:space="0" w:color="auto"/>
        <w:bottom w:val="none" w:sz="0" w:space="0" w:color="auto"/>
        <w:right w:val="none" w:sz="0" w:space="0" w:color="auto"/>
      </w:divBdr>
    </w:div>
    <w:div w:id="753822225">
      <w:bodyDiv w:val="1"/>
      <w:marLeft w:val="0"/>
      <w:marRight w:val="0"/>
      <w:marTop w:val="0"/>
      <w:marBottom w:val="0"/>
      <w:divBdr>
        <w:top w:val="none" w:sz="0" w:space="0" w:color="auto"/>
        <w:left w:val="none" w:sz="0" w:space="0" w:color="auto"/>
        <w:bottom w:val="none" w:sz="0" w:space="0" w:color="auto"/>
        <w:right w:val="none" w:sz="0" w:space="0" w:color="auto"/>
      </w:divBdr>
    </w:div>
    <w:div w:id="770008699">
      <w:bodyDiv w:val="1"/>
      <w:marLeft w:val="0"/>
      <w:marRight w:val="0"/>
      <w:marTop w:val="0"/>
      <w:marBottom w:val="0"/>
      <w:divBdr>
        <w:top w:val="none" w:sz="0" w:space="0" w:color="auto"/>
        <w:left w:val="none" w:sz="0" w:space="0" w:color="auto"/>
        <w:bottom w:val="none" w:sz="0" w:space="0" w:color="auto"/>
        <w:right w:val="none" w:sz="0" w:space="0" w:color="auto"/>
      </w:divBdr>
    </w:div>
    <w:div w:id="783112265">
      <w:bodyDiv w:val="1"/>
      <w:marLeft w:val="0"/>
      <w:marRight w:val="0"/>
      <w:marTop w:val="0"/>
      <w:marBottom w:val="0"/>
      <w:divBdr>
        <w:top w:val="none" w:sz="0" w:space="0" w:color="auto"/>
        <w:left w:val="none" w:sz="0" w:space="0" w:color="auto"/>
        <w:bottom w:val="none" w:sz="0" w:space="0" w:color="auto"/>
        <w:right w:val="none" w:sz="0" w:space="0" w:color="auto"/>
      </w:divBdr>
    </w:div>
    <w:div w:id="813329107">
      <w:bodyDiv w:val="1"/>
      <w:marLeft w:val="0"/>
      <w:marRight w:val="0"/>
      <w:marTop w:val="0"/>
      <w:marBottom w:val="0"/>
      <w:divBdr>
        <w:top w:val="none" w:sz="0" w:space="0" w:color="auto"/>
        <w:left w:val="none" w:sz="0" w:space="0" w:color="auto"/>
        <w:bottom w:val="none" w:sz="0" w:space="0" w:color="auto"/>
        <w:right w:val="none" w:sz="0" w:space="0" w:color="auto"/>
      </w:divBdr>
    </w:div>
    <w:div w:id="882986978">
      <w:bodyDiv w:val="1"/>
      <w:marLeft w:val="0"/>
      <w:marRight w:val="0"/>
      <w:marTop w:val="0"/>
      <w:marBottom w:val="0"/>
      <w:divBdr>
        <w:top w:val="none" w:sz="0" w:space="0" w:color="auto"/>
        <w:left w:val="none" w:sz="0" w:space="0" w:color="auto"/>
        <w:bottom w:val="none" w:sz="0" w:space="0" w:color="auto"/>
        <w:right w:val="none" w:sz="0" w:space="0" w:color="auto"/>
      </w:divBdr>
    </w:div>
    <w:div w:id="892541590">
      <w:bodyDiv w:val="1"/>
      <w:marLeft w:val="0"/>
      <w:marRight w:val="0"/>
      <w:marTop w:val="0"/>
      <w:marBottom w:val="0"/>
      <w:divBdr>
        <w:top w:val="none" w:sz="0" w:space="0" w:color="auto"/>
        <w:left w:val="none" w:sz="0" w:space="0" w:color="auto"/>
        <w:bottom w:val="none" w:sz="0" w:space="0" w:color="auto"/>
        <w:right w:val="none" w:sz="0" w:space="0" w:color="auto"/>
      </w:divBdr>
    </w:div>
    <w:div w:id="899436045">
      <w:bodyDiv w:val="1"/>
      <w:marLeft w:val="0"/>
      <w:marRight w:val="0"/>
      <w:marTop w:val="0"/>
      <w:marBottom w:val="0"/>
      <w:divBdr>
        <w:top w:val="none" w:sz="0" w:space="0" w:color="auto"/>
        <w:left w:val="none" w:sz="0" w:space="0" w:color="auto"/>
        <w:bottom w:val="none" w:sz="0" w:space="0" w:color="auto"/>
        <w:right w:val="none" w:sz="0" w:space="0" w:color="auto"/>
      </w:divBdr>
    </w:div>
    <w:div w:id="909585391">
      <w:bodyDiv w:val="1"/>
      <w:marLeft w:val="0"/>
      <w:marRight w:val="0"/>
      <w:marTop w:val="0"/>
      <w:marBottom w:val="0"/>
      <w:divBdr>
        <w:top w:val="none" w:sz="0" w:space="0" w:color="auto"/>
        <w:left w:val="none" w:sz="0" w:space="0" w:color="auto"/>
        <w:bottom w:val="none" w:sz="0" w:space="0" w:color="auto"/>
        <w:right w:val="none" w:sz="0" w:space="0" w:color="auto"/>
      </w:divBdr>
    </w:div>
    <w:div w:id="940643467">
      <w:bodyDiv w:val="1"/>
      <w:marLeft w:val="0"/>
      <w:marRight w:val="0"/>
      <w:marTop w:val="0"/>
      <w:marBottom w:val="0"/>
      <w:divBdr>
        <w:top w:val="none" w:sz="0" w:space="0" w:color="auto"/>
        <w:left w:val="none" w:sz="0" w:space="0" w:color="auto"/>
        <w:bottom w:val="none" w:sz="0" w:space="0" w:color="auto"/>
        <w:right w:val="none" w:sz="0" w:space="0" w:color="auto"/>
      </w:divBdr>
    </w:div>
    <w:div w:id="943000407">
      <w:bodyDiv w:val="1"/>
      <w:marLeft w:val="0"/>
      <w:marRight w:val="0"/>
      <w:marTop w:val="0"/>
      <w:marBottom w:val="0"/>
      <w:divBdr>
        <w:top w:val="none" w:sz="0" w:space="0" w:color="auto"/>
        <w:left w:val="none" w:sz="0" w:space="0" w:color="auto"/>
        <w:bottom w:val="none" w:sz="0" w:space="0" w:color="auto"/>
        <w:right w:val="none" w:sz="0" w:space="0" w:color="auto"/>
      </w:divBdr>
    </w:div>
    <w:div w:id="943343738">
      <w:bodyDiv w:val="1"/>
      <w:marLeft w:val="0"/>
      <w:marRight w:val="0"/>
      <w:marTop w:val="0"/>
      <w:marBottom w:val="0"/>
      <w:divBdr>
        <w:top w:val="none" w:sz="0" w:space="0" w:color="auto"/>
        <w:left w:val="none" w:sz="0" w:space="0" w:color="auto"/>
        <w:bottom w:val="none" w:sz="0" w:space="0" w:color="auto"/>
        <w:right w:val="none" w:sz="0" w:space="0" w:color="auto"/>
      </w:divBdr>
    </w:div>
    <w:div w:id="943877202">
      <w:bodyDiv w:val="1"/>
      <w:marLeft w:val="0"/>
      <w:marRight w:val="0"/>
      <w:marTop w:val="0"/>
      <w:marBottom w:val="0"/>
      <w:divBdr>
        <w:top w:val="none" w:sz="0" w:space="0" w:color="auto"/>
        <w:left w:val="none" w:sz="0" w:space="0" w:color="auto"/>
        <w:bottom w:val="none" w:sz="0" w:space="0" w:color="auto"/>
        <w:right w:val="none" w:sz="0" w:space="0" w:color="auto"/>
      </w:divBdr>
    </w:div>
    <w:div w:id="994452436">
      <w:bodyDiv w:val="1"/>
      <w:marLeft w:val="0"/>
      <w:marRight w:val="0"/>
      <w:marTop w:val="0"/>
      <w:marBottom w:val="0"/>
      <w:divBdr>
        <w:top w:val="none" w:sz="0" w:space="0" w:color="auto"/>
        <w:left w:val="none" w:sz="0" w:space="0" w:color="auto"/>
        <w:bottom w:val="none" w:sz="0" w:space="0" w:color="auto"/>
        <w:right w:val="none" w:sz="0" w:space="0" w:color="auto"/>
      </w:divBdr>
    </w:div>
    <w:div w:id="1003750340">
      <w:bodyDiv w:val="1"/>
      <w:marLeft w:val="0"/>
      <w:marRight w:val="0"/>
      <w:marTop w:val="0"/>
      <w:marBottom w:val="0"/>
      <w:divBdr>
        <w:top w:val="none" w:sz="0" w:space="0" w:color="auto"/>
        <w:left w:val="none" w:sz="0" w:space="0" w:color="auto"/>
        <w:bottom w:val="none" w:sz="0" w:space="0" w:color="auto"/>
        <w:right w:val="none" w:sz="0" w:space="0" w:color="auto"/>
      </w:divBdr>
    </w:div>
    <w:div w:id="1005473897">
      <w:bodyDiv w:val="1"/>
      <w:marLeft w:val="0"/>
      <w:marRight w:val="0"/>
      <w:marTop w:val="0"/>
      <w:marBottom w:val="0"/>
      <w:divBdr>
        <w:top w:val="none" w:sz="0" w:space="0" w:color="auto"/>
        <w:left w:val="none" w:sz="0" w:space="0" w:color="auto"/>
        <w:bottom w:val="none" w:sz="0" w:space="0" w:color="auto"/>
        <w:right w:val="none" w:sz="0" w:space="0" w:color="auto"/>
      </w:divBdr>
    </w:div>
    <w:div w:id="1019818197">
      <w:bodyDiv w:val="1"/>
      <w:marLeft w:val="0"/>
      <w:marRight w:val="0"/>
      <w:marTop w:val="0"/>
      <w:marBottom w:val="0"/>
      <w:divBdr>
        <w:top w:val="none" w:sz="0" w:space="0" w:color="auto"/>
        <w:left w:val="none" w:sz="0" w:space="0" w:color="auto"/>
        <w:bottom w:val="none" w:sz="0" w:space="0" w:color="auto"/>
        <w:right w:val="none" w:sz="0" w:space="0" w:color="auto"/>
      </w:divBdr>
    </w:div>
    <w:div w:id="1024675385">
      <w:bodyDiv w:val="1"/>
      <w:marLeft w:val="0"/>
      <w:marRight w:val="0"/>
      <w:marTop w:val="0"/>
      <w:marBottom w:val="0"/>
      <w:divBdr>
        <w:top w:val="none" w:sz="0" w:space="0" w:color="auto"/>
        <w:left w:val="none" w:sz="0" w:space="0" w:color="auto"/>
        <w:bottom w:val="none" w:sz="0" w:space="0" w:color="auto"/>
        <w:right w:val="none" w:sz="0" w:space="0" w:color="auto"/>
      </w:divBdr>
    </w:div>
    <w:div w:id="1028337385">
      <w:bodyDiv w:val="1"/>
      <w:marLeft w:val="0"/>
      <w:marRight w:val="0"/>
      <w:marTop w:val="0"/>
      <w:marBottom w:val="0"/>
      <w:divBdr>
        <w:top w:val="none" w:sz="0" w:space="0" w:color="auto"/>
        <w:left w:val="none" w:sz="0" w:space="0" w:color="auto"/>
        <w:bottom w:val="none" w:sz="0" w:space="0" w:color="auto"/>
        <w:right w:val="none" w:sz="0" w:space="0" w:color="auto"/>
      </w:divBdr>
    </w:div>
    <w:div w:id="1032733002">
      <w:bodyDiv w:val="1"/>
      <w:marLeft w:val="0"/>
      <w:marRight w:val="0"/>
      <w:marTop w:val="0"/>
      <w:marBottom w:val="0"/>
      <w:divBdr>
        <w:top w:val="none" w:sz="0" w:space="0" w:color="auto"/>
        <w:left w:val="none" w:sz="0" w:space="0" w:color="auto"/>
        <w:bottom w:val="none" w:sz="0" w:space="0" w:color="auto"/>
        <w:right w:val="none" w:sz="0" w:space="0" w:color="auto"/>
      </w:divBdr>
    </w:div>
    <w:div w:id="1058355115">
      <w:bodyDiv w:val="1"/>
      <w:marLeft w:val="0"/>
      <w:marRight w:val="0"/>
      <w:marTop w:val="0"/>
      <w:marBottom w:val="0"/>
      <w:divBdr>
        <w:top w:val="none" w:sz="0" w:space="0" w:color="auto"/>
        <w:left w:val="none" w:sz="0" w:space="0" w:color="auto"/>
        <w:bottom w:val="none" w:sz="0" w:space="0" w:color="auto"/>
        <w:right w:val="none" w:sz="0" w:space="0" w:color="auto"/>
      </w:divBdr>
    </w:div>
    <w:div w:id="1059934326">
      <w:bodyDiv w:val="1"/>
      <w:marLeft w:val="0"/>
      <w:marRight w:val="0"/>
      <w:marTop w:val="0"/>
      <w:marBottom w:val="0"/>
      <w:divBdr>
        <w:top w:val="none" w:sz="0" w:space="0" w:color="auto"/>
        <w:left w:val="none" w:sz="0" w:space="0" w:color="auto"/>
        <w:bottom w:val="none" w:sz="0" w:space="0" w:color="auto"/>
        <w:right w:val="none" w:sz="0" w:space="0" w:color="auto"/>
      </w:divBdr>
    </w:div>
    <w:div w:id="1065638468">
      <w:bodyDiv w:val="1"/>
      <w:marLeft w:val="0"/>
      <w:marRight w:val="0"/>
      <w:marTop w:val="0"/>
      <w:marBottom w:val="0"/>
      <w:divBdr>
        <w:top w:val="none" w:sz="0" w:space="0" w:color="auto"/>
        <w:left w:val="none" w:sz="0" w:space="0" w:color="auto"/>
        <w:bottom w:val="none" w:sz="0" w:space="0" w:color="auto"/>
        <w:right w:val="none" w:sz="0" w:space="0" w:color="auto"/>
      </w:divBdr>
    </w:div>
    <w:div w:id="1071082917">
      <w:bodyDiv w:val="1"/>
      <w:marLeft w:val="0"/>
      <w:marRight w:val="0"/>
      <w:marTop w:val="0"/>
      <w:marBottom w:val="0"/>
      <w:divBdr>
        <w:top w:val="none" w:sz="0" w:space="0" w:color="auto"/>
        <w:left w:val="none" w:sz="0" w:space="0" w:color="auto"/>
        <w:bottom w:val="none" w:sz="0" w:space="0" w:color="auto"/>
        <w:right w:val="none" w:sz="0" w:space="0" w:color="auto"/>
      </w:divBdr>
    </w:div>
    <w:div w:id="1098989164">
      <w:bodyDiv w:val="1"/>
      <w:marLeft w:val="0"/>
      <w:marRight w:val="0"/>
      <w:marTop w:val="0"/>
      <w:marBottom w:val="0"/>
      <w:divBdr>
        <w:top w:val="none" w:sz="0" w:space="0" w:color="auto"/>
        <w:left w:val="none" w:sz="0" w:space="0" w:color="auto"/>
        <w:bottom w:val="none" w:sz="0" w:space="0" w:color="auto"/>
        <w:right w:val="none" w:sz="0" w:space="0" w:color="auto"/>
      </w:divBdr>
    </w:div>
    <w:div w:id="1102266959">
      <w:bodyDiv w:val="1"/>
      <w:marLeft w:val="0"/>
      <w:marRight w:val="0"/>
      <w:marTop w:val="0"/>
      <w:marBottom w:val="0"/>
      <w:divBdr>
        <w:top w:val="none" w:sz="0" w:space="0" w:color="auto"/>
        <w:left w:val="none" w:sz="0" w:space="0" w:color="auto"/>
        <w:bottom w:val="none" w:sz="0" w:space="0" w:color="auto"/>
        <w:right w:val="none" w:sz="0" w:space="0" w:color="auto"/>
      </w:divBdr>
    </w:div>
    <w:div w:id="1138959739">
      <w:bodyDiv w:val="1"/>
      <w:marLeft w:val="0"/>
      <w:marRight w:val="0"/>
      <w:marTop w:val="0"/>
      <w:marBottom w:val="0"/>
      <w:divBdr>
        <w:top w:val="none" w:sz="0" w:space="0" w:color="auto"/>
        <w:left w:val="none" w:sz="0" w:space="0" w:color="auto"/>
        <w:bottom w:val="none" w:sz="0" w:space="0" w:color="auto"/>
        <w:right w:val="none" w:sz="0" w:space="0" w:color="auto"/>
      </w:divBdr>
    </w:div>
    <w:div w:id="1169252839">
      <w:bodyDiv w:val="1"/>
      <w:marLeft w:val="0"/>
      <w:marRight w:val="0"/>
      <w:marTop w:val="0"/>
      <w:marBottom w:val="0"/>
      <w:divBdr>
        <w:top w:val="none" w:sz="0" w:space="0" w:color="auto"/>
        <w:left w:val="none" w:sz="0" w:space="0" w:color="auto"/>
        <w:bottom w:val="none" w:sz="0" w:space="0" w:color="auto"/>
        <w:right w:val="none" w:sz="0" w:space="0" w:color="auto"/>
      </w:divBdr>
    </w:div>
    <w:div w:id="1189223911">
      <w:bodyDiv w:val="1"/>
      <w:marLeft w:val="0"/>
      <w:marRight w:val="0"/>
      <w:marTop w:val="0"/>
      <w:marBottom w:val="0"/>
      <w:divBdr>
        <w:top w:val="none" w:sz="0" w:space="0" w:color="auto"/>
        <w:left w:val="none" w:sz="0" w:space="0" w:color="auto"/>
        <w:bottom w:val="none" w:sz="0" w:space="0" w:color="auto"/>
        <w:right w:val="none" w:sz="0" w:space="0" w:color="auto"/>
      </w:divBdr>
    </w:div>
    <w:div w:id="1211455923">
      <w:bodyDiv w:val="1"/>
      <w:marLeft w:val="0"/>
      <w:marRight w:val="0"/>
      <w:marTop w:val="0"/>
      <w:marBottom w:val="0"/>
      <w:divBdr>
        <w:top w:val="none" w:sz="0" w:space="0" w:color="auto"/>
        <w:left w:val="none" w:sz="0" w:space="0" w:color="auto"/>
        <w:bottom w:val="none" w:sz="0" w:space="0" w:color="auto"/>
        <w:right w:val="none" w:sz="0" w:space="0" w:color="auto"/>
      </w:divBdr>
    </w:div>
    <w:div w:id="1218471694">
      <w:bodyDiv w:val="1"/>
      <w:marLeft w:val="0"/>
      <w:marRight w:val="0"/>
      <w:marTop w:val="0"/>
      <w:marBottom w:val="0"/>
      <w:divBdr>
        <w:top w:val="none" w:sz="0" w:space="0" w:color="auto"/>
        <w:left w:val="none" w:sz="0" w:space="0" w:color="auto"/>
        <w:bottom w:val="none" w:sz="0" w:space="0" w:color="auto"/>
        <w:right w:val="none" w:sz="0" w:space="0" w:color="auto"/>
      </w:divBdr>
    </w:div>
    <w:div w:id="1264992398">
      <w:bodyDiv w:val="1"/>
      <w:marLeft w:val="0"/>
      <w:marRight w:val="0"/>
      <w:marTop w:val="0"/>
      <w:marBottom w:val="0"/>
      <w:divBdr>
        <w:top w:val="none" w:sz="0" w:space="0" w:color="auto"/>
        <w:left w:val="none" w:sz="0" w:space="0" w:color="auto"/>
        <w:bottom w:val="none" w:sz="0" w:space="0" w:color="auto"/>
        <w:right w:val="none" w:sz="0" w:space="0" w:color="auto"/>
      </w:divBdr>
    </w:div>
    <w:div w:id="1280333511">
      <w:bodyDiv w:val="1"/>
      <w:marLeft w:val="0"/>
      <w:marRight w:val="0"/>
      <w:marTop w:val="0"/>
      <w:marBottom w:val="0"/>
      <w:divBdr>
        <w:top w:val="none" w:sz="0" w:space="0" w:color="auto"/>
        <w:left w:val="none" w:sz="0" w:space="0" w:color="auto"/>
        <w:bottom w:val="none" w:sz="0" w:space="0" w:color="auto"/>
        <w:right w:val="none" w:sz="0" w:space="0" w:color="auto"/>
      </w:divBdr>
    </w:div>
    <w:div w:id="1297491411">
      <w:bodyDiv w:val="1"/>
      <w:marLeft w:val="0"/>
      <w:marRight w:val="0"/>
      <w:marTop w:val="0"/>
      <w:marBottom w:val="0"/>
      <w:divBdr>
        <w:top w:val="none" w:sz="0" w:space="0" w:color="auto"/>
        <w:left w:val="none" w:sz="0" w:space="0" w:color="auto"/>
        <w:bottom w:val="none" w:sz="0" w:space="0" w:color="auto"/>
        <w:right w:val="none" w:sz="0" w:space="0" w:color="auto"/>
      </w:divBdr>
    </w:div>
    <w:div w:id="1308896544">
      <w:bodyDiv w:val="1"/>
      <w:marLeft w:val="0"/>
      <w:marRight w:val="0"/>
      <w:marTop w:val="0"/>
      <w:marBottom w:val="0"/>
      <w:divBdr>
        <w:top w:val="none" w:sz="0" w:space="0" w:color="auto"/>
        <w:left w:val="none" w:sz="0" w:space="0" w:color="auto"/>
        <w:bottom w:val="none" w:sz="0" w:space="0" w:color="auto"/>
        <w:right w:val="none" w:sz="0" w:space="0" w:color="auto"/>
      </w:divBdr>
    </w:div>
    <w:div w:id="1314023303">
      <w:bodyDiv w:val="1"/>
      <w:marLeft w:val="0"/>
      <w:marRight w:val="0"/>
      <w:marTop w:val="0"/>
      <w:marBottom w:val="0"/>
      <w:divBdr>
        <w:top w:val="none" w:sz="0" w:space="0" w:color="auto"/>
        <w:left w:val="none" w:sz="0" w:space="0" w:color="auto"/>
        <w:bottom w:val="none" w:sz="0" w:space="0" w:color="auto"/>
        <w:right w:val="none" w:sz="0" w:space="0" w:color="auto"/>
      </w:divBdr>
    </w:div>
    <w:div w:id="1327828046">
      <w:bodyDiv w:val="1"/>
      <w:marLeft w:val="0"/>
      <w:marRight w:val="0"/>
      <w:marTop w:val="0"/>
      <w:marBottom w:val="0"/>
      <w:divBdr>
        <w:top w:val="none" w:sz="0" w:space="0" w:color="auto"/>
        <w:left w:val="none" w:sz="0" w:space="0" w:color="auto"/>
        <w:bottom w:val="none" w:sz="0" w:space="0" w:color="auto"/>
        <w:right w:val="none" w:sz="0" w:space="0" w:color="auto"/>
      </w:divBdr>
    </w:div>
    <w:div w:id="1337659880">
      <w:bodyDiv w:val="1"/>
      <w:marLeft w:val="0"/>
      <w:marRight w:val="0"/>
      <w:marTop w:val="0"/>
      <w:marBottom w:val="0"/>
      <w:divBdr>
        <w:top w:val="none" w:sz="0" w:space="0" w:color="auto"/>
        <w:left w:val="none" w:sz="0" w:space="0" w:color="auto"/>
        <w:bottom w:val="none" w:sz="0" w:space="0" w:color="auto"/>
        <w:right w:val="none" w:sz="0" w:space="0" w:color="auto"/>
      </w:divBdr>
    </w:div>
    <w:div w:id="1404139868">
      <w:bodyDiv w:val="1"/>
      <w:marLeft w:val="0"/>
      <w:marRight w:val="0"/>
      <w:marTop w:val="0"/>
      <w:marBottom w:val="0"/>
      <w:divBdr>
        <w:top w:val="none" w:sz="0" w:space="0" w:color="auto"/>
        <w:left w:val="none" w:sz="0" w:space="0" w:color="auto"/>
        <w:bottom w:val="none" w:sz="0" w:space="0" w:color="auto"/>
        <w:right w:val="none" w:sz="0" w:space="0" w:color="auto"/>
      </w:divBdr>
    </w:div>
    <w:div w:id="1409956999">
      <w:bodyDiv w:val="1"/>
      <w:marLeft w:val="0"/>
      <w:marRight w:val="0"/>
      <w:marTop w:val="0"/>
      <w:marBottom w:val="0"/>
      <w:divBdr>
        <w:top w:val="none" w:sz="0" w:space="0" w:color="auto"/>
        <w:left w:val="none" w:sz="0" w:space="0" w:color="auto"/>
        <w:bottom w:val="none" w:sz="0" w:space="0" w:color="auto"/>
        <w:right w:val="none" w:sz="0" w:space="0" w:color="auto"/>
      </w:divBdr>
    </w:div>
    <w:div w:id="1423600791">
      <w:bodyDiv w:val="1"/>
      <w:marLeft w:val="0"/>
      <w:marRight w:val="0"/>
      <w:marTop w:val="0"/>
      <w:marBottom w:val="0"/>
      <w:divBdr>
        <w:top w:val="none" w:sz="0" w:space="0" w:color="auto"/>
        <w:left w:val="none" w:sz="0" w:space="0" w:color="auto"/>
        <w:bottom w:val="none" w:sz="0" w:space="0" w:color="auto"/>
        <w:right w:val="none" w:sz="0" w:space="0" w:color="auto"/>
      </w:divBdr>
    </w:div>
    <w:div w:id="1434741275">
      <w:bodyDiv w:val="1"/>
      <w:marLeft w:val="0"/>
      <w:marRight w:val="0"/>
      <w:marTop w:val="0"/>
      <w:marBottom w:val="0"/>
      <w:divBdr>
        <w:top w:val="none" w:sz="0" w:space="0" w:color="auto"/>
        <w:left w:val="none" w:sz="0" w:space="0" w:color="auto"/>
        <w:bottom w:val="none" w:sz="0" w:space="0" w:color="auto"/>
        <w:right w:val="none" w:sz="0" w:space="0" w:color="auto"/>
      </w:divBdr>
    </w:div>
    <w:div w:id="1448739823">
      <w:bodyDiv w:val="1"/>
      <w:marLeft w:val="0"/>
      <w:marRight w:val="0"/>
      <w:marTop w:val="0"/>
      <w:marBottom w:val="0"/>
      <w:divBdr>
        <w:top w:val="none" w:sz="0" w:space="0" w:color="auto"/>
        <w:left w:val="none" w:sz="0" w:space="0" w:color="auto"/>
        <w:bottom w:val="none" w:sz="0" w:space="0" w:color="auto"/>
        <w:right w:val="none" w:sz="0" w:space="0" w:color="auto"/>
      </w:divBdr>
    </w:div>
    <w:div w:id="1450273742">
      <w:bodyDiv w:val="1"/>
      <w:marLeft w:val="0"/>
      <w:marRight w:val="0"/>
      <w:marTop w:val="0"/>
      <w:marBottom w:val="0"/>
      <w:divBdr>
        <w:top w:val="none" w:sz="0" w:space="0" w:color="auto"/>
        <w:left w:val="none" w:sz="0" w:space="0" w:color="auto"/>
        <w:bottom w:val="none" w:sz="0" w:space="0" w:color="auto"/>
        <w:right w:val="none" w:sz="0" w:space="0" w:color="auto"/>
      </w:divBdr>
    </w:div>
    <w:div w:id="1463961976">
      <w:bodyDiv w:val="1"/>
      <w:marLeft w:val="0"/>
      <w:marRight w:val="0"/>
      <w:marTop w:val="0"/>
      <w:marBottom w:val="0"/>
      <w:divBdr>
        <w:top w:val="none" w:sz="0" w:space="0" w:color="auto"/>
        <w:left w:val="none" w:sz="0" w:space="0" w:color="auto"/>
        <w:bottom w:val="none" w:sz="0" w:space="0" w:color="auto"/>
        <w:right w:val="none" w:sz="0" w:space="0" w:color="auto"/>
      </w:divBdr>
    </w:div>
    <w:div w:id="1481116027">
      <w:bodyDiv w:val="1"/>
      <w:marLeft w:val="0"/>
      <w:marRight w:val="0"/>
      <w:marTop w:val="0"/>
      <w:marBottom w:val="0"/>
      <w:divBdr>
        <w:top w:val="none" w:sz="0" w:space="0" w:color="auto"/>
        <w:left w:val="none" w:sz="0" w:space="0" w:color="auto"/>
        <w:bottom w:val="none" w:sz="0" w:space="0" w:color="auto"/>
        <w:right w:val="none" w:sz="0" w:space="0" w:color="auto"/>
      </w:divBdr>
    </w:div>
    <w:div w:id="1483422022">
      <w:bodyDiv w:val="1"/>
      <w:marLeft w:val="0"/>
      <w:marRight w:val="0"/>
      <w:marTop w:val="0"/>
      <w:marBottom w:val="0"/>
      <w:divBdr>
        <w:top w:val="none" w:sz="0" w:space="0" w:color="auto"/>
        <w:left w:val="none" w:sz="0" w:space="0" w:color="auto"/>
        <w:bottom w:val="none" w:sz="0" w:space="0" w:color="auto"/>
        <w:right w:val="none" w:sz="0" w:space="0" w:color="auto"/>
      </w:divBdr>
    </w:div>
    <w:div w:id="1521314473">
      <w:bodyDiv w:val="1"/>
      <w:marLeft w:val="0"/>
      <w:marRight w:val="0"/>
      <w:marTop w:val="0"/>
      <w:marBottom w:val="0"/>
      <w:divBdr>
        <w:top w:val="none" w:sz="0" w:space="0" w:color="auto"/>
        <w:left w:val="none" w:sz="0" w:space="0" w:color="auto"/>
        <w:bottom w:val="none" w:sz="0" w:space="0" w:color="auto"/>
        <w:right w:val="none" w:sz="0" w:space="0" w:color="auto"/>
      </w:divBdr>
    </w:div>
    <w:div w:id="1537346847">
      <w:bodyDiv w:val="1"/>
      <w:marLeft w:val="0"/>
      <w:marRight w:val="0"/>
      <w:marTop w:val="0"/>
      <w:marBottom w:val="0"/>
      <w:divBdr>
        <w:top w:val="none" w:sz="0" w:space="0" w:color="auto"/>
        <w:left w:val="none" w:sz="0" w:space="0" w:color="auto"/>
        <w:bottom w:val="none" w:sz="0" w:space="0" w:color="auto"/>
        <w:right w:val="none" w:sz="0" w:space="0" w:color="auto"/>
      </w:divBdr>
    </w:div>
    <w:div w:id="1547138813">
      <w:bodyDiv w:val="1"/>
      <w:marLeft w:val="0"/>
      <w:marRight w:val="0"/>
      <w:marTop w:val="0"/>
      <w:marBottom w:val="0"/>
      <w:divBdr>
        <w:top w:val="none" w:sz="0" w:space="0" w:color="auto"/>
        <w:left w:val="none" w:sz="0" w:space="0" w:color="auto"/>
        <w:bottom w:val="none" w:sz="0" w:space="0" w:color="auto"/>
        <w:right w:val="none" w:sz="0" w:space="0" w:color="auto"/>
      </w:divBdr>
    </w:div>
    <w:div w:id="1555194867">
      <w:bodyDiv w:val="1"/>
      <w:marLeft w:val="0"/>
      <w:marRight w:val="0"/>
      <w:marTop w:val="0"/>
      <w:marBottom w:val="0"/>
      <w:divBdr>
        <w:top w:val="none" w:sz="0" w:space="0" w:color="auto"/>
        <w:left w:val="none" w:sz="0" w:space="0" w:color="auto"/>
        <w:bottom w:val="none" w:sz="0" w:space="0" w:color="auto"/>
        <w:right w:val="none" w:sz="0" w:space="0" w:color="auto"/>
      </w:divBdr>
    </w:div>
    <w:div w:id="1559516218">
      <w:bodyDiv w:val="1"/>
      <w:marLeft w:val="0"/>
      <w:marRight w:val="0"/>
      <w:marTop w:val="0"/>
      <w:marBottom w:val="0"/>
      <w:divBdr>
        <w:top w:val="none" w:sz="0" w:space="0" w:color="auto"/>
        <w:left w:val="none" w:sz="0" w:space="0" w:color="auto"/>
        <w:bottom w:val="none" w:sz="0" w:space="0" w:color="auto"/>
        <w:right w:val="none" w:sz="0" w:space="0" w:color="auto"/>
      </w:divBdr>
    </w:div>
    <w:div w:id="1583224754">
      <w:bodyDiv w:val="1"/>
      <w:marLeft w:val="0"/>
      <w:marRight w:val="0"/>
      <w:marTop w:val="0"/>
      <w:marBottom w:val="0"/>
      <w:divBdr>
        <w:top w:val="none" w:sz="0" w:space="0" w:color="auto"/>
        <w:left w:val="none" w:sz="0" w:space="0" w:color="auto"/>
        <w:bottom w:val="none" w:sz="0" w:space="0" w:color="auto"/>
        <w:right w:val="none" w:sz="0" w:space="0" w:color="auto"/>
      </w:divBdr>
    </w:div>
    <w:div w:id="1585609682">
      <w:bodyDiv w:val="1"/>
      <w:marLeft w:val="0"/>
      <w:marRight w:val="0"/>
      <w:marTop w:val="0"/>
      <w:marBottom w:val="0"/>
      <w:divBdr>
        <w:top w:val="none" w:sz="0" w:space="0" w:color="auto"/>
        <w:left w:val="none" w:sz="0" w:space="0" w:color="auto"/>
        <w:bottom w:val="none" w:sz="0" w:space="0" w:color="auto"/>
        <w:right w:val="none" w:sz="0" w:space="0" w:color="auto"/>
      </w:divBdr>
    </w:div>
    <w:div w:id="1606422004">
      <w:bodyDiv w:val="1"/>
      <w:marLeft w:val="0"/>
      <w:marRight w:val="0"/>
      <w:marTop w:val="0"/>
      <w:marBottom w:val="0"/>
      <w:divBdr>
        <w:top w:val="none" w:sz="0" w:space="0" w:color="auto"/>
        <w:left w:val="none" w:sz="0" w:space="0" w:color="auto"/>
        <w:bottom w:val="none" w:sz="0" w:space="0" w:color="auto"/>
        <w:right w:val="none" w:sz="0" w:space="0" w:color="auto"/>
      </w:divBdr>
    </w:div>
    <w:div w:id="1609311769">
      <w:bodyDiv w:val="1"/>
      <w:marLeft w:val="0"/>
      <w:marRight w:val="0"/>
      <w:marTop w:val="0"/>
      <w:marBottom w:val="0"/>
      <w:divBdr>
        <w:top w:val="none" w:sz="0" w:space="0" w:color="auto"/>
        <w:left w:val="none" w:sz="0" w:space="0" w:color="auto"/>
        <w:bottom w:val="none" w:sz="0" w:space="0" w:color="auto"/>
        <w:right w:val="none" w:sz="0" w:space="0" w:color="auto"/>
      </w:divBdr>
    </w:div>
    <w:div w:id="1630625063">
      <w:bodyDiv w:val="1"/>
      <w:marLeft w:val="0"/>
      <w:marRight w:val="0"/>
      <w:marTop w:val="0"/>
      <w:marBottom w:val="0"/>
      <w:divBdr>
        <w:top w:val="none" w:sz="0" w:space="0" w:color="auto"/>
        <w:left w:val="none" w:sz="0" w:space="0" w:color="auto"/>
        <w:bottom w:val="none" w:sz="0" w:space="0" w:color="auto"/>
        <w:right w:val="none" w:sz="0" w:space="0" w:color="auto"/>
      </w:divBdr>
    </w:div>
    <w:div w:id="1641030737">
      <w:bodyDiv w:val="1"/>
      <w:marLeft w:val="0"/>
      <w:marRight w:val="0"/>
      <w:marTop w:val="0"/>
      <w:marBottom w:val="0"/>
      <w:divBdr>
        <w:top w:val="none" w:sz="0" w:space="0" w:color="auto"/>
        <w:left w:val="none" w:sz="0" w:space="0" w:color="auto"/>
        <w:bottom w:val="none" w:sz="0" w:space="0" w:color="auto"/>
        <w:right w:val="none" w:sz="0" w:space="0" w:color="auto"/>
      </w:divBdr>
    </w:div>
    <w:div w:id="1673146160">
      <w:bodyDiv w:val="1"/>
      <w:marLeft w:val="0"/>
      <w:marRight w:val="0"/>
      <w:marTop w:val="0"/>
      <w:marBottom w:val="0"/>
      <w:divBdr>
        <w:top w:val="none" w:sz="0" w:space="0" w:color="auto"/>
        <w:left w:val="none" w:sz="0" w:space="0" w:color="auto"/>
        <w:bottom w:val="none" w:sz="0" w:space="0" w:color="auto"/>
        <w:right w:val="none" w:sz="0" w:space="0" w:color="auto"/>
      </w:divBdr>
    </w:div>
    <w:div w:id="1674335360">
      <w:bodyDiv w:val="1"/>
      <w:marLeft w:val="0"/>
      <w:marRight w:val="0"/>
      <w:marTop w:val="0"/>
      <w:marBottom w:val="0"/>
      <w:divBdr>
        <w:top w:val="none" w:sz="0" w:space="0" w:color="auto"/>
        <w:left w:val="none" w:sz="0" w:space="0" w:color="auto"/>
        <w:bottom w:val="none" w:sz="0" w:space="0" w:color="auto"/>
        <w:right w:val="none" w:sz="0" w:space="0" w:color="auto"/>
      </w:divBdr>
    </w:div>
    <w:div w:id="1684015426">
      <w:bodyDiv w:val="1"/>
      <w:marLeft w:val="0"/>
      <w:marRight w:val="0"/>
      <w:marTop w:val="0"/>
      <w:marBottom w:val="0"/>
      <w:divBdr>
        <w:top w:val="none" w:sz="0" w:space="0" w:color="auto"/>
        <w:left w:val="none" w:sz="0" w:space="0" w:color="auto"/>
        <w:bottom w:val="none" w:sz="0" w:space="0" w:color="auto"/>
        <w:right w:val="none" w:sz="0" w:space="0" w:color="auto"/>
      </w:divBdr>
    </w:div>
    <w:div w:id="1690251493">
      <w:bodyDiv w:val="1"/>
      <w:marLeft w:val="0"/>
      <w:marRight w:val="0"/>
      <w:marTop w:val="0"/>
      <w:marBottom w:val="0"/>
      <w:divBdr>
        <w:top w:val="none" w:sz="0" w:space="0" w:color="auto"/>
        <w:left w:val="none" w:sz="0" w:space="0" w:color="auto"/>
        <w:bottom w:val="none" w:sz="0" w:space="0" w:color="auto"/>
        <w:right w:val="none" w:sz="0" w:space="0" w:color="auto"/>
      </w:divBdr>
    </w:div>
    <w:div w:id="1698655550">
      <w:bodyDiv w:val="1"/>
      <w:marLeft w:val="0"/>
      <w:marRight w:val="0"/>
      <w:marTop w:val="0"/>
      <w:marBottom w:val="0"/>
      <w:divBdr>
        <w:top w:val="none" w:sz="0" w:space="0" w:color="auto"/>
        <w:left w:val="none" w:sz="0" w:space="0" w:color="auto"/>
        <w:bottom w:val="none" w:sz="0" w:space="0" w:color="auto"/>
        <w:right w:val="none" w:sz="0" w:space="0" w:color="auto"/>
      </w:divBdr>
    </w:div>
    <w:div w:id="1711762517">
      <w:bodyDiv w:val="1"/>
      <w:marLeft w:val="0"/>
      <w:marRight w:val="0"/>
      <w:marTop w:val="0"/>
      <w:marBottom w:val="0"/>
      <w:divBdr>
        <w:top w:val="none" w:sz="0" w:space="0" w:color="auto"/>
        <w:left w:val="none" w:sz="0" w:space="0" w:color="auto"/>
        <w:bottom w:val="none" w:sz="0" w:space="0" w:color="auto"/>
        <w:right w:val="none" w:sz="0" w:space="0" w:color="auto"/>
      </w:divBdr>
    </w:div>
    <w:div w:id="1732382248">
      <w:bodyDiv w:val="1"/>
      <w:marLeft w:val="0"/>
      <w:marRight w:val="0"/>
      <w:marTop w:val="0"/>
      <w:marBottom w:val="0"/>
      <w:divBdr>
        <w:top w:val="none" w:sz="0" w:space="0" w:color="auto"/>
        <w:left w:val="none" w:sz="0" w:space="0" w:color="auto"/>
        <w:bottom w:val="none" w:sz="0" w:space="0" w:color="auto"/>
        <w:right w:val="none" w:sz="0" w:space="0" w:color="auto"/>
      </w:divBdr>
    </w:div>
    <w:div w:id="1742941155">
      <w:bodyDiv w:val="1"/>
      <w:marLeft w:val="0"/>
      <w:marRight w:val="0"/>
      <w:marTop w:val="0"/>
      <w:marBottom w:val="0"/>
      <w:divBdr>
        <w:top w:val="none" w:sz="0" w:space="0" w:color="auto"/>
        <w:left w:val="none" w:sz="0" w:space="0" w:color="auto"/>
        <w:bottom w:val="none" w:sz="0" w:space="0" w:color="auto"/>
        <w:right w:val="none" w:sz="0" w:space="0" w:color="auto"/>
      </w:divBdr>
    </w:div>
    <w:div w:id="1775785114">
      <w:bodyDiv w:val="1"/>
      <w:marLeft w:val="0"/>
      <w:marRight w:val="0"/>
      <w:marTop w:val="0"/>
      <w:marBottom w:val="0"/>
      <w:divBdr>
        <w:top w:val="none" w:sz="0" w:space="0" w:color="auto"/>
        <w:left w:val="none" w:sz="0" w:space="0" w:color="auto"/>
        <w:bottom w:val="none" w:sz="0" w:space="0" w:color="auto"/>
        <w:right w:val="none" w:sz="0" w:space="0" w:color="auto"/>
      </w:divBdr>
    </w:div>
    <w:div w:id="1815678927">
      <w:bodyDiv w:val="1"/>
      <w:marLeft w:val="0"/>
      <w:marRight w:val="0"/>
      <w:marTop w:val="0"/>
      <w:marBottom w:val="0"/>
      <w:divBdr>
        <w:top w:val="none" w:sz="0" w:space="0" w:color="auto"/>
        <w:left w:val="none" w:sz="0" w:space="0" w:color="auto"/>
        <w:bottom w:val="none" w:sz="0" w:space="0" w:color="auto"/>
        <w:right w:val="none" w:sz="0" w:space="0" w:color="auto"/>
      </w:divBdr>
    </w:div>
    <w:div w:id="1825076987">
      <w:bodyDiv w:val="1"/>
      <w:marLeft w:val="0"/>
      <w:marRight w:val="0"/>
      <w:marTop w:val="0"/>
      <w:marBottom w:val="0"/>
      <w:divBdr>
        <w:top w:val="none" w:sz="0" w:space="0" w:color="auto"/>
        <w:left w:val="none" w:sz="0" w:space="0" w:color="auto"/>
        <w:bottom w:val="none" w:sz="0" w:space="0" w:color="auto"/>
        <w:right w:val="none" w:sz="0" w:space="0" w:color="auto"/>
      </w:divBdr>
    </w:div>
    <w:div w:id="1835223428">
      <w:bodyDiv w:val="1"/>
      <w:marLeft w:val="0"/>
      <w:marRight w:val="0"/>
      <w:marTop w:val="0"/>
      <w:marBottom w:val="0"/>
      <w:divBdr>
        <w:top w:val="none" w:sz="0" w:space="0" w:color="auto"/>
        <w:left w:val="none" w:sz="0" w:space="0" w:color="auto"/>
        <w:bottom w:val="none" w:sz="0" w:space="0" w:color="auto"/>
        <w:right w:val="none" w:sz="0" w:space="0" w:color="auto"/>
      </w:divBdr>
    </w:div>
    <w:div w:id="1856070607">
      <w:bodyDiv w:val="1"/>
      <w:marLeft w:val="0"/>
      <w:marRight w:val="0"/>
      <w:marTop w:val="0"/>
      <w:marBottom w:val="0"/>
      <w:divBdr>
        <w:top w:val="none" w:sz="0" w:space="0" w:color="auto"/>
        <w:left w:val="none" w:sz="0" w:space="0" w:color="auto"/>
        <w:bottom w:val="none" w:sz="0" w:space="0" w:color="auto"/>
        <w:right w:val="none" w:sz="0" w:space="0" w:color="auto"/>
      </w:divBdr>
    </w:div>
    <w:div w:id="1865628311">
      <w:bodyDiv w:val="1"/>
      <w:marLeft w:val="0"/>
      <w:marRight w:val="0"/>
      <w:marTop w:val="0"/>
      <w:marBottom w:val="0"/>
      <w:divBdr>
        <w:top w:val="none" w:sz="0" w:space="0" w:color="auto"/>
        <w:left w:val="none" w:sz="0" w:space="0" w:color="auto"/>
        <w:bottom w:val="none" w:sz="0" w:space="0" w:color="auto"/>
        <w:right w:val="none" w:sz="0" w:space="0" w:color="auto"/>
      </w:divBdr>
    </w:div>
    <w:div w:id="1866749382">
      <w:bodyDiv w:val="1"/>
      <w:marLeft w:val="0"/>
      <w:marRight w:val="0"/>
      <w:marTop w:val="0"/>
      <w:marBottom w:val="0"/>
      <w:divBdr>
        <w:top w:val="none" w:sz="0" w:space="0" w:color="auto"/>
        <w:left w:val="none" w:sz="0" w:space="0" w:color="auto"/>
        <w:bottom w:val="none" w:sz="0" w:space="0" w:color="auto"/>
        <w:right w:val="none" w:sz="0" w:space="0" w:color="auto"/>
      </w:divBdr>
    </w:div>
    <w:div w:id="1873691235">
      <w:bodyDiv w:val="1"/>
      <w:marLeft w:val="0"/>
      <w:marRight w:val="0"/>
      <w:marTop w:val="0"/>
      <w:marBottom w:val="0"/>
      <w:divBdr>
        <w:top w:val="none" w:sz="0" w:space="0" w:color="auto"/>
        <w:left w:val="none" w:sz="0" w:space="0" w:color="auto"/>
        <w:bottom w:val="none" w:sz="0" w:space="0" w:color="auto"/>
        <w:right w:val="none" w:sz="0" w:space="0" w:color="auto"/>
      </w:divBdr>
    </w:div>
    <w:div w:id="1878158786">
      <w:bodyDiv w:val="1"/>
      <w:marLeft w:val="0"/>
      <w:marRight w:val="0"/>
      <w:marTop w:val="0"/>
      <w:marBottom w:val="0"/>
      <w:divBdr>
        <w:top w:val="none" w:sz="0" w:space="0" w:color="auto"/>
        <w:left w:val="none" w:sz="0" w:space="0" w:color="auto"/>
        <w:bottom w:val="none" w:sz="0" w:space="0" w:color="auto"/>
        <w:right w:val="none" w:sz="0" w:space="0" w:color="auto"/>
      </w:divBdr>
    </w:div>
    <w:div w:id="1879315369">
      <w:bodyDiv w:val="1"/>
      <w:marLeft w:val="0"/>
      <w:marRight w:val="0"/>
      <w:marTop w:val="0"/>
      <w:marBottom w:val="0"/>
      <w:divBdr>
        <w:top w:val="none" w:sz="0" w:space="0" w:color="auto"/>
        <w:left w:val="none" w:sz="0" w:space="0" w:color="auto"/>
        <w:bottom w:val="none" w:sz="0" w:space="0" w:color="auto"/>
        <w:right w:val="none" w:sz="0" w:space="0" w:color="auto"/>
      </w:divBdr>
    </w:div>
    <w:div w:id="1893074450">
      <w:bodyDiv w:val="1"/>
      <w:marLeft w:val="0"/>
      <w:marRight w:val="0"/>
      <w:marTop w:val="0"/>
      <w:marBottom w:val="0"/>
      <w:divBdr>
        <w:top w:val="none" w:sz="0" w:space="0" w:color="auto"/>
        <w:left w:val="none" w:sz="0" w:space="0" w:color="auto"/>
        <w:bottom w:val="none" w:sz="0" w:space="0" w:color="auto"/>
        <w:right w:val="none" w:sz="0" w:space="0" w:color="auto"/>
      </w:divBdr>
    </w:div>
    <w:div w:id="1904635579">
      <w:bodyDiv w:val="1"/>
      <w:marLeft w:val="0"/>
      <w:marRight w:val="0"/>
      <w:marTop w:val="0"/>
      <w:marBottom w:val="0"/>
      <w:divBdr>
        <w:top w:val="none" w:sz="0" w:space="0" w:color="auto"/>
        <w:left w:val="none" w:sz="0" w:space="0" w:color="auto"/>
        <w:bottom w:val="none" w:sz="0" w:space="0" w:color="auto"/>
        <w:right w:val="none" w:sz="0" w:space="0" w:color="auto"/>
      </w:divBdr>
    </w:div>
    <w:div w:id="1915968760">
      <w:bodyDiv w:val="1"/>
      <w:marLeft w:val="0"/>
      <w:marRight w:val="0"/>
      <w:marTop w:val="0"/>
      <w:marBottom w:val="0"/>
      <w:divBdr>
        <w:top w:val="none" w:sz="0" w:space="0" w:color="auto"/>
        <w:left w:val="none" w:sz="0" w:space="0" w:color="auto"/>
        <w:bottom w:val="none" w:sz="0" w:space="0" w:color="auto"/>
        <w:right w:val="none" w:sz="0" w:space="0" w:color="auto"/>
      </w:divBdr>
    </w:div>
    <w:div w:id="1935166326">
      <w:bodyDiv w:val="1"/>
      <w:marLeft w:val="0"/>
      <w:marRight w:val="0"/>
      <w:marTop w:val="0"/>
      <w:marBottom w:val="0"/>
      <w:divBdr>
        <w:top w:val="none" w:sz="0" w:space="0" w:color="auto"/>
        <w:left w:val="none" w:sz="0" w:space="0" w:color="auto"/>
        <w:bottom w:val="none" w:sz="0" w:space="0" w:color="auto"/>
        <w:right w:val="none" w:sz="0" w:space="0" w:color="auto"/>
      </w:divBdr>
    </w:div>
    <w:div w:id="1949896470">
      <w:bodyDiv w:val="1"/>
      <w:marLeft w:val="0"/>
      <w:marRight w:val="0"/>
      <w:marTop w:val="0"/>
      <w:marBottom w:val="0"/>
      <w:divBdr>
        <w:top w:val="none" w:sz="0" w:space="0" w:color="auto"/>
        <w:left w:val="none" w:sz="0" w:space="0" w:color="auto"/>
        <w:bottom w:val="none" w:sz="0" w:space="0" w:color="auto"/>
        <w:right w:val="none" w:sz="0" w:space="0" w:color="auto"/>
      </w:divBdr>
    </w:div>
    <w:div w:id="1980331723">
      <w:bodyDiv w:val="1"/>
      <w:marLeft w:val="0"/>
      <w:marRight w:val="0"/>
      <w:marTop w:val="0"/>
      <w:marBottom w:val="0"/>
      <w:divBdr>
        <w:top w:val="none" w:sz="0" w:space="0" w:color="auto"/>
        <w:left w:val="none" w:sz="0" w:space="0" w:color="auto"/>
        <w:bottom w:val="none" w:sz="0" w:space="0" w:color="auto"/>
        <w:right w:val="none" w:sz="0" w:space="0" w:color="auto"/>
      </w:divBdr>
    </w:div>
    <w:div w:id="1980451498">
      <w:bodyDiv w:val="1"/>
      <w:marLeft w:val="0"/>
      <w:marRight w:val="0"/>
      <w:marTop w:val="0"/>
      <w:marBottom w:val="0"/>
      <w:divBdr>
        <w:top w:val="none" w:sz="0" w:space="0" w:color="auto"/>
        <w:left w:val="none" w:sz="0" w:space="0" w:color="auto"/>
        <w:bottom w:val="none" w:sz="0" w:space="0" w:color="auto"/>
        <w:right w:val="none" w:sz="0" w:space="0" w:color="auto"/>
      </w:divBdr>
    </w:div>
    <w:div w:id="1990398204">
      <w:bodyDiv w:val="1"/>
      <w:marLeft w:val="0"/>
      <w:marRight w:val="0"/>
      <w:marTop w:val="0"/>
      <w:marBottom w:val="0"/>
      <w:divBdr>
        <w:top w:val="none" w:sz="0" w:space="0" w:color="auto"/>
        <w:left w:val="none" w:sz="0" w:space="0" w:color="auto"/>
        <w:bottom w:val="none" w:sz="0" w:space="0" w:color="auto"/>
        <w:right w:val="none" w:sz="0" w:space="0" w:color="auto"/>
      </w:divBdr>
    </w:div>
    <w:div w:id="2015721558">
      <w:bodyDiv w:val="1"/>
      <w:marLeft w:val="0"/>
      <w:marRight w:val="0"/>
      <w:marTop w:val="0"/>
      <w:marBottom w:val="0"/>
      <w:divBdr>
        <w:top w:val="none" w:sz="0" w:space="0" w:color="auto"/>
        <w:left w:val="none" w:sz="0" w:space="0" w:color="auto"/>
        <w:bottom w:val="none" w:sz="0" w:space="0" w:color="auto"/>
        <w:right w:val="none" w:sz="0" w:space="0" w:color="auto"/>
      </w:divBdr>
    </w:div>
    <w:div w:id="2016105477">
      <w:bodyDiv w:val="1"/>
      <w:marLeft w:val="0"/>
      <w:marRight w:val="0"/>
      <w:marTop w:val="0"/>
      <w:marBottom w:val="0"/>
      <w:divBdr>
        <w:top w:val="none" w:sz="0" w:space="0" w:color="auto"/>
        <w:left w:val="none" w:sz="0" w:space="0" w:color="auto"/>
        <w:bottom w:val="none" w:sz="0" w:space="0" w:color="auto"/>
        <w:right w:val="none" w:sz="0" w:space="0" w:color="auto"/>
      </w:divBdr>
    </w:div>
    <w:div w:id="2021855424">
      <w:bodyDiv w:val="1"/>
      <w:marLeft w:val="0"/>
      <w:marRight w:val="0"/>
      <w:marTop w:val="0"/>
      <w:marBottom w:val="0"/>
      <w:divBdr>
        <w:top w:val="none" w:sz="0" w:space="0" w:color="auto"/>
        <w:left w:val="none" w:sz="0" w:space="0" w:color="auto"/>
        <w:bottom w:val="none" w:sz="0" w:space="0" w:color="auto"/>
        <w:right w:val="none" w:sz="0" w:space="0" w:color="auto"/>
      </w:divBdr>
      <w:divsChild>
        <w:div w:id="1693648689">
          <w:marLeft w:val="0"/>
          <w:marRight w:val="0"/>
          <w:marTop w:val="0"/>
          <w:marBottom w:val="0"/>
          <w:divBdr>
            <w:top w:val="none" w:sz="0" w:space="0" w:color="auto"/>
            <w:left w:val="none" w:sz="0" w:space="0" w:color="auto"/>
            <w:bottom w:val="none" w:sz="0" w:space="0" w:color="auto"/>
            <w:right w:val="none" w:sz="0" w:space="0" w:color="auto"/>
          </w:divBdr>
          <w:divsChild>
            <w:div w:id="408617907">
              <w:marLeft w:val="0"/>
              <w:marRight w:val="0"/>
              <w:marTop w:val="0"/>
              <w:marBottom w:val="0"/>
              <w:divBdr>
                <w:top w:val="none" w:sz="0" w:space="0" w:color="auto"/>
                <w:left w:val="none" w:sz="0" w:space="0" w:color="auto"/>
                <w:bottom w:val="none" w:sz="0" w:space="0" w:color="auto"/>
                <w:right w:val="none" w:sz="0" w:space="0" w:color="auto"/>
              </w:divBdr>
              <w:divsChild>
                <w:div w:id="994336371">
                  <w:marLeft w:val="0"/>
                  <w:marRight w:val="0"/>
                  <w:marTop w:val="0"/>
                  <w:marBottom w:val="0"/>
                  <w:divBdr>
                    <w:top w:val="none" w:sz="0" w:space="0" w:color="auto"/>
                    <w:left w:val="none" w:sz="0" w:space="0" w:color="auto"/>
                    <w:bottom w:val="none" w:sz="0" w:space="0" w:color="auto"/>
                    <w:right w:val="none" w:sz="0" w:space="0" w:color="auto"/>
                  </w:divBdr>
                  <w:divsChild>
                    <w:div w:id="1873378209">
                      <w:marLeft w:val="0"/>
                      <w:marRight w:val="0"/>
                      <w:marTop w:val="0"/>
                      <w:marBottom w:val="0"/>
                      <w:divBdr>
                        <w:top w:val="none" w:sz="0" w:space="0" w:color="auto"/>
                        <w:left w:val="none" w:sz="0" w:space="0" w:color="auto"/>
                        <w:bottom w:val="none" w:sz="0" w:space="0" w:color="auto"/>
                        <w:right w:val="none" w:sz="0" w:space="0" w:color="auto"/>
                      </w:divBdr>
                      <w:divsChild>
                        <w:div w:id="895509087">
                          <w:marLeft w:val="0"/>
                          <w:marRight w:val="0"/>
                          <w:marTop w:val="0"/>
                          <w:marBottom w:val="0"/>
                          <w:divBdr>
                            <w:top w:val="none" w:sz="0" w:space="0" w:color="auto"/>
                            <w:left w:val="none" w:sz="0" w:space="0" w:color="auto"/>
                            <w:bottom w:val="none" w:sz="0" w:space="0" w:color="auto"/>
                            <w:right w:val="none" w:sz="0" w:space="0" w:color="auto"/>
                          </w:divBdr>
                          <w:divsChild>
                            <w:div w:id="816147328">
                              <w:marLeft w:val="0"/>
                              <w:marRight w:val="0"/>
                              <w:marTop w:val="0"/>
                              <w:marBottom w:val="0"/>
                              <w:divBdr>
                                <w:top w:val="none" w:sz="0" w:space="0" w:color="auto"/>
                                <w:left w:val="none" w:sz="0" w:space="0" w:color="auto"/>
                                <w:bottom w:val="none" w:sz="0" w:space="0" w:color="auto"/>
                                <w:right w:val="none" w:sz="0" w:space="0" w:color="auto"/>
                              </w:divBdr>
                              <w:divsChild>
                                <w:div w:id="312224459">
                                  <w:marLeft w:val="0"/>
                                  <w:marRight w:val="0"/>
                                  <w:marTop w:val="0"/>
                                  <w:marBottom w:val="0"/>
                                  <w:divBdr>
                                    <w:top w:val="none" w:sz="0" w:space="0" w:color="auto"/>
                                    <w:left w:val="none" w:sz="0" w:space="0" w:color="auto"/>
                                    <w:bottom w:val="none" w:sz="0" w:space="0" w:color="auto"/>
                                    <w:right w:val="none" w:sz="0" w:space="0" w:color="auto"/>
                                  </w:divBdr>
                                  <w:divsChild>
                                    <w:div w:id="9541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554067">
                      <w:marLeft w:val="0"/>
                      <w:marRight w:val="0"/>
                      <w:marTop w:val="0"/>
                      <w:marBottom w:val="0"/>
                      <w:divBdr>
                        <w:top w:val="none" w:sz="0" w:space="0" w:color="auto"/>
                        <w:left w:val="none" w:sz="0" w:space="0" w:color="auto"/>
                        <w:bottom w:val="none" w:sz="0" w:space="0" w:color="auto"/>
                        <w:right w:val="none" w:sz="0" w:space="0" w:color="auto"/>
                      </w:divBdr>
                      <w:divsChild>
                        <w:div w:id="774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446468">
      <w:bodyDiv w:val="1"/>
      <w:marLeft w:val="0"/>
      <w:marRight w:val="0"/>
      <w:marTop w:val="0"/>
      <w:marBottom w:val="0"/>
      <w:divBdr>
        <w:top w:val="none" w:sz="0" w:space="0" w:color="auto"/>
        <w:left w:val="none" w:sz="0" w:space="0" w:color="auto"/>
        <w:bottom w:val="none" w:sz="0" w:space="0" w:color="auto"/>
        <w:right w:val="none" w:sz="0" w:space="0" w:color="auto"/>
      </w:divBdr>
    </w:div>
    <w:div w:id="2035031262">
      <w:bodyDiv w:val="1"/>
      <w:marLeft w:val="0"/>
      <w:marRight w:val="0"/>
      <w:marTop w:val="0"/>
      <w:marBottom w:val="0"/>
      <w:divBdr>
        <w:top w:val="none" w:sz="0" w:space="0" w:color="auto"/>
        <w:left w:val="none" w:sz="0" w:space="0" w:color="auto"/>
        <w:bottom w:val="none" w:sz="0" w:space="0" w:color="auto"/>
        <w:right w:val="none" w:sz="0" w:space="0" w:color="auto"/>
      </w:divBdr>
    </w:div>
    <w:div w:id="2048019018">
      <w:bodyDiv w:val="1"/>
      <w:marLeft w:val="0"/>
      <w:marRight w:val="0"/>
      <w:marTop w:val="0"/>
      <w:marBottom w:val="0"/>
      <w:divBdr>
        <w:top w:val="none" w:sz="0" w:space="0" w:color="auto"/>
        <w:left w:val="none" w:sz="0" w:space="0" w:color="auto"/>
        <w:bottom w:val="none" w:sz="0" w:space="0" w:color="auto"/>
        <w:right w:val="none" w:sz="0" w:space="0" w:color="auto"/>
      </w:divBdr>
    </w:div>
    <w:div w:id="2062708516">
      <w:bodyDiv w:val="1"/>
      <w:marLeft w:val="0"/>
      <w:marRight w:val="0"/>
      <w:marTop w:val="0"/>
      <w:marBottom w:val="0"/>
      <w:divBdr>
        <w:top w:val="none" w:sz="0" w:space="0" w:color="auto"/>
        <w:left w:val="none" w:sz="0" w:space="0" w:color="auto"/>
        <w:bottom w:val="none" w:sz="0" w:space="0" w:color="auto"/>
        <w:right w:val="none" w:sz="0" w:space="0" w:color="auto"/>
      </w:divBdr>
    </w:div>
    <w:div w:id="2069568292">
      <w:bodyDiv w:val="1"/>
      <w:marLeft w:val="0"/>
      <w:marRight w:val="0"/>
      <w:marTop w:val="0"/>
      <w:marBottom w:val="0"/>
      <w:divBdr>
        <w:top w:val="none" w:sz="0" w:space="0" w:color="auto"/>
        <w:left w:val="none" w:sz="0" w:space="0" w:color="auto"/>
        <w:bottom w:val="none" w:sz="0" w:space="0" w:color="auto"/>
        <w:right w:val="none" w:sz="0" w:space="0" w:color="auto"/>
      </w:divBdr>
    </w:div>
    <w:div w:id="2076972273">
      <w:bodyDiv w:val="1"/>
      <w:marLeft w:val="0"/>
      <w:marRight w:val="0"/>
      <w:marTop w:val="0"/>
      <w:marBottom w:val="0"/>
      <w:divBdr>
        <w:top w:val="none" w:sz="0" w:space="0" w:color="auto"/>
        <w:left w:val="none" w:sz="0" w:space="0" w:color="auto"/>
        <w:bottom w:val="none" w:sz="0" w:space="0" w:color="auto"/>
        <w:right w:val="none" w:sz="0" w:space="0" w:color="auto"/>
      </w:divBdr>
    </w:div>
    <w:div w:id="2099448971">
      <w:bodyDiv w:val="1"/>
      <w:marLeft w:val="0"/>
      <w:marRight w:val="0"/>
      <w:marTop w:val="0"/>
      <w:marBottom w:val="0"/>
      <w:divBdr>
        <w:top w:val="none" w:sz="0" w:space="0" w:color="auto"/>
        <w:left w:val="none" w:sz="0" w:space="0" w:color="auto"/>
        <w:bottom w:val="none" w:sz="0" w:space="0" w:color="auto"/>
        <w:right w:val="none" w:sz="0" w:space="0" w:color="auto"/>
      </w:divBdr>
    </w:div>
    <w:div w:id="2125925517">
      <w:bodyDiv w:val="1"/>
      <w:marLeft w:val="0"/>
      <w:marRight w:val="0"/>
      <w:marTop w:val="0"/>
      <w:marBottom w:val="0"/>
      <w:divBdr>
        <w:top w:val="none" w:sz="0" w:space="0" w:color="auto"/>
        <w:left w:val="none" w:sz="0" w:space="0" w:color="auto"/>
        <w:bottom w:val="none" w:sz="0" w:space="0" w:color="auto"/>
        <w:right w:val="none" w:sz="0" w:space="0" w:color="auto"/>
      </w:divBdr>
    </w:div>
    <w:div w:id="2142765384">
      <w:bodyDiv w:val="1"/>
      <w:marLeft w:val="0"/>
      <w:marRight w:val="0"/>
      <w:marTop w:val="0"/>
      <w:marBottom w:val="0"/>
      <w:divBdr>
        <w:top w:val="none" w:sz="0" w:space="0" w:color="auto"/>
        <w:left w:val="none" w:sz="0" w:space="0" w:color="auto"/>
        <w:bottom w:val="none" w:sz="0" w:space="0" w:color="auto"/>
        <w:right w:val="none" w:sz="0" w:space="0" w:color="auto"/>
      </w:divBdr>
    </w:div>
    <w:div w:id="2144469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cancer.gov/news-events/press-releases/2022/hiv-hsil-anal-cancer-anchor-study?utm_source=chatgpt.com" TargetMode="External"/><Relationship Id="rId3" Type="http://schemas.openxmlformats.org/officeDocument/2006/relationships/hyperlink" Target="https://ccr.cancer.gov/surgical-oncology-program/clinical-team/diet-and-nutrition-after-gastrectomy-your-plan" TargetMode="External"/><Relationship Id="rId7" Type="http://schemas.openxmlformats.org/officeDocument/2006/relationships/hyperlink" Target="https://ccr.cancer.gov/surgical-oncology-program/clinical-team/diet-and-nutrition-after-gastrectomy-your-plan" TargetMode="External"/><Relationship Id="rId2" Type="http://schemas.openxmlformats.org/officeDocument/2006/relationships/hyperlink" Target="https://www.midrc.org/" TargetMode="External"/><Relationship Id="rId1" Type="http://schemas.openxmlformats.org/officeDocument/2006/relationships/hyperlink" Target="https://report.nih.gov/funding/categorical-spending" TargetMode="External"/><Relationship Id="rId6" Type="http://schemas.openxmlformats.org/officeDocument/2006/relationships/hyperlink" Target="https://ccr.cancer.gov/surgical-oncology-program/clinical-team/diet-and-nutrition-after-gastrectomy-your-plan" TargetMode="External"/><Relationship Id="rId5" Type="http://schemas.openxmlformats.org/officeDocument/2006/relationships/hyperlink" Target="https://www.cancer.gov/news-events/cancer-currents-blog/2024/more-cancer-screening-modeling-study-knudsen" TargetMode="External"/><Relationship Id="rId4" Type="http://schemas.openxmlformats.org/officeDocument/2006/relationships/hyperlink" Target="https://www.midr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9F1D582ACCBD4C8C36901D5A5AFA65" ma:contentTypeVersion="3" ma:contentTypeDescription="Create a new document." ma:contentTypeScope="" ma:versionID="a16d402d72e9c7fe48569a473bfb5ec8">
  <xsd:schema xmlns:xsd="http://www.w3.org/2001/XMLSchema" xmlns:xs="http://www.w3.org/2001/XMLSchema" xmlns:p="http://schemas.microsoft.com/office/2006/metadata/properties" xmlns:ns2="9f1f21ce-7b5c-43e6-b27d-87832f5d25ff" targetNamespace="http://schemas.microsoft.com/office/2006/metadata/properties" ma:root="true" ma:fieldsID="867adb5c7723f6cf9bc89fca46f42f2c" ns2:_="">
    <xsd:import namespace="9f1f21ce-7b5c-43e6-b27d-87832f5d25f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1f21ce-7b5c-43e6-b27d-87832f5d25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AEC06-33D2-4010-88D4-CB18ECE614F3}">
  <ds:schemaRefs>
    <ds:schemaRef ds:uri="http://schemas.openxmlformats.org/officeDocument/2006/bibliography"/>
  </ds:schemaRefs>
</ds:datastoreItem>
</file>

<file path=customXml/itemProps2.xml><?xml version="1.0" encoding="utf-8"?>
<ds:datastoreItem xmlns:ds="http://schemas.openxmlformats.org/officeDocument/2006/customXml" ds:itemID="{3611DE22-E343-46A6-86ED-80D0C2D883E6}"/>
</file>

<file path=customXml/itemProps3.xml><?xml version="1.0" encoding="utf-8"?>
<ds:datastoreItem xmlns:ds="http://schemas.openxmlformats.org/officeDocument/2006/customXml" ds:itemID="{32601C59-62C3-440E-A681-841DD9E21D5C}"/>
</file>

<file path=customXml/itemProps4.xml><?xml version="1.0" encoding="utf-8"?>
<ds:datastoreItem xmlns:ds="http://schemas.openxmlformats.org/officeDocument/2006/customXml" ds:itemID="{187748D2-4C3F-4B86-9DBD-FA2D0E7D09A4}"/>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Template>
  <TotalTime>282</TotalTime>
  <Pages>25</Pages>
  <Words>7981</Words>
  <Characters>45494</Characters>
  <Application>Microsoft Office Word</Application>
  <DocSecurity>0</DocSecurity>
  <Lines>379</Lines>
  <Paragraphs>106</Paragraphs>
  <ScaleCrop>false</ScaleCrop>
  <Company/>
  <LinksUpToDate>false</LinksUpToDate>
  <CharactersWithSpaces>53369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 Eileen (NIH/OD) [E]</dc:creator>
  <cp:keywords/>
  <dc:description/>
  <cp:lastModifiedBy>Oni, Eileen (NIH/OD) [E]</cp:lastModifiedBy>
  <cp:revision>107</cp:revision>
  <dcterms:created xsi:type="dcterms:W3CDTF">2025-07-27T00:52:00Z</dcterms:created>
  <dcterms:modified xsi:type="dcterms:W3CDTF">2025-08-01T19:53:00Z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0x010100599F1D582ACCBD4C8C36901D5A5AFA65</vt:lpwstr>
  </property>
</Properties>
</file>