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2"/>
      </w:pPr>
      <w:r>
        <w:t xml:space="preserve">Introduction</w:t>
      </w:r>
    </w:p>
    <w:p>
      <w:pPr>
        <w:pStyle w:val="FirstParagraph"/>
      </w:pPr>
      <w:r>
        <w:t xml:space="preserve">Advances in cancer genomics have enabled the development of targeted therapies, leading to improved treatment outcomes for patients with specific cancer subtypes. The integration of artificial intelligence and machine learning algorithms into cancer research has also enhanced the analysis of complex datasets, facilitating the identification of novel biomarkers and therapeutic targets. Furthermore, the establishment of collaborative networks and consortia has fostered the sharing of resources, expertise, and data, ultimately accelerating the translation of research findings into clinical practice.</w:t>
      </w:r>
    </w:p>
    <w:p>
      <w:r>
        <w:br w:type="page"/>
      </w:r>
    </w:p>
    <w:bookmarkEnd w:id="20"/>
    <w:bookmarkStart w:id="21" w:name="summary"/>
    <w:p>
      <w:pPr>
        <w:pStyle w:val="Heading2"/>
      </w:pPr>
      <w:r>
        <w:t xml:space="preserve">Summary</w:t>
      </w:r>
    </w:p>
    <w:p>
      <w:pPr>
        <w:pStyle w:val="FirstParagraph"/>
      </w:pPr>
      <w:r>
        <w:t xml:space="preserve">The Cancer research landscape is characterized by a diverse range of, with 58 unique projects undertaken by various Institutes and Centers, including NCI, NCATS, and NIEHS. These are geared towards advancing our understanding of Cancer, developing innovative therapies, and improving patient outcomes, the work supported by projects with UIDs and. The scope of these is broad, encompassing basic research, clinical trials, and translational studies, all of which are critical to addressing the complex challenges posed by Cancer.</w:t>
      </w:r>
    </w:p>
    <w:bookmarkEnd w:id="21"/>
    <w:bookmarkStart w:id="63" w:name="advanced-imaging-ai-tools"/>
    <w:p>
      <w:pPr>
        <w:pStyle w:val="Heading2"/>
      </w:pPr>
      <w:r>
        <w:t xml:space="preserve">Advanced Imaging &amp; AI Tools</w:t>
      </w:r>
    </w:p>
    <w:p>
      <w:pPr>
        <w:pStyle w:val="FirstParagraph"/>
      </w:pPr>
      <w:r>
        <w:t xml:space="preserve">2_CC, 110_NIAMS, 206_NCATS, 244_NCI, 246_NCI, 248_NCI, 249_NCI, 252_NCI, 253_NCI, 258_NCI, 263_NCI, 264_NCI, 266_NCI, 267_NCI, 268_NCI, 270_NCI, 272_NCI, 275_NCI, 276_NCI, 278_NCI, 279_NCI, 281_NCI, 282_NCI, 482_NIEHS, 493_NIEHS, 519_NHGRI, 640_OSC, 648_THRO, 684_NIMHD, 933_NIBIB, 944_NIBIB</w:t>
      </w:r>
    </w:p>
    <w:p>
      <w:pPr>
        <w:pStyle w:val="BodyText"/>
      </w:pPr>
      <w:r>
        <w:t xml:space="preserve">UID 2_CC</w:t>
      </w:r>
    </w:p>
    <w:p>
      <w:pPr>
        <w:pStyle w:val="BodyText"/>
      </w:pPr>
      <w:r>
        <w:t xml:space="preserve">The diagnostic performance of PET/CT and MRI in detecting spinal bone metastases was investigated, with a focus on optimizing detection methods for pheochromocytoma and paraganglioma. This study, titled</w:t>
      </w:r>
      <w:r>
        <w:t xml:space="preserve"> </w:t>
      </w:r>
      <w:r>
        <w:t xml:space="preserve">“Study in Pheochromocytoma and Paraganglioma”</w:t>
      </w:r>
      <w:r>
        <w:t xml:space="preserve">, was led by the National Institute of Child Health and Human Development (NICHD), with the Clinical Center (CC) serving as the submitting institute. Collaborative efforts were supported by the CC Biostatistics &amp; Clinical Epidemiology Services (CC-BCES), facilitating a comprehensive approach to the research. By examining the efficacy of PET/CT and MRI in detecting spinal bone metastases, this research aims to enhance diagnostic accuracy and inform treatment strategies for these conditions. The investigation’s findings are expected to contribute to improved patient outcomes,.</w:t>
      </w:r>
      <w:r>
        <w:rPr>
          <w:rStyle w:val="FootnoteReference"/>
        </w:rPr>
        <w:footnoteReference w:id="22"/>
      </w:r>
    </w:p>
    <w:p>
      <w:pPr>
        <w:pStyle w:val="BodyText"/>
      </w:pPr>
      <w:r>
        <w:t xml:space="preserve">UID 110_NIAMS</w:t>
      </w:r>
    </w:p>
    <w:p>
      <w:pPr>
        <w:pStyle w:val="BodyText"/>
      </w:pPr>
      <w:r>
        <w:t xml:space="preserve">The presence of onychopapillomas on multiple nails has been identified as a potential indicator of BAP1 tumor predisposition syndrome (TPDS), a condition that increases the risk of developing cancerous tumors of the skin, eye, kidney, and mesothelium. This discovery, made at NIH Clinical Center, highlights the importance of screening for these nail abnormalities, as early detection of BAP1 TPDS enables cancer surveillance and genetic counseling for at-risk family members. The study, led by NIAMS in collaboration with NCI and DoD/Walter Reed, focused on the condition known as Nail Condition Suggests a Diagnosis of BAP1 Tumor Predisposition Syndrome, and its findings have significant implications for clinicians. By recognizing the connection between nail changes and BAP1 TPDS, clinicians can take a crucial step towards early detection and intervention. This breakthrough underscores the value of interdisciplinary collaboration in advancing our understanding of complex syndromes.</w:t>
      </w:r>
      <w:r>
        <w:rPr>
          <w:rStyle w:val="FootnoteReference"/>
        </w:rPr>
        <w:footnoteReference w:id="23"/>
      </w:r>
    </w:p>
    <w:p>
      <w:pPr>
        <w:pStyle w:val="BodyText"/>
      </w:pPr>
      <w:r>
        <w:t xml:space="preserve">UID 206_NCATS</w:t>
      </w:r>
    </w:p>
    <w:p>
      <w:pPr>
        <w:pStyle w:val="BodyText"/>
      </w:pPr>
      <w:r>
        <w:t xml:space="preserve">The development of precision cancer therapies is poised to receive significant support from a new database that links extensive drug activity data to detailed molecular information about cancer cell lines. This database, called CellMinerCDB: NCATS, was developed by Center for Cancer Research scientists and expands a set of CellMiner tools, detailing how 2,675 different compounds affect the growth of cancer cells, including drug response data from 183 cancer cell lines tested at NCATS. The collaboration between NCATS, as the submitting and lead ICO, and NCI, as a collaborating ICO, has enabled the creation of this valuable resource, which is described in the activity</w:t>
      </w:r>
      <w:r>
        <w:t xml:space="preserve"> </w:t>
      </w:r>
      <w:r>
        <w:t xml:space="preserve">“With new database, NCATS data is poised to support development of precision cancer therapies”</w:t>
      </w:r>
      <w:r>
        <w:t xml:space="preserve">. By facilitating the exploration of relationships between cancer cells’ molecular makeup and their response to potential therapies, this database enables researchers to identify the best treatments for individual patients, ultimately supporting the development of precision cancer therapies. The integration of this data is critical for drug discovery, and the database is a significant contribution to the field.</w:t>
      </w:r>
      <w:r>
        <w:rPr>
          <w:rStyle w:val="FootnoteReference"/>
        </w:rPr>
        <w:footnoteReference w:id="24"/>
      </w:r>
    </w:p>
    <w:p>
      <w:pPr>
        <w:pStyle w:val="BodyText"/>
      </w:pPr>
      <w:r>
        <w:t xml:space="preserve">UID 244_NCI</w:t>
      </w:r>
    </w:p>
    <w:p>
      <w:pPr>
        <w:pStyle w:val="BodyText"/>
      </w:pPr>
      <w:r>
        <w:t xml:space="preserve">The establishment of the Barrett’s Esophagus Translational Research Network (BETRNet) has significantly advanced the understanding of esophageal cancer biology, particularly in the context of Barrett’s Esophagus (BE) and its associated precursor lesions. Through a comprehensive investigation of the genetics, epigenetics, and transcriptomics of BE and esophageal adenocarcinoma (EAC), the program has developed translational applications, including the collection of large esophageal tissue archives, validation of diagnostics, and improvement of patient management. Led by NCI, with NCI also serving as the submitting institute, this initiative has made notable progress toward prevention strategies, accurate screening and surveillance criteria, and the identification of familial susceptibility genes and cancer-promoting molecular pathways in BE. The program’s findings have implicated a specific esophageal cell type in BE risk, identified potential new biomarkers for early cancer detection, and highlighted the promise of a cranberry-derived compound in preventing EAC progression. The BETRNet program has thereby contributed substantially to the field of esophageal cancer research.</w:t>
      </w:r>
      <w:r>
        <w:rPr>
          <w:rStyle w:val="FootnoteReference"/>
        </w:rPr>
        <w:footnoteReference w:id="25"/>
      </w:r>
    </w:p>
    <w:p>
      <w:pPr>
        <w:pStyle w:val="BodyText"/>
      </w:pPr>
      <w:r>
        <w:t xml:space="preserve">UID 246_NCI</w:t>
      </w:r>
    </w:p>
    <w:p>
      <w:pPr>
        <w:pStyle w:val="BodyText"/>
      </w:pPr>
      <w:r>
        <w:t xml:space="preserve">The fate of cells with cancer-causing mutations is influenced by their location in the body, with certain oncogenes leading to the development of a rare type of skin cancer in specific areas. This phenomenon is exemplified by acral melanoma, the most common melanoma in people with dark skin, where positional gene expression programs enable cancer cells to grow. NCI supported this research, which may not only elucidate the underlying biology of this cancer but also inform the development of treatments and provide insights into the development of other cancer types. The study’s findings highlight the complex interplay between genetic mutations and environmental factors in the body. Led by NCI, with NCI as the submitting institute, this work contributes to our understanding of cancer development, as described in the activity</w:t>
      </w:r>
      <w:r>
        <w:t xml:space="preserve"> </w:t>
      </w:r>
      <w:r>
        <w:t xml:space="preserve">“Body location may influence fate of cells with cancer-causing mutations”</w:t>
      </w:r>
      <w:r>
        <w:t xml:space="preserve">.</w:t>
      </w:r>
      <w:r>
        <w:rPr>
          <w:rStyle w:val="FootnoteReference"/>
        </w:rPr>
        <w:footnoteReference w:id="26"/>
      </w:r>
    </w:p>
    <w:p>
      <w:pPr>
        <w:pStyle w:val="BodyText"/>
      </w:pPr>
      <w:r>
        <w:t xml:space="preserve">UID 248_NCI</w:t>
      </w:r>
    </w:p>
    <w:p>
      <w:pPr>
        <w:pStyle w:val="BodyText"/>
      </w:pPr>
      <w:r>
        <w:t xml:space="preserve">The development of cloud-based computational platforms has significantly enhanced cancer research capabilities, with the Cancer Research Data Commons (CRDC) maintaining approximately 10 petabytes of cancer data across 55 million files. This effort, led by NCI, has established a unified framework for secure and responsible data sharing in genomics research worldwide, streamlining data ingestion and enhancing user experience. NCI Cloud Resources have made over 2,000 public tools and workflows available to researchers, while also providing ongoing support and training to the research community, and establishing new collaborations focused on multi-omics analysis and neoantigen biomarker identification. The CRDC’s cloud-based storage and computational resources, as part of the Cancer Research Data Commons cloud-based storage and computational resources activity, have played a crucial role in facilitating file sharing across platforms and expanding the user base. This advancement has been supported by NCI, with no collaborating Institutes or Centers listed, and has contributed to the global genomic data standards effort.</w:t>
      </w:r>
      <w:r>
        <w:rPr>
          <w:rStyle w:val="FootnoteReference"/>
        </w:rPr>
        <w:footnoteReference w:id="27"/>
      </w:r>
    </w:p>
    <w:p>
      <w:pPr>
        <w:pStyle w:val="BodyText"/>
      </w:pPr>
      <w:r>
        <w:t xml:space="preserve">UID 249_NCI</w:t>
      </w:r>
    </w:p>
    <w:p>
      <w:pPr>
        <w:pStyle w:val="BodyText"/>
      </w:pPr>
      <w:r>
        <w:t xml:space="preserve">The annual Cancer Trends Progress Report provides key measures of progress along the cancer control continuum in relation to Healthy People 2030 targets set forth by the Department of Health and Human Services (HHS), utilizing national trend data to illustrate where improvements have been made. This report, a collaborative effort between NCI and CDC, includes updated and new measures that address current issues such as sleep, treatment for melanoma, and evidence-based smoking cessation aids. NCI, as the lead ICO, has worked to ensure that the report contains comprehensive data, including mortality rates and other standard measures of cancer control. The report’s findings are crucial in understanding the current state of cancer control and identifying areas for improvement. By examining trends in cancer treatment and prevention, the report ultimately aims to inform strategies for reducing the burden of cancer, with NCI at the forefront of this effort, and the CDC providing valuable collaboration.</w:t>
      </w:r>
      <w:r>
        <w:rPr>
          <w:rStyle w:val="FootnoteReference"/>
        </w:rPr>
        <w:footnoteReference w:id="29"/>
      </w:r>
    </w:p>
    <w:p>
      <w:pPr>
        <w:pStyle w:val="BodyText"/>
      </w:pPr>
      <w:r>
        <w:t xml:space="preserve">UID 252_NCI</w:t>
      </w:r>
    </w:p>
    <w:p>
      <w:pPr>
        <w:pStyle w:val="BodyText"/>
      </w:pPr>
      <w:r>
        <w:t xml:space="preserve">The development of innovative cancer prevention, diagnosis, treatment, and survivorship approaches has been accelerated through the launch of the Clinical Trials Innovation Unit, a collaborative effort between NCI, FDA, and the research community. This unit supports studies with the potential to alter standards of care and streamline clinical trial design and conduct, with its first project being a clinical trial, PROSPECT-Lung, which aims to determine the optimal timing of immunotherapy in the treatment of non-small cell lung cancer. The trial utilizes innovative design and simplified data collection to identify the most effective treatment approach and improve outcomes for patients with this common type of lung cancer. Led by NCI, with collaboration from the FDA, this initiative exemplifies the power of interagency cooperation in driving progress against cancer. The Clinical Trials Innovation Unit’s work is poised to make a significant impact on the field, building on the strengths of its participating organizations, including NCI and FDA.</w:t>
      </w:r>
      <w:r>
        <w:rPr>
          <w:rStyle w:val="FootnoteReference"/>
        </w:rPr>
        <w:footnoteReference w:id="31"/>
      </w:r>
    </w:p>
    <w:p>
      <w:pPr>
        <w:pStyle w:val="BodyText"/>
      </w:pPr>
      <w:r>
        <w:t xml:space="preserve">UID 253_NCI</w:t>
      </w:r>
    </w:p>
    <w:p>
      <w:pPr>
        <w:pStyle w:val="BodyText"/>
      </w:pPr>
      <w:r>
        <w:t xml:space="preserve">The identification of mutated KRAS gene forms in various cancer types, including pancreatic, colorectal, and non-small cell lung cancer, has led to the development of KRAS inhibitors, which, although effective, can be rendered ineffective by the reactivation of extracellular signal-regulated kinase (ERK) proteins. This reactivation enables ERK proteins to activate numerous other proteins that promote cancer cell growth, thereby driving resistance to KRAS inhibitors. An investigation into this phenomenon, supported by NCI, with NCI serving as both the submitting and lead Institute, and without collaborating ICOs or agencies, has been conducted under the activity named</w:t>
      </w:r>
      <w:r>
        <w:t xml:space="preserve"> </w:t>
      </w:r>
      <w:r>
        <w:t xml:space="preserve">“Determining how ERK proteins drive resistance in KRAS-mutant cancers”</w:t>
      </w:r>
      <w:r>
        <w:t xml:space="preserve">. The essence of this activity lies in elucidating the role of ERK proteins in tumor growth and resistance, with the goal of advancing therapies for the long-term treatment of KRAS-mutant cancers. This research endeavor, led by NCI, aims to provide a more comprehensive understanding of the mechanisms underlying cancer cell growth and resistance, ultimately informing the development of more effective therapeutic strategies.</w:t>
      </w:r>
      <w:r>
        <w:rPr>
          <w:rStyle w:val="FootnoteReference"/>
        </w:rPr>
        <w:footnoteReference w:id="33"/>
      </w:r>
    </w:p>
    <w:p>
      <w:pPr>
        <w:pStyle w:val="BodyText"/>
      </w:pPr>
      <w:r>
        <w:t xml:space="preserve">UID 258_NCI</w:t>
      </w:r>
    </w:p>
    <w:p>
      <w:pPr>
        <w:pStyle w:val="BodyText"/>
      </w:pPr>
      <w:r>
        <w:t xml:space="preserve">The approval of CYTALUX, a targeted fluorescent imaging agent, marks a significant advancement in the identification of ovarian cancer during surgery, enabling the detection of more cancer cells for removal and helping to ensure surgical margins are clear. This breakthrough was achieved through the development and testing of CYTALUX, which received funding from NCI SBIR program in its early phases. NCI, as the submitting and lead ICO, played a crucial role in this achievement, with no collaborating ICOs or agencies involved. The activity, named FDA approval of CYTALUX for identification of ovarian cancer during surgery, highlights the importance of innovative imaging agents in improving surgical outcomes. This milestone is a testament to the power of targeted imaging in enhancing cancer treatment, and it was made possible through the support of NCI.</w:t>
      </w:r>
      <w:r>
        <w:rPr>
          <w:rStyle w:val="FootnoteReference"/>
        </w:rPr>
        <w:footnoteReference w:id="34"/>
      </w:r>
    </w:p>
    <w:p>
      <w:pPr>
        <w:pStyle w:val="BodyText"/>
      </w:pPr>
      <w:r>
        <w:t xml:space="preserve">UID 263_NCI</w:t>
      </w:r>
    </w:p>
    <w:p>
      <w:pPr>
        <w:pStyle w:val="BodyText"/>
      </w:pPr>
      <w:r>
        <w:t xml:space="preserve">The identification of the ETV6 protein as a critical component in Ewing sarcoma has shed new light on the potential for targeted therapy in treating this aggressive childhood cancer. Through genetic screening, it has been discovered that ETV6 plays a pivotal role in promoting tumor growth by modulating the behavior of the fusion protein responsible for Ewing sarcoma, while being less crucial for normal cell survival. NCI, as both the submitting and lead ICO, has supported research groups that have independently confirmed these findings, with no collaborating ICOs or agencies involved. The activity, termed</w:t>
      </w:r>
      <w:r>
        <w:t xml:space="preserve"> </w:t>
      </w:r>
      <w:r>
        <w:t xml:space="preserve">“Identification of the ETV6 protein as a potentially important target for Ewing sarcoma treatment,”</w:t>
      </w:r>
      <w:r>
        <w:t xml:space="preserve"> </w:t>
      </w:r>
      <w:r>
        <w:t xml:space="preserve">aims to leverage these new mechanistic insights to inform the development of a targeted drug that interferes with ETV6, potentially offering a novel treatment approach not only for Ewing sarcoma but also for other cancers driven by fusion proteins. This breakthrough may ultimately lead to more effective therapies for patients with advanced or recurrent Ewing sarcoma.</w:t>
      </w:r>
      <w:r>
        <w:rPr>
          <w:rStyle w:val="FootnoteReference"/>
        </w:rPr>
        <w:footnoteReference w:id="36"/>
      </w:r>
    </w:p>
    <w:p>
      <w:pPr>
        <w:pStyle w:val="BodyText"/>
      </w:pPr>
      <w:r>
        <w:t xml:space="preserve">UID 264_NCI</w:t>
      </w:r>
    </w:p>
    <w:p>
      <w:pPr>
        <w:pStyle w:val="BodyText"/>
      </w:pPr>
      <w:r>
        <w:t xml:space="preserve">The progression of gastric adenocarcinoma, one of the deadliest cancers worldwide, has been elucidated through a comprehensive study of the tumor microenvironment, revealing novel insights into the evolution of immune and stromal cell populations during disease development. By generating a high-resolution gastric cancer tumor microenvironment atlas, the study shed light on the dynamic changes occurring in the tumor microenvironment across various stages of the disease. Led by NCI, with NCI as the submitting ICO, this research endeavor identified potential therapeutic targets, including a highly expressed gene involved in cell growth, migration, and tumor microenvironment structure, which is associated with aggressive gastric cancer and poor patient outcomes. The findings of this study, titled</w:t>
      </w:r>
      <w:r>
        <w:t xml:space="preserve"> </w:t>
      </w:r>
      <w:r>
        <w:t xml:space="preserve">“Immune and stromal cell evolution during gastric adenocarcinoma progression,”</w:t>
      </w:r>
      <w:r>
        <w:t xml:space="preserve"> </w:t>
      </w:r>
      <w:r>
        <w:t xml:space="preserve">have significant implications for the development of novel treatment strategies. This groundbreaking research.</w:t>
      </w:r>
      <w:r>
        <w:rPr>
          <w:rStyle w:val="FootnoteReference"/>
        </w:rPr>
        <w:footnoteReference w:id="37"/>
      </w:r>
    </w:p>
    <w:p>
      <w:pPr>
        <w:pStyle w:val="BodyText"/>
      </w:pPr>
      <w:r>
        <w:t xml:space="preserve">UID 266_NCI</w:t>
      </w:r>
    </w:p>
    <w:p>
      <w:pPr>
        <w:pStyle w:val="BodyText"/>
      </w:pPr>
      <w:r>
        <w:t xml:space="preserve">The interaction between tumors and the immune system in breast cancer is significantly influenced by a patient’s inherited genetic alterations, as evidenced by the analysis of sequencing data and computational approaches. This process, known as germline-mediated immunoediting, shapes breast cancer subtypes and affects how tumors evolve and progress to metastatic disease. NCI-supported discovery enhances our understanding of breast cancer origins and reveals potential biomarkers for forecasting tumor progression and predicting the risk of invasive breast cancer recurrence. The study, titled</w:t>
      </w:r>
      <w:r>
        <w:t xml:space="preserve"> </w:t>
      </w:r>
      <w:r>
        <w:t xml:space="preserve">“Inherited genetic mutations impact how tumors and the immune system interact in breast cancer,”</w:t>
      </w:r>
      <w:r>
        <w:t xml:space="preserve"> </w:t>
      </w:r>
      <w:r>
        <w:t xml:space="preserve">was led by NCI, with NCI also serving as the submitting ICO, and no collaborating ICOs or agencies were involved. The findings of this research contribute to a deeper understanding of the complex relationships between genetic mutations, tumor development, and immune system interaction, led by NCI.</w:t>
      </w:r>
      <w:r>
        <w:rPr>
          <w:rStyle w:val="FootnoteReference"/>
        </w:rPr>
        <w:footnoteReference w:id="38"/>
      </w:r>
    </w:p>
    <w:p>
      <w:pPr>
        <w:pStyle w:val="BodyText"/>
      </w:pPr>
      <w:r>
        <w:t xml:space="preserve">UID 267_NCI</w:t>
      </w:r>
    </w:p>
    <w:p>
      <w:pPr>
        <w:pStyle w:val="BodyText"/>
      </w:pPr>
      <w:r>
        <w:t xml:space="preserve">The launch of the Cancer Screening Research Network aims to investigate early identification of asymptomatic cancers, with a goal of reducing cancer incidence and related morbidity and mortality by evaluating cancer screening technologies. This initiative, led by NCI, in collaboration with the Department of Defense and the Veterans Affairs, seeks to detect and diagnose cancers and pre-cancerous lesions before symptoms develop. The network has funded eight sites, strategically located to reach diverse populations, including those that are medically underserved, with the initial effort focusing on a pilot study, the Vanguard Study, to assess the feasibility of using multi-cancer detection tests in large-scale future studies. The ultimate objective is to evaluate the benefits of these tests in screening for cancer and their potential to detect cancer early, thereby reducing deaths. Through this comprehensive approach, the Cancer Screening Research Network endeavors to make significant strides in cancer screening research, led by NCI, with collaborative support from the DOD and VA.</w:t>
      </w:r>
      <w:r>
        <w:rPr>
          <w:rStyle w:val="FootnoteReference"/>
        </w:rPr>
        <w:footnoteReference w:id="39"/>
      </w:r>
    </w:p>
    <w:p>
      <w:pPr>
        <w:pStyle w:val="BodyText"/>
      </w:pPr>
      <w:r>
        <w:t xml:space="preserve">UID 268_NCI</w:t>
      </w:r>
    </w:p>
    <w:p>
      <w:pPr>
        <w:pStyle w:val="BodyText"/>
      </w:pPr>
      <w:r>
        <w:t xml:space="preserve">The development of a combination targeted treatment, known as ViPOR, has shown promise in achieving full remission for patients with aggressive B-cell lymphoma that has become resistant to standard therapies. This treatment approach, which avoids chemotherapy, targets multiple molecular pathways that B-cell lymphomas use to survive, and has been found to substantially shrink tumors in a significant proportion of patients. The collaboration between NCI, as the lead and submitting institute, and NCATS, has facilitated the advancement of this innovative treatment strategy. The Multi-drug combination treatment shows promise in patients with aggressive B-cell lymphoma project has yielded encouraging results, with 54 percent of patients experiencing substantial tumor shrinkage and 38 percent achieving complete disappearance of their tumors. This breakthrough has significant implications for the treatment of aggressive B-cell lymphoma, offering new hope for patients who have limited options, and underscores the importance of continued research in this area.</w:t>
      </w:r>
      <w:r>
        <w:rPr>
          <w:rStyle w:val="FootnoteReference"/>
        </w:rPr>
        <w:footnoteReference w:id="41"/>
      </w:r>
    </w:p>
    <w:p>
      <w:pPr>
        <w:pStyle w:val="BodyText"/>
      </w:pPr>
      <w:r>
        <w:t xml:space="preserve">UID 270_NCI</w:t>
      </w:r>
    </w:p>
    <w:p>
      <w:pPr>
        <w:pStyle w:val="BodyText"/>
      </w:pPr>
      <w:r>
        <w:t xml:space="preserve">The survival of pancreatic ductal adenocarcinoma (PDAC) tumors in low-glucose conditions has been found to rely on an alternative source of energy, the molecule uridine. This adaptation enables PDAC to thrive in its characteristic dense, nest-like microenvironment, which often lacks intact blood vessels and thereby restricts glucose supply. The study, supported by NCI, with NCI as the submitting and lead Institute and no collaborating ICOs or agencies, investigated this phenomenon through the activity</w:t>
      </w:r>
      <w:r>
        <w:t xml:space="preserve"> </w:t>
      </w:r>
      <w:r>
        <w:t xml:space="preserve">“Pancreatic cancer can use an alternative source of energy for survival when glucose is in short supply”</w:t>
      </w:r>
      <w:r>
        <w:t xml:space="preserve">. The findings indicate that uridine is crucial for tumor growth, as animal models with cancer cells unable to utilize uridine formed significantly smaller and slower-growing tumors. This discovery offers a potential new treatment avenue for PDAC patients, highlighting the importance of further research into PDAC tumor cell metabolism, as led by NCI.</w:t>
      </w:r>
      <w:r>
        <w:rPr>
          <w:rStyle w:val="FootnoteReference"/>
        </w:rPr>
        <w:footnoteReference w:id="42"/>
      </w:r>
    </w:p>
    <w:p>
      <w:pPr>
        <w:pStyle w:val="BodyText"/>
      </w:pPr>
      <w:r>
        <w:t xml:space="preserve">UID 272_NCI</w:t>
      </w:r>
    </w:p>
    <w:p>
      <w:pPr>
        <w:pStyle w:val="BodyText"/>
      </w:pPr>
      <w:r>
        <w:t xml:space="preserve">The integration of artificial intelligence (AI) in cancer care has sparked important discussions about ethical implications, particularly regarding patient consent and decision-making processes. A study conducted among U.S.-based oncologists found that while few believed patients need to understand AI models, most agreed that patients should provide informed consent for their use in treatment decisions. NCI-supported research, led by NCI, revealed that oncologists generally support rigorous assessments of AI’s impact on patient care and acknowledge the need to clarify decisional responsibility when AI-related issues arise. This study, titled</w:t>
      </w:r>
      <w:r>
        <w:t xml:space="preserve"> </w:t>
      </w:r>
      <w:r>
        <w:t xml:space="preserve">“Perspectives of oncologists on the ethical implications of using artificial intelligence for cancer care,”</w:t>
      </w:r>
      <w:r>
        <w:t xml:space="preserve"> </w:t>
      </w:r>
      <w:r>
        <w:t xml:space="preserve">highlights the complexities of AI implementation in oncology, with many oncologists willing to let patients decide between physician- and AI-recommended treatment regimens. The findings underscore the importance of careful consideration and transparency in the use of AI in cancer treatment, as supported by NCI, with no collaborating ICOs or agencies involved.</w:t>
      </w:r>
      <w:r>
        <w:rPr>
          <w:rStyle w:val="FootnoteReference"/>
        </w:rPr>
        <w:footnoteReference w:id="43"/>
      </w:r>
    </w:p>
    <w:p>
      <w:pPr>
        <w:pStyle w:val="BodyText"/>
      </w:pPr>
      <w:r>
        <w:t xml:space="preserve">UID 275_NCI</w:t>
      </w:r>
    </w:p>
    <w:p>
      <w:pPr>
        <w:pStyle w:val="BodyText"/>
      </w:pPr>
      <w:r>
        <w:t xml:space="preserve">The development of RAS inhibitors has marked a significant milestone with the granting of Investigational New Drug status by the FDA, enabling their use in clinical trials. Two compounds, BBIO-10203 and BBO-8520, have been approved, with BBIO-10203 inhibiting the interaction between RAS and another protein involved in cell growth and survival, and BBO-8520 targeting both active and inactive forms of the mutant KRAS G12C protein. NCI, in collaboration with the FDA, has played a crucial role in the development of these compounds, with the Lead ICO being NCI. The clinical trials for these molecules, including the treatment of patients with solid tumors and KRAS G12C-driven non-small cell lung cancer, underscore the potential of these RAS inhibitors in addressing unmet medical needs. The FDA’s Fast Track designation for BBO-8520 further highlights the urgency and importance of this research, led by NCI, with collaboration from the FDA.</w:t>
      </w:r>
      <w:r>
        <w:rPr>
          <w:rStyle w:val="FootnoteReference"/>
        </w:rPr>
        <w:footnoteReference w:id="44"/>
      </w:r>
    </w:p>
    <w:p>
      <w:pPr>
        <w:pStyle w:val="BodyText"/>
      </w:pPr>
      <w:r>
        <w:t xml:space="preserve">UID 276_NCI</w:t>
      </w:r>
    </w:p>
    <w:p>
      <w:pPr>
        <w:pStyle w:val="BodyText"/>
      </w:pPr>
      <w:r>
        <w:t xml:space="preserve">The identification of a unique cancer-associated fibroblast (CAF) subpopulation has shed light on its critical role in establishing the pancreatic tumor microenvironment, characterized by the production of specific extracellular matrix components and regulation of tissue stiffness, which in turn influences the growth of nearby cancer cells. This discovery was made possible through research supported by NCI, with NCI serving as both the submitting and lead ICO, and no collaborating ICOs or agencies. The study, titled</w:t>
      </w:r>
      <w:r>
        <w:t xml:space="preserve"> </w:t>
      </w:r>
      <w:r>
        <w:t xml:space="preserve">“Subtype of cancer-associated fibroblasts plays unique roles in establishing the pancreatic tumor microenvironment,”</w:t>
      </w:r>
      <w:r>
        <w:t xml:space="preserve"> </w:t>
      </w:r>
      <w:r>
        <w:t xml:space="preserve">reveals that signals from nearby cells and molecules, combined with differences among CAF populations, can lead to functionally distinct subtypes of CAFs. The findings provide a foundation for future research aimed at understanding the mechanisms by which different CAF populations function within tumors, ultimately contributing to the identification of new therapeutic targets. This research contributes significantly to our understanding of the complex interactions within the tumor microenvironment, and its implications for cancer progression.</w:t>
      </w:r>
      <w:r>
        <w:rPr>
          <w:rStyle w:val="FootnoteReference"/>
        </w:rPr>
        <w:footnoteReference w:id="46"/>
      </w:r>
    </w:p>
    <w:p>
      <w:pPr>
        <w:pStyle w:val="BodyText"/>
      </w:pPr>
      <w:r>
        <w:t xml:space="preserve">UID 278_NCI</w:t>
      </w:r>
    </w:p>
    <w:p>
      <w:pPr>
        <w:pStyle w:val="BodyText"/>
      </w:pPr>
      <w:r>
        <w:t xml:space="preserve">Estimating the annual cost of cancer screening in the United States revealed that the initial screening cost for breast, cervical, colorectal, lung, and prostate cancers was approximately $43 billion in 2021, which is less than the annual cost of cancer care for the first 12 months following diagnosis. This finding was derived from an analysis led by NCI, with the activity entitled</w:t>
      </w:r>
      <w:r>
        <w:t xml:space="preserve"> </w:t>
      </w:r>
      <w:r>
        <w:t xml:space="preserve">“The Annual Cost of Cancer Screening in the United States”</w:t>
      </w:r>
      <w:r>
        <w:t xml:space="preserve"> </w:t>
      </w:r>
      <w:r>
        <w:t xml:space="preserve">aiming to understand the economic burden of cancer screening. The study highlighted that screening for colorectal cancer accounted for nearly two-thirds of the costs, with screening colonoscopies making up more than half of the total annual health care system screening cost, and involved collaboration on the topic of understanding the annual cost of cancer screening. The analysis underscored the importance of cancer screening in reducing cancer-specific mortality and improving quality of life, while also emphasizing the need for better understanding of the costs and drivers of cancer screening to improve access to recommended screenings, a goal supported by NCI and related efforts. The economic implications of these findings have significant bearing on healthcare policy and resource allocation, particularly in relation to the costs and benefits of screening programs.</w:t>
      </w:r>
      <w:r>
        <w:rPr>
          <w:rStyle w:val="FootnoteReference"/>
        </w:rPr>
        <w:footnoteReference w:id="47"/>
      </w:r>
    </w:p>
    <w:p>
      <w:pPr>
        <w:pStyle w:val="BodyText"/>
      </w:pPr>
      <w:r>
        <w:t xml:space="preserve">UID 279_NCI</w:t>
      </w:r>
    </w:p>
    <w:p>
      <w:pPr>
        <w:pStyle w:val="BodyText"/>
      </w:pPr>
      <w:r>
        <w:t xml:space="preserve">Comprehensive and meaningful datasets are essential for improving treatments and outcomes for all children and adolescents and young adults with cancer, which is the primary goal of the Childhood Cancer Data Initiative. This initiative, led by NCI, supports research studies and tools that enhance the ability to effectively use data, including the creation of cohorts that can address key scientific questions about childhood cancer. The initiative has already shown promise, with over 2,000 participants enrolled in the Molecular Characterization Initiative, receiving cutting-edge molecular testing, and the release of the pediatric Molecular Targets Platform, a knowledgebase that facilitates the prioritization of molecular targets relevant to pediatric cancer. The Collaborating ICOs/Agencies/Orgs were not specified, but the activity has been successful in its initial stages. The Childhood Cancer Data Initiative: Using the power of data to learn from and improve outcomes for every child and young adult with cancer, is a crucial step forward in this area, and its progress is noteworthy.</w:t>
      </w:r>
      <w:r>
        <w:rPr>
          <w:rStyle w:val="FootnoteReference"/>
        </w:rPr>
        <w:footnoteReference w:id="48"/>
      </w:r>
    </w:p>
    <w:p>
      <w:pPr>
        <w:pStyle w:val="BodyText"/>
      </w:pPr>
      <w:r>
        <w:t xml:space="preserve">UID 281_NCI</w:t>
      </w:r>
    </w:p>
    <w:p>
      <w:pPr>
        <w:pStyle w:val="BodyText"/>
      </w:pPr>
      <w:r>
        <w:t xml:space="preserve">Treatment with a new drug combination may have a survival benefit in genetic subtypes of diffuse large B-cell lymphoma, a finding that emerged from an international phase III trial testing a therapeutic approach for patients with previously untreated disease. The trial, which built upon research at NCI, examined the benefit of adding ibrutinib to standard R-CHOP therapy in patients with diffuse large B-cell lymphoma, an aggressive cancer of the lymphatic system. While the trial did not demonstrate a benefit of ibrutinib in the broader trial population, it did show a 12 percent survival benefit in younger patients with a certain subtype called non-germinal B-cell like diffuse large B-cell lymphoma. This outcome is significant, as it may inform future treatment strategies for this patient subgroup, with the National Comprehensive Cancer Network considering a recommendation to add ibrutinib to R-CHOP in newly diagnosed non-germinal B-cell like diffuse large B-cell lymphoma patients, led by NCI with no collaborating ICOs. The study’s results highlight the potential of targeted therapies in improving outcomes for patients with specific genetic subtypes of diffuse large B-cell lymphoma.</w:t>
      </w:r>
      <w:r>
        <w:rPr>
          <w:rStyle w:val="FootnoteReference"/>
        </w:rPr>
        <w:footnoteReference w:id="49"/>
      </w:r>
    </w:p>
    <w:p>
      <w:pPr>
        <w:pStyle w:val="BodyText"/>
      </w:pPr>
      <w:r>
        <w:t xml:space="preserve">UID 282_NCI</w:t>
      </w:r>
    </w:p>
    <w:p>
      <w:pPr>
        <w:pStyle w:val="BodyText"/>
      </w:pPr>
      <w:r>
        <w:t xml:space="preserve">The activation of CD8+ T cells, which can identify and kill cancer cells, is regulated by cytokines, proteins that can either stimulate or slow down immune system responses. A robotic platform combined with machine learning has been used to experimentally measure and theoretically model this process, which is not fully understood due to the limitations of existing methods in capturing time-dependent dynamics of immune responses. This approach has been generalized to multiple immune processes, including responses to drug treatments and activation of patient-derived immune cells engineered to attack cancer cells, such as chimeric antigen receptor T cells. NCI, led by NCI, with no collaborating ICOs, agencies, or organizations, has undertaken this research as part of the</w:t>
      </w:r>
      <w:r>
        <w:t xml:space="preserve"> </w:t>
      </w:r>
      <w:r>
        <w:t xml:space="preserve">“Universal antigen encoding of T cell activation”</w:t>
      </w:r>
      <w:r>
        <w:t xml:space="preserve"> </w:t>
      </w:r>
      <w:r>
        <w:t xml:space="preserve">activity. This universal antigen encoding for T cell activation may enable further modeling of immune responses to optimize immunotherapies and eventually enable prediction of T cell responses to tumors.</w:t>
      </w:r>
      <w:r>
        <w:rPr>
          <w:rStyle w:val="FootnoteReference"/>
        </w:rPr>
        <w:footnoteReference w:id="50"/>
      </w:r>
    </w:p>
    <w:p>
      <w:pPr>
        <w:pStyle w:val="BodyText"/>
      </w:pPr>
      <w:r>
        <w:t xml:space="preserve">UID 482_NIEHS</w:t>
      </w:r>
    </w:p>
    <w:p>
      <w:pPr>
        <w:pStyle w:val="BodyText"/>
      </w:pPr>
      <w:r>
        <w:t xml:space="preserve">The use of in vitro screening approaches, including bacterial mutagenicity tests and assays in human TK6 cells, has provided insight into the potential genotoxic effects of glyphosate and its formulations. This methodology has enabled the investigation of glyphosate, glyphosate isopropylamine, and other related compounds, as well as various glyphosate-based formulations and additional herbicides. The study, led by NIEHS, with NIEHS as the submitting ICO, and without collaborating ICOs or agencies, has yielded results that demonstrate a lack of genotoxicity for glyphosate, consistent with previous observations. The activity, titled</w:t>
      </w:r>
      <w:r>
        <w:t xml:space="preserve"> </w:t>
      </w:r>
      <w:r>
        <w:t xml:space="preserve">“Glyphosate and glyphosate formulations”</w:t>
      </w:r>
      <w:r>
        <w:t xml:space="preserve">, suggests that toxicity associated with glyphosate-based formulations may be related to other components of these formulations. The findings of this study contribute to the understanding of the potential health effects of glyphosate and its formulations.</w:t>
      </w:r>
      <w:r>
        <w:rPr>
          <w:rStyle w:val="FootnoteReference"/>
        </w:rPr>
        <w:footnoteReference w:id="51"/>
      </w:r>
    </w:p>
    <w:p>
      <w:pPr>
        <w:pStyle w:val="BodyText"/>
      </w:pPr>
      <w:r>
        <w:t xml:space="preserve">UID 493_NIEHS</w:t>
      </w:r>
    </w:p>
    <w:p>
      <w:pPr>
        <w:pStyle w:val="BodyText"/>
      </w:pPr>
      <w:r>
        <w:t xml:space="preserve">The development of innovative scientific assays is crucial in the fight against cancer, as they enable the identification of toxic exposures and their effects on the body, such as genetic mutations. Through the use of precision medicine, these assays can predict individual risk of lung cancer from tobacco smoke exposure, and NIEHS/NCI Genome Integrity Consortium is at the forefront of this effort. Led by NIEHS, with collaboration from NCI, this consortium has created assays that are more accurate and faster than other methods, allowing for the identification of mutations among smokers that can lead to increased cancer risk with age. NIEHS/NCI Genome Integrity Consortium’s work has also shown that selection for mutation avoidance varies by individual, highlighting the importance of personalized approaches to cancer prevention. This groundbreaking research is being conducted under the umbrella of NIEHS/NCI Genome Integrity Consortium, a joint effort between NIEHS and NCI.</w:t>
      </w:r>
      <w:r>
        <w:rPr>
          <w:rStyle w:val="FootnoteReference"/>
        </w:rPr>
        <w:footnoteReference w:id="53"/>
      </w:r>
    </w:p>
    <w:p>
      <w:pPr>
        <w:pStyle w:val="BodyText"/>
      </w:pPr>
      <w:r>
        <w:t xml:space="preserve">UID 519_NHGRI</w:t>
      </w:r>
    </w:p>
    <w:p>
      <w:pPr>
        <w:pStyle w:val="BodyText"/>
      </w:pPr>
      <w:r>
        <w:t xml:space="preserve">The Clinical Genome Resource (ClinGen) provides crucial information about the clinical relevance of genes and genomic variants for use in medicine and research, with a current focus on engaging patients, healthcare systems, and experts to expand its utility. This initiative, led by NHGRI, in collaboration with NCI, aims to increase the scale of its work and applications to a broader set of clinical specialties, while ensuring population databases reflect the patient population. The resource has informed significant guidelines, such as those for hereditary cancer panels, demonstrating its impact on the field. By leveraging the expertise of ClinGen’s expert panels, the American Society of Clinical Oncology has developed guidance for the use of multigene panels in germline genetic testing for patients with cancer. The ClinGen Resource, as part of its third phase, continues to play a vital role in advancing the use of genomic information in clinical practice.</w:t>
      </w:r>
      <w:r>
        <w:rPr>
          <w:rStyle w:val="FootnoteReference"/>
        </w:rPr>
        <w:footnoteReference w:id="54"/>
      </w:r>
    </w:p>
    <w:p>
      <w:pPr>
        <w:pStyle w:val="BodyText"/>
      </w:pPr>
      <w:r>
        <w:t xml:space="preserve">UID 640_OSC</w:t>
      </w:r>
    </w:p>
    <w:p>
      <w:pPr>
        <w:pStyle w:val="BodyText"/>
      </w:pPr>
      <w:r>
        <w:t xml:space="preserve">The development of a promising technology has the potential to accurately diagnose non-small cell lung cancer (NSCLC) with over 90 percent accuracy, using just a blood sample from a patient. This technology also shows promise in predicting patient response to targeted immunotherapy treatment from the same blood sample. The New Tool Predicts Response to Immunotherapy in Lung Cancer Patients activity, led by the DPCPSI - OSC, with the OSC as the submitting ICO, and in collaboration with NCATS and NCI, has yielded this emerging NSCLC prediction technology as part of NIH Fund Extracellular RNA Communication Program. The technology’s ability to diagnose and predict treatment response could significantly impact patient care. This breakthrough is a result of collaborative efforts, and its potential impact on lung cancer treatment is substantial.</w:t>
      </w:r>
      <w:r>
        <w:rPr>
          <w:rStyle w:val="FootnoteReference"/>
        </w:rPr>
        <w:footnoteReference w:id="55"/>
      </w:r>
    </w:p>
    <w:p>
      <w:pPr>
        <w:pStyle w:val="BodyText"/>
      </w:pPr>
      <w:r>
        <w:t xml:space="preserve">UID 648_THRO</w:t>
      </w:r>
    </w:p>
    <w:p>
      <w:pPr>
        <w:pStyle w:val="BodyText"/>
      </w:pPr>
      <w:r>
        <w:t xml:space="preserve">Through tribal consultation, a crucial government-government interaction, NIH adheres to HHS policy, fostering trust, respect, and shared responsibility with Indian Tribes. This free exchange of information and opinions leads to mutual understanding and comprehension, ultimately informing NIH actions that significantly affect these communities. The Tribal Consultations activity, led by DPCPSI-THRO, with THRO as the submitting ICO, and in collaboration with NIMHD, played a vital role in gathering input from Tribal leaders for the Improving American Indian and Alaska Native Cancer Outcomes initiative. By doing so, the initiative was able to understand research priorities and cultural approaches important to tribal communities, ensuring a more inclusive and effective approach. This collaborative effort underscored the importance of considering the unique needs and perspectives of Indian Tribes in research initiatives.</w:t>
      </w:r>
      <w:r>
        <w:rPr>
          <w:rStyle w:val="FootnoteReference"/>
        </w:rPr>
        <w:footnoteReference w:id="56"/>
      </w:r>
    </w:p>
    <w:p>
      <w:pPr>
        <w:pStyle w:val="BodyText"/>
      </w:pPr>
      <w:r>
        <w:t xml:space="preserve">UID 684_NIMHD</w:t>
      </w:r>
    </w:p>
    <w:p>
      <w:pPr>
        <w:pStyle w:val="BodyText"/>
      </w:pPr>
      <w:r>
        <w:t xml:space="preserve">Improving cancer outcomes among American Indian and Alaska Native populations is a critical goal, with efforts focused on enhancing research, education, outreach, and clinical access to screening, diagnosis, and treatment, particularly in rural communities. The Initiative for Improving American Indian and Alaska Native Cancer Outcomes supports this endeavor, with the National Institute on Minority Health and Health Disparities (NIMHD) serving as both the submitting and lead Institute, in collaboration with NCI. Through two NIMHD-funded projects linked to NCI-designated cancer centers, research and research-related activities will be conducted to improve cancer screening, diagnosis, and treatment in culturally respectful and practical ways. This initiative aims to address the unique challenges faced by American Indian and Alaska Native populations in accessing quality cancer care. The ultimate goal is to reduce disparities and improve health outcomes for these communities, with the Initiative for Improving American Indian and Alaska Native Cancer Outcomes playing a vital role in this endeavor.</w:t>
      </w:r>
      <w:r>
        <w:rPr>
          <w:rStyle w:val="FootnoteReference"/>
        </w:rPr>
        <w:footnoteReference w:id="58"/>
      </w:r>
    </w:p>
    <w:p>
      <w:pPr>
        <w:pStyle w:val="BodyText"/>
      </w:pPr>
      <w:r>
        <w:t xml:space="preserve">UID 933_NIBIB</w:t>
      </w:r>
    </w:p>
    <w:p>
      <w:pPr>
        <w:pStyle w:val="BodyText"/>
      </w:pPr>
      <w:r>
        <w:t xml:space="preserve">The development of a high-quality repository for medical images related to COVID-19 and associated clinical data has been a key focus of efforts to enhance detection, diagnosis, prognosis, and monitoring of the disease. Through the Medical Imaging and Data Resource Center (MIDRC), a collaboration launched in August 2020, significant progress has been made in developing and fostering medical image-based artificial intelligence (AI) for these purposes. Led by NIBIB, with the submitting institute also being NIBIB, and without additional collaborating institutes or agencies, MIDRC has successfully ingested nearly 570,000 imaging studies and released almost 200,000 to the public for the development of AI tools and resources for healthcare, with an expanding scope to include more image types, anatomies, and disease types, notably cancer. The MIDRC initiative underscores the importance of coordinated efforts in medical imaging and AI to address pressing health challenges. This endeavor has yielded substantial resources for the healthcare community, facilitating advancements in AI-powered healthcare solutions.</w:t>
      </w:r>
      <w:r>
        <w:rPr>
          <w:rStyle w:val="FootnoteReference"/>
        </w:rPr>
        <w:footnoteReference w:id="60"/>
      </w:r>
    </w:p>
    <w:p>
      <w:pPr>
        <w:pStyle w:val="BodyText"/>
      </w:pPr>
      <w:r>
        <w:t xml:space="preserve">UID 944_NIBIB</w:t>
      </w:r>
    </w:p>
    <w:p>
      <w:pPr>
        <w:pStyle w:val="BodyText"/>
      </w:pPr>
      <w:r>
        <w:t xml:space="preserve">The development of a novel method to obtain DNA shed from brain tumors using focused ultrasound has the potential to improve brain tumor diagnosis. This approach, aimed at bypassing the blood-brain barrier, involves a collaborative team of researchers funded by NIBIB, with NIBIB serving as both the submitting and lead ICO, and no additional collaborating ICOs or agencies. The project, titled</w:t>
      </w:r>
      <w:r>
        <w:t xml:space="preserve"> </w:t>
      </w:r>
      <w:r>
        <w:t xml:space="preserve">“Bypassing the blood-brain barrier to improve brain tumor diagnosis,”</w:t>
      </w:r>
      <w:r>
        <w:t xml:space="preserve"> </w:t>
      </w:r>
      <w:r>
        <w:t xml:space="preserve">seeks to address the challenges associated with brain tumor biopsies. By utilizing focused ultrasound, the team hopes to provide a more effective means of diagnosing brain tumors, as evidenced by their first-in-human study published in the Nature journal npj Precision Oncology. This innovative technique could ultimately lead to improved diagnostic outcomes for patients with brain tumors.</w:t>
      </w:r>
      <w:r>
        <w:rPr>
          <w:rStyle w:val="FootnoteReference"/>
        </w:rPr>
        <w:footnoteReference w:id="62"/>
      </w:r>
    </w:p>
    <w:bookmarkEnd w:id="63"/>
    <w:bookmarkStart w:id="65" w:name="combination-targeted-therapies"/>
    <w:p>
      <w:pPr>
        <w:pStyle w:val="Heading2"/>
      </w:pPr>
      <w:r>
        <w:t xml:space="preserve">Combination &amp; Targeted Therapies</w:t>
      </w:r>
    </w:p>
    <w:p>
      <w:pPr>
        <w:pStyle w:val="FirstParagraph"/>
      </w:pPr>
      <w:r>
        <w:t xml:space="preserve">277_NCI</w:t>
      </w:r>
    </w:p>
    <w:p>
      <w:pPr>
        <w:pStyle w:val="BodyText"/>
      </w:pPr>
      <w:r>
        <w:t xml:space="preserve">UID 277_NCI</w:t>
      </w:r>
    </w:p>
    <w:p>
      <w:pPr>
        <w:pStyle w:val="BodyText"/>
      </w:pPr>
      <w:r>
        <w:t xml:space="preserve">The addition of a PARP-inhibitor to standard therapy for patients with BRCA1/2-associated breast cancer led to a significant benefit in invasive disease-free survival time and a 38 percent reduction in the risk of death, as demonstrated by the clinical trial known as Targeted treatment for patients with BRCA-mutated breast cancer after standard treatment led to improved survival. This trial, supported by NCI, involved collaboration with the Breast International Group, Astra Zeneca, and Frontier Science, under the leadership of NCI. NCI, as the submitting ICO, played a crucial role in facilitating this research. The findings from this study, particularly the OlympiA study, culminated in the U.S. Food and Drug Administration approval of the PARP-inhibitor as an additional treatment for patients with high-risk, BRCA-associated breast cancer. The outcomes of this research underscore the potential of targeted treatments in improving patient outcomes, as evidenced by the work of NCI and its collaborators.</w:t>
      </w:r>
      <w:r>
        <w:rPr>
          <w:rStyle w:val="FootnoteReference"/>
        </w:rPr>
        <w:footnoteReference w:id="64"/>
      </w:r>
    </w:p>
    <w:bookmarkEnd w:id="65"/>
    <w:bookmarkStart w:id="67" w:name="data-commons-and-computational-resources"/>
    <w:p>
      <w:pPr>
        <w:pStyle w:val="Heading2"/>
      </w:pPr>
      <w:r>
        <w:t xml:space="preserve">Data Commons and Computational Resources</w:t>
      </w:r>
    </w:p>
    <w:p>
      <w:pPr>
        <w:pStyle w:val="FirstParagraph"/>
      </w:pPr>
      <w:r>
        <w:t xml:space="preserve">642_OSC</w:t>
      </w:r>
    </w:p>
    <w:p>
      <w:pPr>
        <w:pStyle w:val="BodyText"/>
      </w:pPr>
      <w:r>
        <w:t xml:space="preserve">UID 642_OSC</w:t>
      </w:r>
    </w:p>
    <w:p>
      <w:pPr>
        <w:pStyle w:val="BodyText"/>
      </w:pPr>
      <w:r>
        <w:t xml:space="preserve">The discovery of shared genetic pathways between childhood cancer and structural birth defects has been a key focus of research, with the goal of gaining new insights into the biology of these disorders. Through NIH Gabriella Miller Kids First Pediatric Research Program, significant progress has been made, including the development of a data portal that includes numerous childhood cancer and birth defect datasets. The Kids First Publication, led by the DPCPSI - OSC, with collaboration from NICHD and NCI, aims to highlight program contributions to this critical area of research. By combining data from participating studies with additional research datasets, researchers can learn more about pediatric and other conditions, ultimately informing the development of new treatments and interventions. The Kids First program’s efforts have resulted in a valuable resource for researchers, with 10 childhood cancer datasets, 20 birth defect data sets, and 2 data sets with both cancer and birth defects available for study.</w:t>
      </w:r>
      <w:r>
        <w:rPr>
          <w:rStyle w:val="FootnoteReference"/>
        </w:rPr>
        <w:footnoteReference w:id="66"/>
      </w:r>
    </w:p>
    <w:bookmarkEnd w:id="67"/>
    <w:bookmarkStart w:id="73" w:name="epidemiology-surveillance"/>
    <w:p>
      <w:pPr>
        <w:pStyle w:val="Heading2"/>
      </w:pPr>
      <w:r>
        <w:t xml:space="preserve">Epidemiology &amp; Surveillance</w:t>
      </w:r>
    </w:p>
    <w:p>
      <w:pPr>
        <w:pStyle w:val="FirstParagraph"/>
      </w:pPr>
      <w:r>
        <w:t xml:space="preserve">5_CC, 170_ORWH, 260_NCI, 273_NCI, 274_NCI</w:t>
      </w:r>
    </w:p>
    <w:p>
      <w:pPr>
        <w:pStyle w:val="BodyText"/>
      </w:pPr>
      <w:r>
        <w:t xml:space="preserve">UID 5_CC</w:t>
      </w:r>
    </w:p>
    <w:p>
      <w:pPr>
        <w:pStyle w:val="BodyText"/>
      </w:pPr>
      <w:r>
        <w:t xml:space="preserve">The investigation of mismatch repair deficiency in urothelial carcinoma has yielded significant insights, with a particular focus on its implications in 2024. This study, titled</w:t>
      </w:r>
      <w:r>
        <w:t xml:space="preserve"> </w:t>
      </w:r>
      <w:r>
        <w:t xml:space="preserve">“Study in Cancer”</w:t>
      </w:r>
      <w:r>
        <w:t xml:space="preserve">, has been undertaken by NCI, with the Center for Cancer Research serving as the submitting ICO. The Center for Cancer Research and NCI have collaborated closely on this effort, with additional support from the CC Biostatistics &amp; Clinical Epidemiology Services. By examining the role of mismatch repair deficiency, this research aims to shed light on the underlying mechanisms of urothelial carcinoma, ultimately informing the development of novel therapeutic strategies. The findings of this study have important implications for our understanding of cancer biology, and highlight the value of interdisciplinary collaboration in advancing our knowledge of this complex disease.</w:t>
      </w:r>
      <w:r>
        <w:rPr>
          <w:rStyle w:val="FootnoteReference"/>
        </w:rPr>
        <w:footnoteReference w:id="68"/>
      </w:r>
    </w:p>
    <w:p>
      <w:pPr>
        <w:pStyle w:val="BodyText"/>
      </w:pPr>
      <w:r>
        <w:t xml:space="preserve">UID 170_ORWH</w:t>
      </w:r>
    </w:p>
    <w:p>
      <w:pPr>
        <w:pStyle w:val="BodyText"/>
      </w:pPr>
      <w:r>
        <w:t xml:space="preserve">Accelerating control of cervical cancer within safety-net settings of care is a key objective of the Federal Cervical Cancer Collaborative, a working group led by the Health Resources and Services Administration (HRSA) within the US Department of Health and Human Services (HHS). This collaborative effort, supported by the Office of Research on Women’s Health (ORWH) as the submitting ICO and led by the Division of Program Coordination, Planning, and Strategic Initiatives (DPCPSI) in partnership with ORWH, brings together multiple agencies, including the Centers for Disease Control and Prevention (CDC) and NCI, to address disparities in cervical cancer care. The partnership focuses on reducing these disparities, particularly among populations that are geographically isolated, economically challenged, and medically underserved. By working in close collaboration, the Federal Cervical Cancer Collaborative aims to improve outcomes for these vulnerable populations. This interagency approach underscores the importance of coordinated efforts in tackling complex health issues.</w:t>
      </w:r>
      <w:r>
        <w:rPr>
          <w:rStyle w:val="FootnoteReference"/>
        </w:rPr>
        <w:footnoteReference w:id="69"/>
      </w:r>
    </w:p>
    <w:p>
      <w:pPr>
        <w:pStyle w:val="BodyText"/>
      </w:pPr>
      <w:r>
        <w:t xml:space="preserve">UID 260_NCI</w:t>
      </w:r>
    </w:p>
    <w:p>
      <w:pPr>
        <w:pStyle w:val="BodyText"/>
      </w:pPr>
      <w:r>
        <w:t xml:space="preserve">The presence of antibodies to specific stomach cells, an indication of autoimmune gastritis, has been found to be associated with an elevated risk of gastric cancer in young women lacking Helicobacter pylori infection. This association supports a new model of autoimmune gastritis as a driving factor in recent trends for gastric cancer incidence rates, particularly in the context of declining H. pylori prevalence. The study, conducted under the activity</w:t>
      </w:r>
      <w:r>
        <w:t xml:space="preserve"> </w:t>
      </w:r>
      <w:r>
        <w:t xml:space="preserve">“Gastric cancer risk in young women associated with autoimmune gastritis”</w:t>
      </w:r>
      <w:r>
        <w:t xml:space="preserve">, suggests a shift in the underlying causes of gastric cancer, with implications for prevention and treatment strategies. Led by NCI, with NCI serving as both the submitting and lead Institute, and without additional collaborating ICOs or agencies, this research contributes to a deeper understanding of gastric cancer risk factors. The findings of this study have significant implications for our understanding of gastric cancer in young women, and further research is needed to fully elucidate the relationship between autoimmune gastritis and gastric cancer.</w:t>
      </w:r>
      <w:r>
        <w:rPr>
          <w:rStyle w:val="FootnoteReference"/>
        </w:rPr>
        <w:footnoteReference w:id="70"/>
      </w:r>
    </w:p>
    <w:p>
      <w:pPr>
        <w:pStyle w:val="BodyText"/>
      </w:pPr>
      <w:r>
        <w:t xml:space="preserve">UID 273_NCI</w:t>
      </w:r>
    </w:p>
    <w:p>
      <w:pPr>
        <w:pStyle w:val="BodyText"/>
      </w:pPr>
      <w:r>
        <w:t xml:space="preserve">The pooled analysis of meningioma risk following treatment for childhood cancer has yielded critical insights, supporting the reduced use of radiation at an early age. This study, led by NCI, with NCI as the submitting institute, and no collaborating ICOs or agencies, has found that meningioma risk is higher for children exposed to radiation before the age of 10, with this risk persisting for 30 years. The analysis, part of the activity named</w:t>
      </w:r>
      <w:r>
        <w:t xml:space="preserve"> </w:t>
      </w:r>
      <w:r>
        <w:t xml:space="preserve">“Pooled analysis of meningioma risk following treatment for childhood cancer supports reduced use of radiation at an early age,”</w:t>
      </w:r>
      <w:r>
        <w:t xml:space="preserve"> </w:t>
      </w:r>
      <w:r>
        <w:t xml:space="preserve">also identified an increased risk of meningioma when patients were treated with a specific chemotherapy agent. These findings offer valuable information for future surveillance guidelines, highlighting the longer-term risk of meningioma development in survivors of childhood cancers, and underscore the importance of prioritizing treatments that limit healthy tissue radiation exposure in children. The results of this study support recent decades’ reduction in radiation to the whole brain and inform strategies to minimize radiation exposure in pediatric cancer treatment.</w:t>
      </w:r>
      <w:r>
        <w:rPr>
          <w:rStyle w:val="FootnoteReference"/>
        </w:rPr>
        <w:footnoteReference w:id="71"/>
      </w:r>
    </w:p>
    <w:p>
      <w:pPr>
        <w:pStyle w:val="BodyText"/>
      </w:pPr>
      <w:r>
        <w:t xml:space="preserve">UID 274_NCI</w:t>
      </w:r>
    </w:p>
    <w:p>
      <w:pPr>
        <w:pStyle w:val="BodyText"/>
      </w:pPr>
      <w:r>
        <w:t xml:space="preserve">Estimating the prevalence of cancer survivors is crucial for understanding and supporting this growing population, driven by advancements in diagnosis, treatment, and supportive care, as well as the increasing aging population. The activity, Prevalence of cancer survivors in the United States, led by NCI, with NCI as the submitting ICO, and no collaborating ICOs or agencies, has yielded significant insights, indicating that as of January 1, 2022, there were approximately 18.1 million cancer survivors in the U.S. Furthermore, projections suggest that this number will rise to 21.6 million by 2030 and 26 million by 2040, with a notable proportion of long-term survivors, where 70 percent had lived 5 years or more after diagnosis, and 11 percent had lived 25 years or more after diagnosis. This research underscores the importance of continued support and care for cancer survivors, highlighting the need for tailored approaches to address the unique needs of this population. The findings of this activity provide valuable information for informing strategies to improve the lives of cancer survivors.</w:t>
      </w:r>
      <w:r>
        <w:rPr>
          <w:rStyle w:val="FootnoteReference"/>
        </w:rPr>
        <w:footnoteReference w:id="72"/>
      </w:r>
    </w:p>
    <w:bookmarkEnd w:id="73"/>
    <w:bookmarkStart w:id="82" w:name="genetics-cell-biology-and--omics"/>
    <w:p>
      <w:pPr>
        <w:pStyle w:val="Heading2"/>
      </w:pPr>
      <w:r>
        <w:t xml:space="preserve">Genetics, Cell Biology, and -Omics</w:t>
      </w:r>
    </w:p>
    <w:p>
      <w:pPr>
        <w:pStyle w:val="FirstParagraph"/>
      </w:pPr>
      <w:r>
        <w:t xml:space="preserve">109_NIAMS, 211_NCATS, 212_NCATS, 250_NCI, 254_NCI, 256_NCI, 495_NIEHS, 622_OSC</w:t>
      </w:r>
    </w:p>
    <w:p>
      <w:pPr>
        <w:pStyle w:val="BodyText"/>
      </w:pPr>
      <w:r>
        <w:t xml:space="preserve">UID 109_NIAMS</w:t>
      </w:r>
    </w:p>
    <w:p>
      <w:pPr>
        <w:pStyle w:val="BodyText"/>
      </w:pPr>
      <w:r>
        <w:t xml:space="preserve">The elucidation of muscle wasting mechanisms in cancer has yielded significant breakthroughs, particularly in understanding the roles of micro-RNAs and specific proteins in cachexia. Through the use of human cells and animal models, several research groups have made notable discoveries, including the finding that muscle weakness precedes the loss of muscle mass, suggesting mitochondrial damage as a contributing factor to cachexia development. The Researchers Studying Muscle Wasting in Cancer Make Many Breakthroughs that Could Lead to Treatments activity, led by NIAMS in collaboration with NCI and NICHD, has shed light on the varied cellular and molecular responses to cancer, which could lead to the identification of mechanisms predicting muscle sensitivity or resistance to cachexia. This knowledge may ultimately inform the development of treatments aimed at improving muscle health. The activity’s findings have important implications for the field, and further research is warranted to fully explore the potential of these discoveries.</w:t>
      </w:r>
      <w:r>
        <w:rPr>
          <w:rStyle w:val="FootnoteReference"/>
        </w:rPr>
        <w:footnoteReference w:id="74"/>
      </w:r>
    </w:p>
    <w:p>
      <w:pPr>
        <w:pStyle w:val="BodyText"/>
      </w:pPr>
      <w:r>
        <w:t xml:space="preserve">UID 211_NCATS</w:t>
      </w:r>
    </w:p>
    <w:p>
      <w:pPr>
        <w:pStyle w:val="BodyText"/>
      </w:pPr>
      <w:r>
        <w:t xml:space="preserve">The identification and characterization of tumor cells have been significantly advanced through the development of 3-D models of ovarian cancer tumors, which have demonstrated that a cell’s location and environment within a cancerous tumor can strongly influence its genetic activity and role in the tumor. By combining a technology to reveal the genetic activity of single cells within a tumor with fluorescent dyes, the team, co-led by researchers at NCATS, found that gene activity in cells at or near a tumor’s surface differed from that of cells closer to the tumor center. This research, part of the activity</w:t>
      </w:r>
      <w:r>
        <w:t xml:space="preserve"> </w:t>
      </w:r>
      <w:r>
        <w:t xml:space="preserve">“Researchers show how a tumor cell’s location and environment affect its identity”</w:t>
      </w:r>
      <w:r>
        <w:t xml:space="preserve">, involved collaboration between NCATS, NCI, and CC, and has led to the development of a new system called Segmentation by Exogenous Perfusion, or SEEP. The SEEP system has revealed that tumor cells near the tumor surface are more likely to undergo cell division and can turn on genes to protect them from immune system response, and could also allow researchers to study how the same diseases can vary in people and progress differently. This breakthrough has significant implications for our understanding of tumor biology, and was led by NCATS, with support from collaborating institutions.</w:t>
      </w:r>
      <w:r>
        <w:rPr>
          <w:rStyle w:val="FootnoteReference"/>
        </w:rPr>
        <w:footnoteReference w:id="75"/>
      </w:r>
    </w:p>
    <w:p>
      <w:pPr>
        <w:pStyle w:val="BodyText"/>
      </w:pPr>
      <w:r>
        <w:t xml:space="preserve">UID 212_NCATS</w:t>
      </w:r>
    </w:p>
    <w:p>
      <w:pPr>
        <w:pStyle w:val="BodyText"/>
      </w:pPr>
      <w:r>
        <w:t xml:space="preserve">The discovery of a potential new approach to treating liver cancer, particularly cholangiocarcinoma, a type of liver cancer that affects the bile duct, has been made through the identification of mutations in the IDH1 enzyme. By rapidly testing thousands of approved drugs and experimental cancer agents that target IDH1, scientists have found potential leads for killing cholangiocarcinoma cells, with the goal of developing a new class of anticancer drugs. This research, led by NCATS, with collaboration from Massachusetts General Hospital in Boston, has identified molecules that could be modified to target specific proteins on the outsides of cells, potentially creating a</w:t>
      </w:r>
      <w:r>
        <w:t xml:space="preserve"> </w:t>
      </w:r>
      <w:r>
        <w:t xml:space="preserve">“toolkit”</w:t>
      </w:r>
      <w:r>
        <w:t xml:space="preserve"> </w:t>
      </w:r>
      <w:r>
        <w:t xml:space="preserve">to affect many different targets. NIH, through NCATS, has played a crucial role in this research, which may also have implications for the development of new drugs against other cancers and diseases. This breakthrough could lead to the development of more effective treatments for liver cancer, and the researchers see the IDH1 enzyme as a potential target for future drug development.</w:t>
      </w:r>
      <w:r>
        <w:rPr>
          <w:rStyle w:val="FootnoteReference"/>
        </w:rPr>
        <w:footnoteReference w:id="76"/>
      </w:r>
    </w:p>
    <w:p>
      <w:pPr>
        <w:pStyle w:val="BodyText"/>
      </w:pPr>
      <w:r>
        <w:t xml:space="preserve">UID 250_NCI</w:t>
      </w:r>
    </w:p>
    <w:p>
      <w:pPr>
        <w:pStyle w:val="BodyText"/>
      </w:pPr>
      <w:r>
        <w:t xml:space="preserve">The reversal of cell division, a process once thought to be irreversible, has been demonstrated to be feasible if interrupted early enough, challenging long-held beliefs about cell biology. This phenomenon occurs when cells preparing to divide are able to reverse this process and return to a resting state, following the removal of growth-promoting signals. The discovery, made through research led by NCI, with NCI serving as both the submitting and lead Institute, and without collaborating ICOs or agencies, is associated with the activity named</w:t>
      </w:r>
      <w:r>
        <w:t xml:space="preserve"> </w:t>
      </w:r>
      <w:r>
        <w:t xml:space="preserve">“Cell division can be reversed if interrupted early enough in the process”</w:t>
      </w:r>
      <w:r>
        <w:t xml:space="preserve">. This finding, stemming from the activity’s focus on the cell division process, suggests potential avenues for developing more effective treatments aimed at interrupting the rapid growth and spread of cancer cells. The implications of this research could lead to significant advancements in cancer treatment, as evidenced by the work conducted under the auspices of NCI.</w:t>
      </w:r>
      <w:r>
        <w:rPr>
          <w:rStyle w:val="FootnoteReference"/>
        </w:rPr>
        <w:footnoteReference w:id="77"/>
      </w:r>
    </w:p>
    <w:p>
      <w:pPr>
        <w:pStyle w:val="BodyText"/>
      </w:pPr>
      <w:r>
        <w:t xml:space="preserve">UID 254_NCI</w:t>
      </w:r>
    </w:p>
    <w:p>
      <w:pPr>
        <w:pStyle w:val="BodyText"/>
      </w:pPr>
      <w:r>
        <w:t xml:space="preserve">Notable differences in serum metabolites related to three specific pathways have been identified in breast cancer survivors, particularly African American survivors, who may face longer-term sequelae compared to the general population. These sequelae, or long-term complications, can be linked to side effects from cancer therapies, genetic susceptibility, and/or risk factors including biological changes induced by breast cancer. The study, conducted under the auspices of NCI, with NCI as both the submitting and lead ICO, and without additional collaborating ICOs or agencies, found elevated metabolite levels in two pathways related to inflammatory reactions and decreased levels in a lipid metabolism pathway in African American survivors. This research, part of the activity entitled</w:t>
      </w:r>
      <w:r>
        <w:t xml:space="preserve"> </w:t>
      </w:r>
      <w:r>
        <w:t xml:space="preserve">“Differences in metabolic pathway activity in African American breast cancer patients”</w:t>
      </w:r>
      <w:r>
        <w:t xml:space="preserve">, suggests that these findings could provide potential clinical targets to reduce long-term sequelae among breast cancer patients. NCI’s role in this study underscores the importance of investigating health disparities in cancer outcomes, with the goal of improving patient care and reducing long-term complications.</w:t>
      </w:r>
      <w:r>
        <w:rPr>
          <w:rStyle w:val="FootnoteReference"/>
        </w:rPr>
        <w:footnoteReference w:id="78"/>
      </w:r>
    </w:p>
    <w:p>
      <w:pPr>
        <w:pStyle w:val="BodyText"/>
      </w:pPr>
      <w:r>
        <w:t xml:space="preserve">UID 256_NCI</w:t>
      </w:r>
    </w:p>
    <w:p>
      <w:pPr>
        <w:pStyle w:val="BodyText"/>
      </w:pPr>
      <w:r>
        <w:t xml:space="preserve">The analysis of cell-free microRNA (cfmiRNA) is a promising avenue for less invasive cancer diagnostic procedures, as these RNAs circulate through the body and often have altered expression levels in cancer patients. Harmonized biospecimen procedures for cfmiRNA can increase research reproducibility and accelerate progress in cancer diagnosis. The development of evidence-based practices for blood collection and processing for cell-free microRNA analysis, as outlined in the Biospecimen Evidence-Based Practice (BEBP) document published by NCI in 2023, provides guidance on appropriate procedures for collection and processing of blood for miRNA extraction, storage, and analysis. This effort, led by NCI, aims to support the development and use of evidence-based standard operating procedures by individual biobanks, organizations, and institutions, with the goal of advancing cancer diagnosis. The Evidence-based practices for blood collection and processing for cell-free microRNA analysis activity embodies this mission, and its impact is notable.</w:t>
      </w:r>
      <w:r>
        <w:rPr>
          <w:rStyle w:val="FootnoteReference"/>
        </w:rPr>
        <w:footnoteReference w:id="79"/>
      </w:r>
    </w:p>
    <w:p>
      <w:pPr>
        <w:pStyle w:val="BodyText"/>
      </w:pPr>
      <w:r>
        <w:t xml:space="preserve">UID 495_NIEHS</w:t>
      </w:r>
    </w:p>
    <w:p>
      <w:pPr>
        <w:pStyle w:val="BodyText"/>
      </w:pPr>
      <w:r>
        <w:t xml:space="preserve">The accumulation of senescent cells, which have lost the ability to divide, is a key driver of age-related diseases, including cancer, dementia, and cardiovascular disease. A recent discovery has shed light on a new pathway for the accumulation of these age-promoting</w:t>
      </w:r>
      <w:r>
        <w:t xml:space="preserve"> </w:t>
      </w:r>
      <w:r>
        <w:t xml:space="preserve">“zombie cells”</w:t>
      </w:r>
      <w:r>
        <w:t xml:space="preserve">. This breakthrough was made through the collaborative efforts of NIEHS, led by NIEHS, with collaboration from NCI, in an activity titled</w:t>
      </w:r>
      <w:r>
        <w:t xml:space="preserve"> </w:t>
      </w:r>
      <w:r>
        <w:t xml:space="preserve">“Researchers Uncover New Pathway for Accumulation of Age-promoting</w:t>
      </w:r>
      <w:r>
        <w:t xml:space="preserve"> </w:t>
      </w:r>
      <w:r>
        <w:t xml:space="preserve">‘Zombie Cells’</w:t>
      </w:r>
      <w:r>
        <w:t xml:space="preserve">”</w:t>
      </w:r>
      <w:r>
        <w:t xml:space="preserve">. The study’s findings have significant implications for our understanding of the underlying mechanisms of age-related diseases. By uncovering this new pathway, researchers may be able to develop novel therapeutic strategies to target senescent cells and potentially mitigate the effects of aging.</w:t>
      </w:r>
      <w:r>
        <w:rPr>
          <w:rStyle w:val="FootnoteReference"/>
        </w:rPr>
        <w:footnoteReference w:id="80"/>
      </w:r>
    </w:p>
    <w:p>
      <w:pPr>
        <w:pStyle w:val="BodyText"/>
      </w:pPr>
      <w:r>
        <w:t xml:space="preserve">UID 622_OSC</w:t>
      </w:r>
    </w:p>
    <w:p>
      <w:pPr>
        <w:pStyle w:val="BodyText"/>
      </w:pPr>
      <w:r>
        <w:t xml:space="preserve">The use of metabolites in diagnosing kidney cancer has shown promise in improving detection accuracy, with a panel of 24 metabolites identified to differentiate between early and late-stage renal cell carcinoma with 87 percent accuracy. This breakthrough was achieved through the examination of cancer-related changes to metabolites found in urine, utilizing artificial intelligence to analyze the data. The</w:t>
      </w:r>
      <w:r>
        <w:t xml:space="preserve"> </w:t>
      </w:r>
      <w:r>
        <w:t xml:space="preserve">“Using Metabolites in Kidney Cancer Diagnosis”</w:t>
      </w:r>
      <w:r>
        <w:t xml:space="preserve"> </w:t>
      </w:r>
      <w:r>
        <w:t xml:space="preserve">activity, led by the DPCPSI - OSC, in collaboration with NIDDK, NCI, and NIEHS, has paved the way for the potential use of metabolites to determine the stage of this cancer, which could provide a more cost-effective alternative to computerized tomography scans or magnetic resonance imaging. By catalyzing science around the role of metabolites in disease diagnosis, NIH Common Fund Metabolomics Program has contributed significantly to this field of research, with the Submitting ICO being the OSC. The identification of metabolites as a potential diagnostic tool has significant implications for the early detection and treatment of kidney cancer.</w:t>
      </w:r>
      <w:r>
        <w:rPr>
          <w:rStyle w:val="FootnoteReference"/>
        </w:rPr>
        <w:footnoteReference w:id="81"/>
      </w:r>
    </w:p>
    <w:bookmarkEnd w:id="82"/>
    <w:bookmarkStart w:id="86" w:name="immunotherapy"/>
    <w:p>
      <w:pPr>
        <w:pStyle w:val="Heading2"/>
      </w:pPr>
      <w:r>
        <w:t xml:space="preserve">Immunotherapy</w:t>
      </w:r>
    </w:p>
    <w:p>
      <w:pPr>
        <w:pStyle w:val="FirstParagraph"/>
      </w:pPr>
      <w:r>
        <w:t xml:space="preserve">261_NCI, 262_NCI, 280_NCI</w:t>
      </w:r>
    </w:p>
    <w:p>
      <w:pPr>
        <w:pStyle w:val="BodyText"/>
      </w:pPr>
      <w:r>
        <w:t xml:space="preserve">UID 261_NCI</w:t>
      </w:r>
    </w:p>
    <w:p>
      <w:pPr>
        <w:pStyle w:val="BodyText"/>
      </w:pPr>
      <w:r>
        <w:t xml:space="preserve">The identification of unique gene expression profiles has enabled the characterization of tumor-reactive lymphocytes, which can infiltrate and shrink tumors in select patients with metastatic cancers. This breakthrough, achieved through the analysis of rare immune cells that recognize mutated proteins on cancer cells, advances the development of tumor-infiltrating lymphocytes therapy, a promising immunotherapy approach. Led by NCI, this work has the potential to be broadly applied across various cancer types, including stomach, esophageal, ovarian, and breast cancers. NCI collaborated internally to achieve these findings, which are embodied in the activity named</w:t>
      </w:r>
      <w:r>
        <w:t xml:space="preserve"> </w:t>
      </w:r>
      <w:r>
        <w:t xml:space="preserve">“Identification of a gene signature characteristic of tumor reactive lymphocytes”</w:t>
      </w:r>
      <w:r>
        <w:t xml:space="preserve">. This significant scientific contribution holds promise for improving treatment outcomes for patients with metastatic cancers.</w:t>
      </w:r>
      <w:r>
        <w:rPr>
          <w:rStyle w:val="FootnoteReference"/>
        </w:rPr>
        <w:footnoteReference w:id="83"/>
      </w:r>
    </w:p>
    <w:p>
      <w:pPr>
        <w:pStyle w:val="BodyText"/>
      </w:pPr>
      <w:r>
        <w:t xml:space="preserve">UID 262_NCI</w:t>
      </w:r>
    </w:p>
    <w:p>
      <w:pPr>
        <w:pStyle w:val="BodyText"/>
      </w:pPr>
      <w:r>
        <w:t xml:space="preserve">The identification of a tumor escape mechanism has led to the development of a new approach to engineering immunotherapy cells, improving anti-tumor activity. This breakthrough was achieved through the discovery that CAR activation promotes trogocytosis, a process that transfers surface material between cells, causing tumor antigens to be transferred and expressed on CAR-NK cells, ultimately leading to a decrease in the target tumor antigens on tumor cells and causing CAR-NK cells to attack each other instead of the tumor. NCI, as the submitting and lead ICO, supported this research, which involved collaborating with no other ICOs or agencies. The activity, titled</w:t>
      </w:r>
      <w:r>
        <w:t xml:space="preserve"> </w:t>
      </w:r>
      <w:r>
        <w:t xml:space="preserve">“Identification of a tumor escape mechanism and new approach to engineering immunotherapy cells for improving anti-tumor activity,”</w:t>
      </w:r>
      <w:r>
        <w:t xml:space="preserve"> </w:t>
      </w:r>
      <w:r>
        <w:t xml:space="preserve">resulted in the addition of an extra CAR to engineered CAR-NK cells, preventing them from attacking each other and improving anti-tumor activity in preclinical models. This innovative approach was made possible through NCI’s support, and its potential to enhance immunotherapy outcomes is significant.</w:t>
      </w:r>
      <w:r>
        <w:rPr>
          <w:rStyle w:val="FootnoteReference"/>
        </w:rPr>
        <w:footnoteReference w:id="84"/>
      </w:r>
    </w:p>
    <w:p>
      <w:pPr>
        <w:pStyle w:val="BodyText"/>
      </w:pPr>
      <w:r>
        <w:t xml:space="preserve">UID 280_NCI</w:t>
      </w:r>
    </w:p>
    <w:p>
      <w:pPr>
        <w:pStyle w:val="BodyText"/>
      </w:pPr>
      <w:r>
        <w:t xml:space="preserve">The development of neoantigen DNA vaccines has been advanced through the creation of a suite of tools, called pVACTools, which helps identify neoantigen candidates for immunotherapy. These tools have been utilized to design anti-cancer vaccines for a phase I clinical trial, demonstrating safety and effective immune response generation in patients with triple-negative breast cancer, an aggressive and difficult to treat form of the disease. The pVACTools were developed by NCI-supported researchers, with NCI serving as both the submitting and lead ICO, and have shown promise in enhancing the immune system’s ability to identify and respond to cancer cells. This breakthrough has significant implications for the treatment of cancer, particularly in cases where traditional therapies have proven ineffective. The collaboration has yielded valuable insights into the potential of neoantigen-based immunotherapies, with NCI playing a crucial role in the development and application of pVACTools.</w:t>
      </w:r>
      <w:r>
        <w:rPr>
          <w:rStyle w:val="FootnoteReference"/>
        </w:rPr>
        <w:footnoteReference w:id="85"/>
      </w:r>
    </w:p>
    <w:bookmarkEnd w:id="86"/>
    <w:bookmarkStart w:id="90" w:name="nutrition-symptom-management"/>
    <w:p>
      <w:pPr>
        <w:pStyle w:val="Heading2"/>
      </w:pPr>
      <w:r>
        <w:t xml:space="preserve">Nutrition &amp; Symptom Management</w:t>
      </w:r>
    </w:p>
    <w:p>
      <w:pPr>
        <w:pStyle w:val="FirstParagraph"/>
      </w:pPr>
      <w:r>
        <w:t xml:space="preserve">34_CC, 70_ONR</w:t>
      </w:r>
    </w:p>
    <w:p>
      <w:pPr>
        <w:pStyle w:val="BodyText"/>
      </w:pPr>
      <w:r>
        <w:t xml:space="preserve">UID 34_CC</w:t>
      </w:r>
    </w:p>
    <w:p>
      <w:pPr>
        <w:pStyle w:val="BodyText"/>
      </w:pPr>
      <w:r>
        <w:t xml:space="preserve">Comprehensive online resources for nutrition management of Hereditary Diffuse Gastric Cancer and post-gastrectomy care were developed through collaboration, resulting in a widely accessed website with over 28,000 views in 2024, and ranking fourth among more than 2,800 NCI websites. This endeavor was undertaken by the Submitting ICO, CC, in conjunction with the Lead ICO, CC, and Collaborating ICOs/Agencies/Orgs, including CC/NUTR and NCI. The activity, titled</w:t>
      </w:r>
      <w:r>
        <w:t xml:space="preserve"> </w:t>
      </w:r>
      <w:r>
        <w:t xml:space="preserve">“Diet and Nutrition for Hereditary Diffuse Gastric Cancer and Post-Gastrectomy Care”</w:t>
      </w:r>
      <w:r>
        <w:t xml:space="preserve">, also led to co-authored publications related to risk-reducing and prophylactic total gastrectomy, stemming from NCI intramural protocols. The collaboration facilitated the creation of authoritative resources, enhancing the understanding and management of this rare condition. This significant contribution to the field was made possible through the collective efforts of the involved parties, ultimately benefiting patients and healthcare providers alike.</w:t>
      </w:r>
      <w:r>
        <w:rPr>
          <w:rStyle w:val="FootnoteReference"/>
        </w:rPr>
        <w:footnoteReference w:id="87"/>
      </w:r>
    </w:p>
    <w:p>
      <w:pPr>
        <w:pStyle w:val="BodyText"/>
      </w:pPr>
      <w:r>
        <w:t xml:space="preserve">UID 70_ONR</w:t>
      </w:r>
    </w:p>
    <w:p>
      <w:pPr>
        <w:pStyle w:val="BodyText"/>
      </w:pPr>
      <w:r>
        <w:t xml:space="preserve">The integration of nutrition as a preventative measure for improved cancer health outcomes has been a focal point of discussion, as malnutrition affects up to 80 percent of people with cancer, potentially interfering with treatment and increasing the risk of complications. Through NIH Pathways to Prevention Workshop, a collaborative effort led by DPCPSI -ODP, with ONR as the submitting ICO, and involving collaborators such as NCI, NIA, NICHD, and others, the importance of addressing nutrition-related side effects of cancer treatment has been highlighted. Cancer and its treatment can lead to nutrition-related issues, including nausea, appetite and taste changes, and fatigue, making it challenging for individuals to maintain a balanced diet and absorb necessary nutrients. The workshop, titled</w:t>
      </w:r>
      <w:r>
        <w:t xml:space="preserve"> </w:t>
      </w:r>
      <w:r>
        <w:t xml:space="preserve">“NIH Pathways to Prevention Workshop: Nutrition as Prevention for Improved Cancer Health Outcomes,”</w:t>
      </w:r>
      <w:r>
        <w:t xml:space="preserve"> </w:t>
      </w:r>
      <w:r>
        <w:t xml:space="preserve">aims to explore strategies such as medical nutrition therapy to prevent cancer-associated malnutrition, thereby improving treatment outcomes and quality of life for individuals with cancer.</w:t>
      </w:r>
      <w:r>
        <w:rPr>
          <w:rStyle w:val="FootnoteReference"/>
        </w:rPr>
        <w:footnoteReference w:id="88"/>
      </w:r>
    </w:p>
    <w:bookmarkEnd w:id="90"/>
    <w:bookmarkStart w:id="92" w:name="preventive-interventions"/>
    <w:p>
      <w:pPr>
        <w:pStyle w:val="Heading2"/>
      </w:pPr>
      <w:r>
        <w:t xml:space="preserve">Preventive Interventions</w:t>
      </w:r>
    </w:p>
    <w:p>
      <w:pPr>
        <w:pStyle w:val="FirstParagraph"/>
      </w:pPr>
      <w:r>
        <w:t xml:space="preserve">245_NCI</w:t>
      </w:r>
    </w:p>
    <w:p>
      <w:pPr>
        <w:pStyle w:val="BodyText"/>
      </w:pPr>
      <w:r>
        <w:t xml:space="preserve">UID 245_NCI</w:t>
      </w:r>
    </w:p>
    <w:p>
      <w:pPr>
        <w:pStyle w:val="BodyText"/>
      </w:pPr>
      <w:r>
        <w:t xml:space="preserve">The adoption of a healthy lifestyle, including regular physical activity, has been associated with a reduced risk of cancer mortality and premature death. Studies have shown that engaging in various leisure time activities on a weekly basis may lower the risk of death from all causes, as well as from cardiovascular disease and cancer, particularly among older adults. Furthermore, former smokers who maintain healthy habits have been found to have a lower risk of dying from all causes compared to those who do not adhere to healthy lifestyles. NCI, led by NCI, has been at the forefront of this research, with collaborating efforts currently nonexistent, and their findings suggest that small increases in physical activity, such as an additional 10 minutes of moderate-to-vigorous activity per day, could have a significant public health impact, potentially preventing over 100,000 deaths annually, as evident from the activity monitor data analysis in the study titled</w:t>
      </w:r>
      <w:r>
        <w:t xml:space="preserve"> </w:t>
      </w:r>
      <w:r>
        <w:t xml:space="preserve">“Benefits of a healthy lifestyle/physical activity on cancer mortality risk”</w:t>
      </w:r>
      <w:r>
        <w:t xml:space="preserve">.</w:t>
      </w:r>
      <w:r>
        <w:rPr>
          <w:rStyle w:val="FootnoteReference"/>
        </w:rPr>
        <w:footnoteReference w:id="91"/>
      </w:r>
    </w:p>
    <w:bookmarkEnd w:id="92"/>
    <w:bookmarkStart w:id="99" w:name="screening-early-detection"/>
    <w:p>
      <w:pPr>
        <w:pStyle w:val="Heading2"/>
      </w:pPr>
      <w:r>
        <w:t xml:space="preserve">Screening &amp; Early Detection</w:t>
      </w:r>
    </w:p>
    <w:p>
      <w:pPr>
        <w:pStyle w:val="FirstParagraph"/>
      </w:pPr>
      <w:r>
        <w:t xml:space="preserve">251_NCI, 255_NCI, 259_NCI, 319_NIDCR, 332_NIDCR</w:t>
      </w:r>
    </w:p>
    <w:p>
      <w:pPr>
        <w:pStyle w:val="BodyText"/>
      </w:pPr>
      <w:r>
        <w:t xml:space="preserve">UID 251_NCI</w:t>
      </w:r>
    </w:p>
    <w:p>
      <w:pPr>
        <w:pStyle w:val="BodyText"/>
      </w:pPr>
      <w:r>
        <w:t xml:space="preserve">The implementation of self-collection methods for human papillomavirus (HPV) testing has shown promise in improving cervical cancer screening coverage, particularly for medically underserved women. Through the Cervical cancer</w:t>
      </w:r>
      <w:r>
        <w:t xml:space="preserve"> </w:t>
      </w:r>
      <w:r>
        <w:t xml:space="preserve">‘Last Mile’</w:t>
      </w:r>
      <w:r>
        <w:t xml:space="preserve"> </w:t>
      </w:r>
      <w:r>
        <w:t xml:space="preserve">Initiative, a comprehensive approach was undertaken to launch the Self-collection for HPV testing to Improve Cervical Cancer Prevention (SHIP) trial network, which aims to gather data on the viability of this method. Led by NCI, in collaboration with the FDA, BD, Roche, and Abbott, the SHIP trial network seeks to enhance cervical cancer prevention by potentially increasing screening uptake, especially in rural areas. The initiative’s focus on improving health outcomes for underserved populations underscores the commitment to addressing disparities in healthcare access. By exploring innovative methods for HPV testing, this effort contributes to the broader goal of reducing cervical cancer incidence, and its outcomes are anticipated to inform future screening strategies.</w:t>
      </w:r>
      <w:r>
        <w:rPr>
          <w:rStyle w:val="FootnoteReference"/>
        </w:rPr>
        <w:footnoteReference w:id="93"/>
      </w:r>
    </w:p>
    <w:p>
      <w:pPr>
        <w:pStyle w:val="BodyText"/>
      </w:pPr>
      <w:r>
        <w:t xml:space="preserve">UID 255_NCI</w:t>
      </w:r>
    </w:p>
    <w:p>
      <w:pPr>
        <w:pStyle w:val="BodyText"/>
      </w:pPr>
      <w:r>
        <w:t xml:space="preserve">Early interventions through recommended cancer screenings play a critical role in cancer prevention, enabling the detection and treatment of cancers at earlier stages. The Estimated U.S. cancer deaths prevented with increased use of lung, colorectal, breast, and cervical cancer screening activity, led by NCI, with NCI as the submitting institute, and no collaborating ICOs or agencies, has estimated that a modest increase in screening usage could have a significant impact. Specifically, a study from NCI Cancer Intervention and Surveillance Modeling Network found that over 15,000 deaths could be prevented if just 10 percent more of the eligible U.S. population utilized the recommended screening tests for lung, colorectal, breast, and cervical cancers. This underscores the importance of screening in preventing cancer deaths, and highlights the potential benefits of increased screening rates. The findings of this study demonstrate the potential for screening to save lives, and emphasize the need for continued efforts to promote and increase screening rates,.</w:t>
      </w:r>
      <w:r>
        <w:rPr>
          <w:rStyle w:val="FootnoteReference"/>
        </w:rPr>
        <w:footnoteReference w:id="94"/>
      </w:r>
    </w:p>
    <w:p>
      <w:pPr>
        <w:pStyle w:val="BodyText"/>
      </w:pPr>
      <w:r>
        <w:t xml:space="preserve">UID 259_NCI</w:t>
      </w:r>
    </w:p>
    <w:p>
      <w:pPr>
        <w:pStyle w:val="BodyText"/>
      </w:pPr>
      <w:r>
        <w:t xml:space="preserve">The development of national and international guidelines for anal cancer screening in people with HIV has been a significant milestone, as individuals with HIV are at a higher risk for developing anal cancer. A screening program aimed at detecting and treating precancerous growths in the anus has been recommended, based on findings from NCI-supported ANCHOR study, which demonstrated a substantial reduction in the risk of developing anal cancer when precancerous lesions are treated. NCI, in collaboration with NIH Office of AIDS Research, played a crucial role in this effort, with NCI serving as both the submitting and lead ICO. The guidelines, stemming from the</w:t>
      </w:r>
      <w:r>
        <w:t xml:space="preserve"> </w:t>
      </w:r>
      <w:r>
        <w:t xml:space="preserve">“First recommendations for anal cancer screening for people with HIV”</w:t>
      </w:r>
      <w:r>
        <w:t xml:space="preserve"> </w:t>
      </w:r>
      <w:r>
        <w:t xml:space="preserve">activity, have the potential to prevent most cases of anal cancer in this high-risk population. Implementation of these guidelines could have a profound impact on public health, highlighting the importance of early detection and treatment.</w:t>
      </w:r>
      <w:r>
        <w:rPr>
          <w:rStyle w:val="FootnoteReference"/>
        </w:rPr>
        <w:footnoteReference w:id="95"/>
      </w:r>
    </w:p>
    <w:p>
      <w:pPr>
        <w:pStyle w:val="BodyText"/>
      </w:pPr>
      <w:r>
        <w:t xml:space="preserve">UID 319_NIDCR</w:t>
      </w:r>
    </w:p>
    <w:p>
      <w:pPr>
        <w:pStyle w:val="BodyText"/>
      </w:pPr>
      <w:r>
        <w:t xml:space="preserve">Enhanced early detection of head and neck cancers is the primary objective of the Advancing Head and Neck Cancer Early Detection Research (AHEAD) initiative, which supports studies applying molecular, cellular, and multi-omics signatures to clinical studies. This research focuses on distinguishing benign from premalignant lesions and identifying predictive markers of the switch from premalignant to malignant lesions. The AHEAD initiative is led by the NIDCR, in collaboration with NCI, allowing investigators to leverage valuable resources, including NCI’s Early Detection Research Network. By facilitating access to this national hub, AHEAD investigators can enhance their research capabilities, ultimately contributing to improved early cancer detection. The partnership between NIDCR and NCI is crucial to the success of AHEAD, enabling the advancement of head and neck cancer research.</w:t>
      </w:r>
      <w:r>
        <w:rPr>
          <w:rStyle w:val="FootnoteReference"/>
        </w:rPr>
        <w:footnoteReference w:id="96"/>
      </w:r>
    </w:p>
    <w:p>
      <w:pPr>
        <w:pStyle w:val="BodyText"/>
      </w:pPr>
      <w:r>
        <w:t xml:space="preserve">UID 332_NIDCR</w:t>
      </w:r>
    </w:p>
    <w:p>
      <w:pPr>
        <w:pStyle w:val="BodyText"/>
      </w:pPr>
      <w:r>
        <w:t xml:space="preserve">The development of real-time clinical imaging technology has significantly enhanced the early detection of oral cancers, with a notable improvement in the five-year survival rate of up to 80 percent when detected early, compared to about 20 percent for late-stage disease. This advancement is attributed to a portable imaging system that generates an oral cancer risk and biopsy guidance map based on images of a patient’s oral tissues, which is then projected onto the patient’s mouth. The NIDCR, as both the submitting and lead ICO, has spearheaded this effort, with the activity named</w:t>
      </w:r>
      <w:r>
        <w:t xml:space="preserve"> </w:t>
      </w:r>
      <w:r>
        <w:t xml:space="preserve">“Real-time clinical imaging technology to improve early detection of oral cancers”</w:t>
      </w:r>
      <w:r>
        <w:t xml:space="preserve">. This innovative approach assists clinicians in identifying key areas to sample tissues, thereby improving the early detection rate of oral cancers. By providing a more accurate and efficient method for oral cancer screening, this technology has the potential to change the course of disease progression, and its development is a testament to the importance of innovative solutions in healthcare.</w:t>
      </w:r>
      <w:r>
        <w:rPr>
          <w:rStyle w:val="FootnoteReference"/>
        </w:rPr>
        <w:footnoteReference w:id="98"/>
      </w:r>
    </w:p>
    <w:bookmarkEnd w:id="99"/>
    <w:bookmarkStart w:id="101" w:name="tumor-microenvironment-immunology"/>
    <w:p>
      <w:pPr>
        <w:pStyle w:val="Heading2"/>
      </w:pPr>
      <w:r>
        <w:t xml:space="preserve">Tumor Microenvironment &amp; Immunology</w:t>
      </w:r>
    </w:p>
    <w:p>
      <w:pPr>
        <w:pStyle w:val="FirstParagraph"/>
      </w:pPr>
      <w:r>
        <w:t xml:space="preserve">838_NINDS</w:t>
      </w:r>
    </w:p>
    <w:p>
      <w:pPr>
        <w:pStyle w:val="BodyText"/>
      </w:pPr>
      <w:r>
        <w:t xml:space="preserve">UID 838_NINDS</w:t>
      </w:r>
    </w:p>
    <w:p>
      <w:pPr>
        <w:pStyle w:val="BodyText"/>
      </w:pPr>
      <w:r>
        <w:t xml:space="preserve">The discovery of glioblastoma cells acquiring mitochondria from healthy surrounding cells has shed light on the aggressive growth of this fast-growing, hard to treat brain cancer. This basic research study, led by NINDS, in collaboration with NCI and NCATS, has identified a key mechanism behind glioblastoma’s growth, wherein the acquired mitochondria boost energy production in cancer cells, fueling tumor growth. The study, titled</w:t>
      </w:r>
      <w:r>
        <w:t xml:space="preserve"> </w:t>
      </w:r>
      <w:r>
        <w:t xml:space="preserve">“Understanding brain tumor growth”</w:t>
      </w:r>
      <w:r>
        <w:t xml:space="preserve">, has also found that this mitochondrial transfer requires a protein called GAP43, suggesting a potential target for developing new treatments to slow down or stop the aggressive growth of glioblastoma. By uncovering this mechanism, NINDS, with its collaborators, has highlighted a promising avenue for therapeutic intervention. The findings of this study have significant implications for the development of novel treatments for glioblastoma.</w:t>
      </w:r>
      <w:r>
        <w:rPr>
          <w:rStyle w:val="FootnoteReference"/>
        </w:rPr>
        <w:footnoteReference w:id="100"/>
      </w:r>
    </w:p>
    <w:bookmarkEnd w:id="101"/>
    <w:bookmarkStart w:id="102" w:name="acronyms"/>
    <w:p>
      <w:pPr>
        <w:pStyle w:val="Heading2"/>
      </w:pPr>
      <w:r>
        <w:t xml:space="preserve">Acronyms</w:t>
      </w:r>
    </w:p>
    <w:p>
      <w:pPr>
        <w:pStyle w:val="FirstParagraph"/>
      </w:pPr>
      <w:r>
        <w:rPr>
          <w:b/>
          <w:bCs/>
        </w:rPr>
        <w:t xml:space="preserve">AHEAD</w:t>
      </w:r>
      <w:r>
        <w:t xml:space="preserve"> </w:t>
      </w:r>
      <w:r>
        <w:t xml:space="preserve">— Expansion not specified</w:t>
      </w:r>
    </w:p>
    <w:p>
      <w:pPr>
        <w:pStyle w:val="BodyText"/>
      </w:pPr>
      <w:r>
        <w:rPr>
          <w:b/>
          <w:bCs/>
        </w:rPr>
        <w:t xml:space="preserve">AI</w:t>
      </w:r>
      <w:r>
        <w:t xml:space="preserve"> </w:t>
      </w:r>
      <w:r>
        <w:t xml:space="preserve">— Artificial intelligence</w:t>
      </w:r>
    </w:p>
    <w:p>
      <w:pPr>
        <w:pStyle w:val="BodyText"/>
      </w:pPr>
      <w:r>
        <w:rPr>
          <w:b/>
          <w:bCs/>
        </w:rPr>
        <w:t xml:space="preserve">AIDS</w:t>
      </w:r>
      <w:r>
        <w:t xml:space="preserve"> </w:t>
      </w:r>
      <w:r>
        <w:t xml:space="preserve">— Expansion not specified</w:t>
      </w:r>
    </w:p>
    <w:p>
      <w:pPr>
        <w:pStyle w:val="BodyText"/>
      </w:pPr>
      <w:r>
        <w:rPr>
          <w:b/>
          <w:bCs/>
        </w:rPr>
        <w:t xml:space="preserve">ANCHOR</w:t>
      </w:r>
      <w:r>
        <w:t xml:space="preserve"> </w:t>
      </w:r>
      <w:r>
        <w:t xml:space="preserve">— Expansion not specified</w:t>
      </w:r>
    </w:p>
    <w:p>
      <w:pPr>
        <w:pStyle w:val="BodyText"/>
      </w:pPr>
      <w:r>
        <w:rPr>
          <w:b/>
          <w:bCs/>
        </w:rPr>
        <w:t xml:space="preserve">BAP1</w:t>
      </w:r>
      <w:r>
        <w:t xml:space="preserve"> </w:t>
      </w:r>
      <w:r>
        <w:t xml:space="preserve">— Expansion not specified</w:t>
      </w:r>
    </w:p>
    <w:p>
      <w:pPr>
        <w:pStyle w:val="BodyText"/>
      </w:pPr>
      <w:r>
        <w:rPr>
          <w:b/>
          <w:bCs/>
        </w:rPr>
        <w:t xml:space="preserve">BBIO-10203</w:t>
      </w:r>
      <w:r>
        <w:t xml:space="preserve"> </w:t>
      </w:r>
      <w:r>
        <w:t xml:space="preserve">— Expansion not specified</w:t>
      </w:r>
    </w:p>
    <w:p>
      <w:pPr>
        <w:pStyle w:val="BodyText"/>
      </w:pPr>
      <w:r>
        <w:rPr>
          <w:b/>
          <w:bCs/>
        </w:rPr>
        <w:t xml:space="preserve">BBO-8520</w:t>
      </w:r>
      <w:r>
        <w:t xml:space="preserve"> </w:t>
      </w:r>
      <w:r>
        <w:t xml:space="preserve">— Expansion not specified</w:t>
      </w:r>
    </w:p>
    <w:p>
      <w:pPr>
        <w:pStyle w:val="BodyText"/>
      </w:pPr>
      <w:r>
        <w:rPr>
          <w:b/>
          <w:bCs/>
        </w:rPr>
        <w:t xml:space="preserve">BD</w:t>
      </w:r>
      <w:r>
        <w:t xml:space="preserve"> </w:t>
      </w:r>
      <w:r>
        <w:t xml:space="preserve">— Expansion not specified</w:t>
      </w:r>
    </w:p>
    <w:p>
      <w:pPr>
        <w:pStyle w:val="BodyText"/>
      </w:pPr>
      <w:r>
        <w:rPr>
          <w:b/>
          <w:bCs/>
        </w:rPr>
        <w:t xml:space="preserve">BE</w:t>
      </w:r>
      <w:r>
        <w:t xml:space="preserve"> </w:t>
      </w:r>
      <w:r>
        <w:t xml:space="preserve">— Expansion not specified</w:t>
      </w:r>
    </w:p>
    <w:p>
      <w:pPr>
        <w:pStyle w:val="BodyText"/>
      </w:pPr>
      <w:r>
        <w:rPr>
          <w:b/>
          <w:bCs/>
        </w:rPr>
        <w:t xml:space="preserve">BEBP</w:t>
      </w:r>
      <w:r>
        <w:t xml:space="preserve"> </w:t>
      </w:r>
      <w:r>
        <w:t xml:space="preserve">— Expansion not specified</w:t>
      </w:r>
    </w:p>
    <w:p>
      <w:pPr>
        <w:pStyle w:val="BodyText"/>
      </w:pPr>
      <w:r>
        <w:rPr>
          <w:b/>
          <w:bCs/>
        </w:rPr>
        <w:t xml:space="preserve">BRCA</w:t>
      </w:r>
      <w:r>
        <w:t xml:space="preserve"> </w:t>
      </w:r>
      <w:r>
        <w:t xml:space="preserve">— Expansion not specified</w:t>
      </w:r>
    </w:p>
    <w:p>
      <w:pPr>
        <w:pStyle w:val="BodyText"/>
      </w:pPr>
      <w:r>
        <w:rPr>
          <w:b/>
          <w:bCs/>
        </w:rPr>
        <w:t xml:space="preserve">BRCA1</w:t>
      </w:r>
      <w:r>
        <w:t xml:space="preserve"> </w:t>
      </w:r>
      <w:r>
        <w:t xml:space="preserve">— Expansion not specified</w:t>
      </w:r>
    </w:p>
    <w:p>
      <w:pPr>
        <w:pStyle w:val="BodyText"/>
      </w:pPr>
      <w:r>
        <w:rPr>
          <w:b/>
          <w:bCs/>
        </w:rPr>
        <w:t xml:space="preserve">CAF</w:t>
      </w:r>
      <w:r>
        <w:t xml:space="preserve"> </w:t>
      </w:r>
      <w:r>
        <w:t xml:space="preserve">— Expansion not specified</w:t>
      </w:r>
    </w:p>
    <w:p>
      <w:pPr>
        <w:pStyle w:val="BodyText"/>
      </w:pPr>
      <w:r>
        <w:rPr>
          <w:b/>
          <w:bCs/>
        </w:rPr>
        <w:t xml:space="preserve">CAR</w:t>
      </w:r>
      <w:r>
        <w:t xml:space="preserve"> </w:t>
      </w:r>
      <w:r>
        <w:t xml:space="preserve">— Expansion not specified</w:t>
      </w:r>
    </w:p>
    <w:p>
      <w:pPr>
        <w:pStyle w:val="BodyText"/>
      </w:pPr>
      <w:r>
        <w:rPr>
          <w:b/>
          <w:bCs/>
        </w:rPr>
        <w:t xml:space="preserve">CAR-NK</w:t>
      </w:r>
      <w:r>
        <w:t xml:space="preserve"> </w:t>
      </w:r>
      <w:r>
        <w:t xml:space="preserve">— Expansion not specified</w:t>
      </w:r>
    </w:p>
    <w:p>
      <w:pPr>
        <w:pStyle w:val="BodyText"/>
      </w:pPr>
      <w:r>
        <w:rPr>
          <w:b/>
          <w:bCs/>
        </w:rPr>
        <w:t xml:space="preserve">CC</w:t>
      </w:r>
      <w:r>
        <w:t xml:space="preserve"> </w:t>
      </w:r>
      <w:r>
        <w:t xml:space="preserve">— Expansion not specified</w:t>
      </w:r>
    </w:p>
    <w:p>
      <w:pPr>
        <w:pStyle w:val="BodyText"/>
      </w:pPr>
      <w:r>
        <w:rPr>
          <w:b/>
          <w:bCs/>
        </w:rPr>
        <w:t xml:space="preserve">CC-BCES</w:t>
      </w:r>
      <w:r>
        <w:t xml:space="preserve"> </w:t>
      </w:r>
      <w:r>
        <w:t xml:space="preserve">— Expansion not specified</w:t>
      </w:r>
    </w:p>
    <w:p>
      <w:pPr>
        <w:pStyle w:val="BodyText"/>
      </w:pPr>
      <w:r>
        <w:rPr>
          <w:b/>
          <w:bCs/>
        </w:rPr>
        <w:t xml:space="preserve">CD8</w:t>
      </w:r>
      <w:r>
        <w:t xml:space="preserve"> </w:t>
      </w:r>
      <w:r>
        <w:t xml:space="preserve">— Expansion not specified</w:t>
      </w:r>
    </w:p>
    <w:p>
      <w:pPr>
        <w:pStyle w:val="BodyText"/>
      </w:pPr>
      <w:r>
        <w:rPr>
          <w:b/>
          <w:bCs/>
        </w:rPr>
        <w:t xml:space="preserve">CDC</w:t>
      </w:r>
      <w:r>
        <w:t xml:space="preserve"> </w:t>
      </w:r>
      <w:r>
        <w:t xml:space="preserve">— Expansion not specified</w:t>
      </w:r>
    </w:p>
    <w:p>
      <w:pPr>
        <w:pStyle w:val="BodyText"/>
      </w:pPr>
      <w:r>
        <w:rPr>
          <w:b/>
          <w:bCs/>
        </w:rPr>
        <w:t xml:space="preserve">CHOP</w:t>
      </w:r>
      <w:r>
        <w:t xml:space="preserve"> </w:t>
      </w:r>
      <w:r>
        <w:t xml:space="preserve">— Expansion not specified</w:t>
      </w:r>
    </w:p>
    <w:p>
      <w:pPr>
        <w:pStyle w:val="BodyText"/>
      </w:pPr>
      <w:r>
        <w:rPr>
          <w:b/>
          <w:bCs/>
        </w:rPr>
        <w:t xml:space="preserve">COVID-19</w:t>
      </w:r>
      <w:r>
        <w:t xml:space="preserve"> </w:t>
      </w:r>
      <w:r>
        <w:t xml:space="preserve">— Expansion not specified</w:t>
      </w:r>
    </w:p>
    <w:p>
      <w:pPr>
        <w:pStyle w:val="BodyText"/>
      </w:pPr>
      <w:r>
        <w:rPr>
          <w:b/>
          <w:bCs/>
        </w:rPr>
        <w:t xml:space="preserve">CRDC</w:t>
      </w:r>
      <w:r>
        <w:t xml:space="preserve"> </w:t>
      </w:r>
      <w:r>
        <w:t xml:space="preserve">— Expansion not specified</w:t>
      </w:r>
    </w:p>
    <w:p>
      <w:pPr>
        <w:pStyle w:val="BodyText"/>
      </w:pPr>
      <w:r>
        <w:rPr>
          <w:b/>
          <w:bCs/>
        </w:rPr>
        <w:t xml:space="preserve">CT</w:t>
      </w:r>
      <w:r>
        <w:t xml:space="preserve"> </w:t>
      </w:r>
      <w:r>
        <w:t xml:space="preserve">— Expansion not specified</w:t>
      </w:r>
    </w:p>
    <w:p>
      <w:pPr>
        <w:pStyle w:val="BodyText"/>
      </w:pPr>
      <w:r>
        <w:rPr>
          <w:b/>
          <w:bCs/>
        </w:rPr>
        <w:t xml:space="preserve">CYTALUX</w:t>
      </w:r>
      <w:r>
        <w:t xml:space="preserve"> </w:t>
      </w:r>
      <w:r>
        <w:t xml:space="preserve">— Expansion not specified</w:t>
      </w:r>
    </w:p>
    <w:p>
      <w:pPr>
        <w:pStyle w:val="BodyText"/>
      </w:pPr>
      <w:r>
        <w:rPr>
          <w:b/>
          <w:bCs/>
        </w:rPr>
        <w:t xml:space="preserve">DNA</w:t>
      </w:r>
      <w:r>
        <w:t xml:space="preserve"> </w:t>
      </w:r>
      <w:r>
        <w:t xml:space="preserve">— Expansion not specified</w:t>
      </w:r>
    </w:p>
    <w:p>
      <w:pPr>
        <w:pStyle w:val="BodyText"/>
      </w:pPr>
      <w:r>
        <w:rPr>
          <w:b/>
          <w:bCs/>
        </w:rPr>
        <w:t xml:space="preserve">DOD</w:t>
      </w:r>
      <w:r>
        <w:t xml:space="preserve"> </w:t>
      </w:r>
      <w:r>
        <w:t xml:space="preserve">— Expansion not specified</w:t>
      </w:r>
    </w:p>
    <w:p>
      <w:pPr>
        <w:pStyle w:val="BodyText"/>
      </w:pPr>
      <w:r>
        <w:rPr>
          <w:b/>
          <w:bCs/>
        </w:rPr>
        <w:t xml:space="preserve">DPCPSI</w:t>
      </w:r>
      <w:r>
        <w:t xml:space="preserve"> </w:t>
      </w:r>
      <w:r>
        <w:t xml:space="preserve">— Expansion not specified</w:t>
      </w:r>
    </w:p>
    <w:p>
      <w:pPr>
        <w:pStyle w:val="BodyText"/>
      </w:pPr>
      <w:r>
        <w:rPr>
          <w:b/>
          <w:bCs/>
        </w:rPr>
        <w:t xml:space="preserve">DPCPSI-THRO</w:t>
      </w:r>
      <w:r>
        <w:t xml:space="preserve"> </w:t>
      </w:r>
      <w:r>
        <w:t xml:space="preserve">— Expansion not specified</w:t>
      </w:r>
    </w:p>
    <w:p>
      <w:pPr>
        <w:pStyle w:val="BodyText"/>
      </w:pPr>
      <w:r>
        <w:rPr>
          <w:b/>
          <w:bCs/>
        </w:rPr>
        <w:t xml:space="preserve">EAC</w:t>
      </w:r>
      <w:r>
        <w:t xml:space="preserve"> </w:t>
      </w:r>
      <w:r>
        <w:t xml:space="preserve">— Expansion not specified</w:t>
      </w:r>
    </w:p>
    <w:p>
      <w:pPr>
        <w:pStyle w:val="BodyText"/>
      </w:pPr>
      <w:r>
        <w:rPr>
          <w:b/>
          <w:bCs/>
        </w:rPr>
        <w:t xml:space="preserve">ERK</w:t>
      </w:r>
      <w:r>
        <w:t xml:space="preserve"> </w:t>
      </w:r>
      <w:r>
        <w:t xml:space="preserve">— Expansion not specified</w:t>
      </w:r>
    </w:p>
    <w:p>
      <w:pPr>
        <w:pStyle w:val="BodyText"/>
      </w:pPr>
      <w:r>
        <w:rPr>
          <w:b/>
          <w:bCs/>
        </w:rPr>
        <w:t xml:space="preserve">ETV6</w:t>
      </w:r>
      <w:r>
        <w:t xml:space="preserve"> </w:t>
      </w:r>
      <w:r>
        <w:t xml:space="preserve">— Expansion not specified</w:t>
      </w:r>
    </w:p>
    <w:p>
      <w:pPr>
        <w:pStyle w:val="BodyText"/>
      </w:pPr>
      <w:r>
        <w:rPr>
          <w:b/>
          <w:bCs/>
        </w:rPr>
        <w:t xml:space="preserve">FDA</w:t>
      </w:r>
      <w:r>
        <w:t xml:space="preserve"> </w:t>
      </w:r>
      <w:r>
        <w:t xml:space="preserve">— Expansion not specified</w:t>
      </w:r>
    </w:p>
    <w:p>
      <w:pPr>
        <w:pStyle w:val="BodyText"/>
      </w:pPr>
      <w:r>
        <w:rPr>
          <w:b/>
          <w:bCs/>
        </w:rPr>
        <w:t xml:space="preserve">G12C</w:t>
      </w:r>
      <w:r>
        <w:t xml:space="preserve"> </w:t>
      </w:r>
      <w:r>
        <w:t xml:space="preserve">— Expansion not specified</w:t>
      </w:r>
    </w:p>
    <w:p>
      <w:pPr>
        <w:pStyle w:val="BodyText"/>
      </w:pPr>
      <w:r>
        <w:rPr>
          <w:b/>
          <w:bCs/>
        </w:rPr>
        <w:t xml:space="preserve">GAP43</w:t>
      </w:r>
      <w:r>
        <w:t xml:space="preserve"> </w:t>
      </w:r>
      <w:r>
        <w:t xml:space="preserve">— Expansion not specified</w:t>
      </w:r>
    </w:p>
    <w:p>
      <w:pPr>
        <w:pStyle w:val="BodyText"/>
      </w:pPr>
      <w:r>
        <w:rPr>
          <w:b/>
          <w:bCs/>
        </w:rPr>
        <w:t xml:space="preserve">HHS</w:t>
      </w:r>
      <w:r>
        <w:t xml:space="preserve"> </w:t>
      </w:r>
      <w:r>
        <w:t xml:space="preserve">— Expansion not specified</w:t>
      </w:r>
    </w:p>
    <w:p>
      <w:pPr>
        <w:pStyle w:val="BodyText"/>
      </w:pPr>
      <w:r>
        <w:rPr>
          <w:b/>
          <w:bCs/>
        </w:rPr>
        <w:t xml:space="preserve">HIV</w:t>
      </w:r>
      <w:r>
        <w:t xml:space="preserve"> </w:t>
      </w:r>
      <w:r>
        <w:t xml:space="preserve">— Expansion not specified</w:t>
      </w:r>
    </w:p>
    <w:p>
      <w:pPr>
        <w:pStyle w:val="BodyText"/>
      </w:pPr>
      <w:r>
        <w:rPr>
          <w:b/>
          <w:bCs/>
        </w:rPr>
        <w:t xml:space="preserve">HPV</w:t>
      </w:r>
      <w:r>
        <w:t xml:space="preserve"> </w:t>
      </w:r>
      <w:r>
        <w:t xml:space="preserve">— Expansion not specified</w:t>
      </w:r>
    </w:p>
    <w:p>
      <w:pPr>
        <w:pStyle w:val="BodyText"/>
      </w:pPr>
      <w:r>
        <w:rPr>
          <w:b/>
          <w:bCs/>
        </w:rPr>
        <w:t xml:space="preserve">HRSA</w:t>
      </w:r>
      <w:r>
        <w:t xml:space="preserve"> </w:t>
      </w:r>
      <w:r>
        <w:t xml:space="preserve">— Expansion not specified</w:t>
      </w:r>
    </w:p>
    <w:p>
      <w:pPr>
        <w:pStyle w:val="BodyText"/>
      </w:pPr>
      <w:r>
        <w:rPr>
          <w:b/>
          <w:bCs/>
        </w:rPr>
        <w:t xml:space="preserve">IDH1</w:t>
      </w:r>
      <w:r>
        <w:t xml:space="preserve"> </w:t>
      </w:r>
      <w:r>
        <w:t xml:space="preserve">— Expansion not specified</w:t>
      </w:r>
    </w:p>
    <w:p>
      <w:pPr>
        <w:pStyle w:val="BodyText"/>
      </w:pPr>
      <w:r>
        <w:rPr>
          <w:b/>
          <w:bCs/>
        </w:rPr>
        <w:t xml:space="preserve">III</w:t>
      </w:r>
      <w:r>
        <w:t xml:space="preserve"> </w:t>
      </w:r>
      <w:r>
        <w:t xml:space="preserve">— Expansion not specified</w:t>
      </w:r>
    </w:p>
    <w:p>
      <w:pPr>
        <w:pStyle w:val="BodyText"/>
      </w:pPr>
      <w:r>
        <w:rPr>
          <w:b/>
          <w:bCs/>
        </w:rPr>
        <w:t xml:space="preserve">KRAS</w:t>
      </w:r>
      <w:r>
        <w:t xml:space="preserve"> </w:t>
      </w:r>
      <w:r>
        <w:t xml:space="preserve">— Expansion not specified</w:t>
      </w:r>
    </w:p>
    <w:p>
      <w:pPr>
        <w:pStyle w:val="BodyText"/>
      </w:pPr>
      <w:r>
        <w:rPr>
          <w:b/>
          <w:bCs/>
        </w:rPr>
        <w:t xml:space="preserve">MIDRC</w:t>
      </w:r>
      <w:r>
        <w:t xml:space="preserve"> </w:t>
      </w:r>
      <w:r>
        <w:t xml:space="preserve">— Expansion not specified</w:t>
      </w:r>
    </w:p>
    <w:p>
      <w:pPr>
        <w:pStyle w:val="BodyText"/>
      </w:pPr>
      <w:r>
        <w:rPr>
          <w:b/>
          <w:bCs/>
        </w:rPr>
        <w:t xml:space="preserve">MRI</w:t>
      </w:r>
      <w:r>
        <w:t xml:space="preserve"> </w:t>
      </w:r>
      <w:r>
        <w:t xml:space="preserve">— Expansion not specified</w:t>
      </w:r>
    </w:p>
    <w:p>
      <w:pPr>
        <w:pStyle w:val="BodyText"/>
      </w:pPr>
      <w:r>
        <w:rPr>
          <w:b/>
          <w:bCs/>
        </w:rPr>
        <w:t xml:space="preserve">NIDCR</w:t>
      </w:r>
      <w:r>
        <w:t xml:space="preserve"> </w:t>
      </w:r>
      <w:r>
        <w:t xml:space="preserve">— Expansion not specified</w:t>
      </w:r>
    </w:p>
    <w:p>
      <w:pPr>
        <w:pStyle w:val="BodyText"/>
      </w:pPr>
      <w:r>
        <w:rPr>
          <w:b/>
          <w:bCs/>
        </w:rPr>
        <w:t xml:space="preserve">NIMHD</w:t>
      </w:r>
      <w:r>
        <w:t xml:space="preserve"> </w:t>
      </w:r>
      <w:r>
        <w:t xml:space="preserve">— Expansion not specified</w:t>
      </w:r>
    </w:p>
    <w:p>
      <w:pPr>
        <w:pStyle w:val="BodyText"/>
      </w:pPr>
      <w:r>
        <w:rPr>
          <w:b/>
          <w:bCs/>
        </w:rPr>
        <w:t xml:space="preserve">NSCLC</w:t>
      </w:r>
      <w:r>
        <w:t xml:space="preserve"> </w:t>
      </w:r>
      <w:r>
        <w:t xml:space="preserve">— Expansion not specified</w:t>
      </w:r>
    </w:p>
    <w:p>
      <w:pPr>
        <w:pStyle w:val="BodyText"/>
      </w:pPr>
      <w:r>
        <w:rPr>
          <w:b/>
          <w:bCs/>
        </w:rPr>
        <w:t xml:space="preserve">NUTR</w:t>
      </w:r>
      <w:r>
        <w:t xml:space="preserve"> </w:t>
      </w:r>
      <w:r>
        <w:t xml:space="preserve">— Expansion not specified</w:t>
      </w:r>
    </w:p>
    <w:p>
      <w:pPr>
        <w:pStyle w:val="BodyText"/>
      </w:pPr>
      <w:r>
        <w:rPr>
          <w:b/>
          <w:bCs/>
        </w:rPr>
        <w:t xml:space="preserve">ODP</w:t>
      </w:r>
      <w:r>
        <w:t xml:space="preserve"> </w:t>
      </w:r>
      <w:r>
        <w:t xml:space="preserve">— Expansion not specified</w:t>
      </w:r>
    </w:p>
    <w:p>
      <w:pPr>
        <w:pStyle w:val="BodyText"/>
      </w:pPr>
      <w:r>
        <w:rPr>
          <w:b/>
          <w:bCs/>
        </w:rPr>
        <w:t xml:space="preserve">ONR</w:t>
      </w:r>
      <w:r>
        <w:t xml:space="preserve"> </w:t>
      </w:r>
      <w:r>
        <w:t xml:space="preserve">— Expansion not specified</w:t>
      </w:r>
    </w:p>
    <w:p>
      <w:pPr>
        <w:pStyle w:val="BodyText"/>
      </w:pPr>
      <w:r>
        <w:rPr>
          <w:b/>
          <w:bCs/>
        </w:rPr>
        <w:t xml:space="preserve">ORWH</w:t>
      </w:r>
      <w:r>
        <w:t xml:space="preserve"> </w:t>
      </w:r>
      <w:r>
        <w:t xml:space="preserve">— Expansion not specified</w:t>
      </w:r>
    </w:p>
    <w:p>
      <w:pPr>
        <w:pStyle w:val="BodyText"/>
      </w:pPr>
      <w:r>
        <w:rPr>
          <w:b/>
          <w:bCs/>
        </w:rPr>
        <w:t xml:space="preserve">OSC</w:t>
      </w:r>
      <w:r>
        <w:t xml:space="preserve"> </w:t>
      </w:r>
      <w:r>
        <w:t xml:space="preserve">— Office of Strategic Coordination</w:t>
      </w:r>
    </w:p>
    <w:p>
      <w:pPr>
        <w:pStyle w:val="BodyText"/>
      </w:pPr>
      <w:r>
        <w:rPr>
          <w:b/>
          <w:bCs/>
        </w:rPr>
        <w:t xml:space="preserve">PARP</w:t>
      </w:r>
      <w:r>
        <w:t xml:space="preserve"> </w:t>
      </w:r>
      <w:r>
        <w:t xml:space="preserve">— Expansion not specified</w:t>
      </w:r>
    </w:p>
    <w:p>
      <w:pPr>
        <w:pStyle w:val="BodyText"/>
      </w:pPr>
      <w:r>
        <w:rPr>
          <w:b/>
          <w:bCs/>
        </w:rPr>
        <w:t xml:space="preserve">PDAC</w:t>
      </w:r>
      <w:r>
        <w:t xml:space="preserve"> </w:t>
      </w:r>
      <w:r>
        <w:t xml:space="preserve">— Expansion not specified</w:t>
      </w:r>
    </w:p>
    <w:p>
      <w:pPr>
        <w:pStyle w:val="BodyText"/>
      </w:pPr>
      <w:r>
        <w:rPr>
          <w:b/>
          <w:bCs/>
        </w:rPr>
        <w:t xml:space="preserve">PET</w:t>
      </w:r>
      <w:r>
        <w:t xml:space="preserve"> </w:t>
      </w:r>
      <w:r>
        <w:t xml:space="preserve">— Expansion not specified</w:t>
      </w:r>
    </w:p>
    <w:p>
      <w:pPr>
        <w:pStyle w:val="BodyText"/>
      </w:pPr>
      <w:r>
        <w:rPr>
          <w:b/>
          <w:bCs/>
        </w:rPr>
        <w:t xml:space="preserve">PROSPECT</w:t>
      </w:r>
      <w:r>
        <w:t xml:space="preserve"> </w:t>
      </w:r>
      <w:r>
        <w:t xml:space="preserve">— Expansion not specified</w:t>
      </w:r>
    </w:p>
    <w:p>
      <w:pPr>
        <w:pStyle w:val="BodyText"/>
      </w:pPr>
      <w:r>
        <w:rPr>
          <w:b/>
          <w:bCs/>
        </w:rPr>
        <w:t xml:space="preserve">RAS</w:t>
      </w:r>
      <w:r>
        <w:t xml:space="preserve"> </w:t>
      </w:r>
      <w:r>
        <w:t xml:space="preserve">— Expansion not specified</w:t>
      </w:r>
    </w:p>
    <w:p>
      <w:pPr>
        <w:pStyle w:val="BodyText"/>
      </w:pPr>
      <w:r>
        <w:rPr>
          <w:b/>
          <w:bCs/>
        </w:rPr>
        <w:t xml:space="preserve">RNA</w:t>
      </w:r>
      <w:r>
        <w:t xml:space="preserve"> </w:t>
      </w:r>
      <w:r>
        <w:t xml:space="preserve">— Expansion not specified</w:t>
      </w:r>
    </w:p>
    <w:p>
      <w:pPr>
        <w:pStyle w:val="BodyText"/>
      </w:pPr>
      <w:r>
        <w:rPr>
          <w:b/>
          <w:bCs/>
        </w:rPr>
        <w:t xml:space="preserve">SBIR</w:t>
      </w:r>
      <w:r>
        <w:t xml:space="preserve"> </w:t>
      </w:r>
      <w:r>
        <w:t xml:space="preserve">— Expansion not specified</w:t>
      </w:r>
    </w:p>
    <w:p>
      <w:pPr>
        <w:pStyle w:val="BodyText"/>
      </w:pPr>
      <w:r>
        <w:rPr>
          <w:b/>
          <w:bCs/>
        </w:rPr>
        <w:t xml:space="preserve">SEEP</w:t>
      </w:r>
      <w:r>
        <w:t xml:space="preserve"> </w:t>
      </w:r>
      <w:r>
        <w:t xml:space="preserve">— Expansion not specified</w:t>
      </w:r>
    </w:p>
    <w:p>
      <w:pPr>
        <w:pStyle w:val="BodyText"/>
      </w:pPr>
      <w:r>
        <w:rPr>
          <w:b/>
          <w:bCs/>
        </w:rPr>
        <w:t xml:space="preserve">SHIP</w:t>
      </w:r>
      <w:r>
        <w:t xml:space="preserve"> </w:t>
      </w:r>
      <w:r>
        <w:t xml:space="preserve">— Expansion not specified</w:t>
      </w:r>
    </w:p>
    <w:p>
      <w:pPr>
        <w:pStyle w:val="BodyText"/>
      </w:pPr>
      <w:r>
        <w:rPr>
          <w:b/>
          <w:bCs/>
        </w:rPr>
        <w:t xml:space="preserve">THRO</w:t>
      </w:r>
      <w:r>
        <w:t xml:space="preserve"> </w:t>
      </w:r>
      <w:r>
        <w:t xml:space="preserve">— Expansion not specified</w:t>
      </w:r>
    </w:p>
    <w:p>
      <w:pPr>
        <w:pStyle w:val="BodyText"/>
      </w:pPr>
      <w:r>
        <w:rPr>
          <w:b/>
          <w:bCs/>
        </w:rPr>
        <w:t xml:space="preserve">TK6</w:t>
      </w:r>
      <w:r>
        <w:t xml:space="preserve"> </w:t>
      </w:r>
      <w:r>
        <w:t xml:space="preserve">— Human TK6 lymphoblastoid cell line</w:t>
      </w:r>
    </w:p>
    <w:p>
      <w:pPr>
        <w:pStyle w:val="BodyText"/>
      </w:pPr>
      <w:r>
        <w:rPr>
          <w:b/>
          <w:bCs/>
        </w:rPr>
        <w:t xml:space="preserve">TPDS</w:t>
      </w:r>
      <w:r>
        <w:t xml:space="preserve"> </w:t>
      </w:r>
      <w:r>
        <w:t xml:space="preserve">— Expansion not specified</w:t>
      </w:r>
    </w:p>
    <w:p>
      <w:pPr>
        <w:pStyle w:val="BodyText"/>
      </w:pPr>
      <w:r>
        <w:rPr>
          <w:b/>
          <w:bCs/>
        </w:rPr>
        <w:t xml:space="preserve">VA</w:t>
      </w:r>
      <w:r>
        <w:t xml:space="preserve"> </w:t>
      </w:r>
      <w:r>
        <w:t xml:space="preserve">— Expansion not specified</w:t>
      </w:r>
    </w:p>
    <w:bookmarkEnd w:id="102"/>
    <w:bookmarkStart w:id="103" w:name="references"/>
    <w:p>
      <w:pPr>
        <w:pStyle w:val="Heading2"/>
      </w:pPr>
      <w:r>
        <w:t xml:space="preserve">References</w:t>
      </w:r>
    </w:p>
    <w:p>
      <w:pPr>
        <w:pStyle w:val="FirstParagraph"/>
      </w:pPr>
      <w:r>
        <w:t xml:space="preserve">1 Jha A, Patel M, Ling A, Shah R, Chen CC, Millo C, et al. Diagnostic performance of [. Eur Radiol. 2024 Oct 16;34(10):6488-6498. doi: 10.1007/s00330-024-10652-4. PMID: 38625612.</w:t>
      </w:r>
    </w:p>
    <w:p>
      <w:pPr>
        <w:pStyle w:val="BodyText"/>
      </w:pPr>
      <w:r>
        <w:t xml:space="preserve">2 Lebensohn A, Ghafoor A, Bloomquist L, Royer MC, Castelo-Soccio L, Karacki K, et al. Multiple Onychopapillomas and BAP1 Tumor Predisposition Syndrome. JAMA Dermatol. 2024 Aug 01;160(8):838-845. doi: 10.1001/jamadermatol.2024.1804. PMID: 38759225.</w:t>
      </w:r>
    </w:p>
    <w:p>
      <w:pPr>
        <w:pStyle w:val="BodyText"/>
      </w:pPr>
      <w:r>
        <w:t xml:space="preserve">3 Reinhold WC, Wilson K, Elloumi F, Bradwell KR, Ceribelli M, Varma S, et al. CellMinerCDB: NCATS Is a Web-Based Portal Integrating Public Cancer Cell Line Databases for Pharmacogenomic Explorations. Cancer Res. 2023 Jun 15;83(12):1941-1952. doi: 10.1158/0008-5472.CAN-22-2996. PMID: 37140427.</w:t>
      </w:r>
    </w:p>
    <w:p>
      <w:pPr>
        <w:pStyle w:val="BodyText"/>
      </w:pPr>
      <w:r>
        <w:t xml:space="preserve">4 Garman KS, Purkayastha BPD, Hogue JA, Fecteau R, BETRNet CONSORTIUM, Guda K, et al. Genetic Defect in Submucosal Gland-Associated Caveolin-3: A New Paradigm in Esophageal Adenocarcinoma Risk. Gastroenterology. 2023 Dec 01;165(6):1561-1564.e3. doi: 10.1053/j.gastro.2023.08.039. PMID: 37659676.</w:t>
      </w:r>
    </w:p>
    <w:p>
      <w:pPr>
        <w:pStyle w:val="BodyText"/>
      </w:pPr>
      <w:r>
        <w:t xml:space="preserve">5 Weiss JM, Hunter MV, Cruz NM, Baggiolini A, Tagore M, Ma Y, et al. Anatomic position determines oncogenic specificity in melanoma. Nature. 2022 Apr 30;604(7905):354-361. doi: 10.1038/s41586-022-04584-6. PMID: 35355015.</w:t>
      </w:r>
    </w:p>
    <w:p>
      <w:pPr>
        <w:pStyle w:val="BodyText"/>
      </w:pPr>
      <w:r>
        <w:t xml:space="preserve">6</w:t>
      </w:r>
      <w:r>
        <w:t xml:space="preserve"> </w:t>
      </w:r>
      <w:hyperlink r:id="rId28">
        <w:r>
          <w:rPr>
            <w:rStyle w:val="Hyperlink"/>
          </w:rPr>
          <w:t xml:space="preserve">https://datacommons.cancer.gov/cloud-resources</w:t>
        </w:r>
      </w:hyperlink>
    </w:p>
    <w:p>
      <w:pPr>
        <w:pStyle w:val="BodyText"/>
      </w:pPr>
      <w:r>
        <w:t xml:space="preserve">7</w:t>
      </w:r>
      <w:r>
        <w:t xml:space="preserve"> </w:t>
      </w:r>
      <w:hyperlink r:id="rId30">
        <w:r>
          <w:rPr>
            <w:rStyle w:val="Hyperlink"/>
          </w:rPr>
          <w:t xml:space="preserve">https://progressreport.cancer.gov</w:t>
        </w:r>
      </w:hyperlink>
    </w:p>
    <w:p>
      <w:pPr>
        <w:pStyle w:val="BodyText"/>
      </w:pPr>
      <w:r>
        <w:t xml:space="preserve">8</w:t>
      </w:r>
      <w:r>
        <w:t xml:space="preserve"> </w:t>
      </w:r>
      <w:hyperlink r:id="rId32">
        <w:r>
          <w:rPr>
            <w:rStyle w:val="Hyperlink"/>
          </w:rPr>
          <w:t xml:space="preserve">https://www.cancer.gov/research/infrastructure/clinical-trials/ctiu</w:t>
        </w:r>
      </w:hyperlink>
    </w:p>
    <w:p>
      <w:pPr>
        <w:pStyle w:val="BodyText"/>
      </w:pPr>
      <w:r>
        <w:t xml:space="preserve">9 Klomp JE, Diehl JN, Klomp JA, Edwards AC, Yang R, Morales AJ, et al. Determining the ERK-regulated phosphoproteome driving KRAS-mutant cancer. Science. 2024 Jun 07;384(6700):eadk0850. doi: 10.1126/science.adk0850. PMID: 38843329.</w:t>
      </w:r>
    </w:p>
    <w:p>
      <w:pPr>
        <w:pStyle w:val="BodyText"/>
      </w:pPr>
      <w:r>
        <w:t xml:space="preserve">10</w:t>
      </w:r>
      <w:r>
        <w:t xml:space="preserve"> </w:t>
      </w:r>
      <w:hyperlink r:id="rId35">
        <w:r>
          <w:rPr>
            <w:rStyle w:val="Hyperlink"/>
          </w:rPr>
          <w:t xml:space="preserve">https://www.cancer.gov/research/leading-progress/stories/cytalux</w:t>
        </w:r>
      </w:hyperlink>
    </w:p>
    <w:p>
      <w:pPr>
        <w:pStyle w:val="BodyText"/>
      </w:pPr>
      <w:r>
        <w:t xml:space="preserve">11 Lu DY, Ellegast JM, Ross KN, Malone CF, Lin S, Mabe NW, et al. The ETS transcription factor ETV6 constrains the transcriptional activity of EWS-FLI to promote Ewing sarcoma. Nat Cell Biol. 2023 Feb 19;25(2):285-297. doi: 10.1038/s41556-022-01059-8. PMID: 36658220.</w:t>
      </w:r>
    </w:p>
    <w:p>
      <w:pPr>
        <w:pStyle w:val="BodyText"/>
      </w:pPr>
      <w:r>
        <w:t xml:space="preserve">12 Wang R, Song S, Qin J, Yoshimura K, Peng F, Chu Y, et al. Evolution of immune and stromal cell states and ecotypes during gastric adenocarcinoma progression. Cancer Cell. 2023 Aug 14;41(8):1407-1426.e9. doi: 10.1016/j.ccell.2023.06.005. PMID: 37419119.</w:t>
      </w:r>
    </w:p>
    <w:p>
      <w:pPr>
        <w:pStyle w:val="BodyText"/>
      </w:pPr>
      <w:r>
        <w:t xml:space="preserve">13 Houlahan KE, Khan A, Greenwald NF, Vivas CS, West RB, Angelo M, et al. Germline-mediated immunoediting sculpts breast cancer subtypes and metastatic proclivity. Science. 2024 May 31;384(6699):eadh8697. doi: 10.1126/science.adh8697. PMID: 38815010.</w:t>
      </w:r>
    </w:p>
    <w:p>
      <w:pPr>
        <w:pStyle w:val="BodyText"/>
      </w:pPr>
      <w:r>
        <w:t xml:space="preserve">14</w:t>
      </w:r>
      <w:r>
        <w:t xml:space="preserve"> </w:t>
      </w:r>
      <w:hyperlink r:id="rId40">
        <w:r>
          <w:rPr>
            <w:rStyle w:val="Hyperlink"/>
          </w:rPr>
          <w:t xml:space="preserve">https://prevention.cancer.gov/major-programs/cancer-screening-research-network-csrn</w:t>
        </w:r>
      </w:hyperlink>
    </w:p>
    <w:p>
      <w:pPr>
        <w:pStyle w:val="BodyText"/>
      </w:pPr>
      <w:r>
        <w:t xml:space="preserve">15 Melani C, Lakhotia R, Pittaluga S, Phelan JD, Huang DW, Wright G, et al. Combination Targeted Therapy in Relapsed Diffuse Large B-Cell Lymphoma. N Engl J Med. 2024 Jun 20;390(23):2143-2155. doi: 10.1056/NEJMoa2401532. PMID: 38899693.</w:t>
      </w:r>
    </w:p>
    <w:p>
      <w:pPr>
        <w:pStyle w:val="BodyText"/>
      </w:pPr>
      <w:r>
        <w:t xml:space="preserve">16 Nwosu ZC, Ward MH, Sajjakulnukit P, Poudel P, Ragulan C, Kasperek S, et al. Uridine-derived ribose fuels glucose-restricted pancreatic cancer. Nature. 2023 Jun 17;618(7963):151-158. doi: 10.1038/s41586-023-06073-w. PMID: 37198494.</w:t>
      </w:r>
    </w:p>
    <w:p>
      <w:pPr>
        <w:pStyle w:val="BodyText"/>
      </w:pPr>
      <w:r>
        <w:t xml:space="preserve">17 Hantel A, Walsh TP, Marron JM, Kehl KL, Sharp R, Van Allen E, et al. Perspectives of Oncologists on the Ethical Implications of Using Artificial Intelligence for Cancer Care. JAMA Netw Open. 2024 Mar 04;7(3):e244077. doi: 10.1001/jamanetworkopen.2024.4077. PMID: 38546644.</w:t>
      </w:r>
    </w:p>
    <w:p>
      <w:pPr>
        <w:pStyle w:val="BodyText"/>
      </w:pPr>
      <w:r>
        <w:t xml:space="preserve">18</w:t>
      </w:r>
      <w:r>
        <w:t xml:space="preserve"> </w:t>
      </w:r>
      <w:hyperlink r:id="rId45">
        <w:r>
          <w:rPr>
            <w:rStyle w:val="Hyperlink"/>
          </w:rPr>
          <w:t xml:space="preserve">https://clinicaltrials.gov/study/NCT06625775</w:t>
        </w:r>
      </w:hyperlink>
    </w:p>
    <w:p>
      <w:pPr>
        <w:pStyle w:val="BodyText"/>
      </w:pPr>
      <w:r>
        <w:t xml:space="preserve">19 Helms EJ, Berry MW, Chaw RC, DuFort CC, Sun D, Onate MK, et al. Mesenchymal Lineage Heterogeneity Underlies Nonredundant Functions of Pancreatic Cancer-Associated Fibroblasts. Cancer Discov. 2022 Feb 21;12(2):484-501. doi: 10.1158/2159-8290.CD-21-0601. PMID: 34548310.</w:t>
      </w:r>
    </w:p>
    <w:p>
      <w:pPr>
        <w:pStyle w:val="BodyText"/>
      </w:pPr>
      <w:r>
        <w:t xml:space="preserve">20 Halpern MT, Liu B, Lowy DR, Gupta S, Croswell JM, Doria-Rose VP. The Annual Cost of Cancer Screening in the United States. Ann Intern Med. 2024 Sep 06;177(9):1170-1178. doi: 10.7326/M24-0375. PMID: 39102723.</w:t>
      </w:r>
    </w:p>
    <w:p>
      <w:pPr>
        <w:pStyle w:val="BodyText"/>
      </w:pPr>
      <w:r>
        <w:t xml:space="preserve">21 Flores-Toro JA, Jagu S, Armstrong GT, Arons DF, Aune GJ, Chanock SJ, et al. The Childhood Cancer Data Initiative: Using the Power of Data to Learn From and Improve Outcomes for Every Child and Young Adult With Pediatric Cancer. J Clin Oncol. 2023 Aug 20;41(24):4045-4053. doi: 10.1200/JCO.22.02208. PMID: 37267580.</w:t>
      </w:r>
    </w:p>
    <w:p>
      <w:pPr>
        <w:pStyle w:val="BodyText"/>
      </w:pPr>
      <w:r>
        <w:t xml:space="preserve">22 Wilson WH, Wright GW, Huang DW, Hodkinson B, Balasubramanian S, Fan Y, et al. Effect of ibrutinib with R-CHOP chemotherapy in genetic subtypes of DLBCL. Cancer Cell. 2021 Dec 13;39(12):1643-1653.e3. doi: 10.1016/j.ccell.2021.10.006. PMID: 34739844.</w:t>
      </w:r>
    </w:p>
    <w:p>
      <w:pPr>
        <w:pStyle w:val="BodyText"/>
      </w:pPr>
      <w:r>
        <w:t xml:space="preserve">23 Achar SR, Bourassa FXP, Rademaker TJ, Lee A, Kondo T, Salazar-Cavazos E, et al. Universal antigen encoding of T cell activation from high-dimensional cytokine dynamics. Science. 2022 May 20;376(6595):880-884. doi: 10.1126/science.abl5311. PMID: 35587980.</w:t>
      </w:r>
    </w:p>
    <w:p>
      <w:pPr>
        <w:pStyle w:val="BodyText"/>
      </w:pPr>
      <w:r>
        <w:t xml:space="preserve">24</w:t>
      </w:r>
      <w:r>
        <w:t xml:space="preserve"> </w:t>
      </w:r>
      <w:hyperlink r:id="rId52">
        <w:r>
          <w:rPr>
            <w:rStyle w:val="Hyperlink"/>
          </w:rPr>
          <w:t xml:space="preserve">https://onlinelibrary.wiley.com/doi/10.1002/em.22534</w:t>
        </w:r>
      </w:hyperlink>
    </w:p>
    <w:p>
      <w:pPr>
        <w:pStyle w:val="BodyText"/>
      </w:pPr>
      <w:r>
        <w:t xml:space="preserve">25 Huang Z, Sun S, Lee M, Maslov AY, Shi M, Waldman S, et al. Single-cell analysis of somatic mutations in human bronchial epithelial cells in relation to aging and smoking. Nat Genet. 2022 Apr 11;54(4):492-498. doi: 10.1038/s41588-022-01035-w. PMID: 35410377.</w:t>
      </w:r>
    </w:p>
    <w:p>
      <w:pPr>
        <w:pStyle w:val="BodyText"/>
      </w:pPr>
      <w:r>
        <w:t xml:space="preserve">26 Stark Z, Byrne AB, Sampson MG, Lennon R, Mallett AJ. A guide to gene-disease relationships in nephrology. Nat Rev Nephrol. 2025 Feb 23;21(2):115-126. doi: 10.1038/s41581-024-00900-7. PMID: 39443743.</w:t>
      </w:r>
    </w:p>
    <w:p>
      <w:pPr>
        <w:pStyle w:val="BodyText"/>
      </w:pPr>
      <w:r>
        <w:t xml:space="preserve">27 Nguyen LTH, Zhang J, Rima XY, Wang X, Kwak KJ, Okimoto T, et al. An immunogold single extracellular vesicular RNA and protein (. J Extracell Vesicles. 2022 Sep;11(9):e12258. doi: 10.1002/jev2.12258. PMID: 36093740.</w:t>
      </w:r>
    </w:p>
    <w:p>
      <w:pPr>
        <w:pStyle w:val="BodyText"/>
      </w:pPr>
      <w:r>
        <w:t xml:space="preserve">28</w:t>
      </w:r>
      <w:r>
        <w:t xml:space="preserve"> </w:t>
      </w:r>
      <w:hyperlink r:id="rId57">
        <w:r>
          <w:rPr>
            <w:rStyle w:val="Hyperlink"/>
          </w:rPr>
          <w:t xml:space="preserve">https://dpcpsi.nih.gov/thro/tribal-consultations/national-institute-minority-health-and-health-disparities-nimhd-initiative-improving-american</w:t>
        </w:r>
      </w:hyperlink>
    </w:p>
    <w:p>
      <w:pPr>
        <w:pStyle w:val="BodyText"/>
      </w:pPr>
      <w:r>
        <w:t xml:space="preserve">29</w:t>
      </w:r>
      <w:r>
        <w:t xml:space="preserve"> </w:t>
      </w:r>
      <w:hyperlink r:id="rId59">
        <w:r>
          <w:rPr>
            <w:rStyle w:val="Hyperlink"/>
          </w:rPr>
          <w:t xml:space="preserve">https://grants.nih.gov/grants/guide/notice-files/NOT-MD-24-015.html</w:t>
        </w:r>
      </w:hyperlink>
    </w:p>
    <w:p>
      <w:pPr>
        <w:pStyle w:val="BodyText"/>
      </w:pPr>
      <w:r>
        <w:t xml:space="preserve">30</w:t>
      </w:r>
      <w:r>
        <w:t xml:space="preserve"> </w:t>
      </w:r>
      <w:hyperlink r:id="rId61">
        <w:r>
          <w:rPr>
            <w:rStyle w:val="Hyperlink"/>
          </w:rPr>
          <w:t xml:space="preserve">https://www.midrc.org</w:t>
        </w:r>
      </w:hyperlink>
    </w:p>
    <w:p>
      <w:pPr>
        <w:pStyle w:val="BodyText"/>
      </w:pPr>
      <w:r>
        <w:t xml:space="preserve">31 Source unavailable</w:t>
      </w:r>
    </w:p>
    <w:p>
      <w:pPr>
        <w:pStyle w:val="BodyText"/>
      </w:pPr>
      <w:r>
        <w:t xml:space="preserve">32 Tutt ANJ, Garber JE, Kaufman B, Viale G, Fumagalli D, Rastogi P, et al. Adjuvant Olaparib for Patients with. N Engl J Med. 2021 Jun 24;384(25):2394-2405. doi: 10.1056/NEJMoa2105215. PMID: 34081848.</w:t>
      </w:r>
    </w:p>
    <w:p>
      <w:pPr>
        <w:pStyle w:val="BodyText"/>
      </w:pPr>
      <w:r>
        <w:t xml:space="preserve">33 Hudson A, Fournier M, Coulombe J, Daee D. Using existing pediatric cancer data from the Gabriella Miller Kids First Data Resource Program. JNCI Cancer Spectr. 2023 Oct 31;7(6). doi: 10.1093/jncics/pkad079. PMID: 37788089.</w:t>
      </w:r>
    </w:p>
    <w:p>
      <w:pPr>
        <w:pStyle w:val="BodyText"/>
      </w:pPr>
      <w:r>
        <w:t xml:space="preserve">34 Chandran EBA, Iannantuono GM, Atiq SO, Akbulut D, Sinaii N, Simon NI, et al. Mismatch repair deficiency and microsatellite instability in urothelial carcinoma: a systematic review and meta-analysis. BMJ Oncol. 2024 Jan 30;3(1). doi: 10.1136/bmjonc-2024-000335. PMID: 39086924.</w:t>
      </w:r>
    </w:p>
    <w:p>
      <w:pPr>
        <w:pStyle w:val="BodyText"/>
      </w:pPr>
      <w:r>
        <w:t xml:space="preserve">35 Hendrix EL, Chollette VY, Wentzensen N, Loukissas JK, McGee-Avila JK, Tookmanian E, et al. Federal Cervical Cancer Collaborative: Improving cervical cancer prevention through vaccination, screening, and management in safety-net settings of care. Cancer. 2025 Jan 01;131(1):e35655. doi: 10.1002/cncr.35655. PMID: 39660744.</w:t>
      </w:r>
    </w:p>
    <w:p>
      <w:pPr>
        <w:pStyle w:val="BodyText"/>
      </w:pPr>
      <w:r>
        <w:t xml:space="preserve">36 Song M, Camargo MC, Katki HA, Weinstein SJ, Männistö S, Albanes D, et al. Association of Antiparietal Cell and Anti-Intrinsic Factor Antibodies With Risk of Gastric Cancer. JAMA Oncol. 2022 Feb 01;8(2):268-274. doi: 10.1001/jamaoncol.2021.5395. PMID: 34913949.</w:t>
      </w:r>
    </w:p>
    <w:p>
      <w:pPr>
        <w:pStyle w:val="BodyText"/>
      </w:pPr>
      <w:r>
        <w:t xml:space="preserve">37 Withrow DR, Anderson H, Armstrong GT, Hawkins M, Journy N, Neglia JP, et al. Pooled Analysis of Meningioma Risk Following Treatment for Childhood Cancer. JAMA Oncol. 2022 Dec 01;8(12):1756-1764. doi: 10.1001/jamaoncol.2022.4425. PMID: 36201196.</w:t>
      </w:r>
    </w:p>
    <w:p>
      <w:pPr>
        <w:pStyle w:val="BodyText"/>
      </w:pPr>
      <w:r>
        <w:t xml:space="preserve">38 Tonorezos E, Devasia T, Mariotto AB, Mollica MA, Gallicchio L, Green P, et al. Prevalence of cancer survivors in the United States. J Natl Cancer Inst. 2024 Nov 01;116(11):1784-1790. doi: 10.1093/jnci/djae135. PMID: 39002121.</w:t>
      </w:r>
    </w:p>
    <w:p>
      <w:pPr>
        <w:pStyle w:val="BodyText"/>
      </w:pPr>
      <w:r>
        <w:t xml:space="preserve">39 Yan W, Cao M, Ruan X, Jiang L, Lee S, Lemanek A, et al. Cancer-cell-secreted miR-122 suppresses O-GlcNAcylation to promote skeletal muscle proteolysis. Nat Cell Biol. 2022 May 25;24(5):793-804. doi: 10.1038/s41556-022-00893-0. PMID: 35469018.</w:t>
      </w:r>
    </w:p>
    <w:p>
      <w:pPr>
        <w:pStyle w:val="BodyText"/>
      </w:pPr>
      <w:r>
        <w:t xml:space="preserve">40 Morse DB, Michalowski AM, Ceribelli M, De Jonghe J, Vias M, Riley D, et al. Positional influence on cellular transcriptional identity revealed through spatially segmented single-cell transcriptomics. Cell Syst. 2023 Jun 21;14(6):464-481.e7. doi: 10.1016/j.cels.2023.05.003. PMID: 37348462.</w:t>
      </w:r>
    </w:p>
    <w:p>
      <w:pPr>
        <w:pStyle w:val="BodyText"/>
      </w:pPr>
      <w:r>
        <w:t xml:space="preserve">41 Shi L, Shen W, Davis MI, Kong K, Vu P, Saha SK, et al. SULT1A1-dependent sulfonation of alkylators is a lineage-dependent vulnerability of liver cancers. Nat Cancer. 2023 Mar 13;4(3):365-381. doi: 10.1038/s43018-023-00523-0. PMID: 36914816.</w:t>
      </w:r>
    </w:p>
    <w:p>
      <w:pPr>
        <w:pStyle w:val="BodyText"/>
      </w:pPr>
      <w:r>
        <w:t xml:space="preserve">42 Cornwell JA, Crncec A, Afifi MM, Tang K, Amin R, Cappell SD. Loss of CDK4/6 activity in S/G2 phase leads to cell cycle reversal. Nature. 2023 Jul 05;619(7969):363-370. doi: 10.1038/s41586-023-06274-3. PMID: 37407814.</w:t>
      </w:r>
    </w:p>
    <w:p>
      <w:pPr>
        <w:pStyle w:val="BodyText"/>
      </w:pPr>
      <w:r>
        <w:t xml:space="preserve">43 Luo J, Kibriya MG, Chen H, Kim K, Ahsan H, Olopade OI, et al. A metabolome-wide case-control study of african american breast cancer patients. BMC Cancer. 2023 Feb 23;23(1):183. doi: 10.1186/s12885-023-10656-1. PMID: 36823587.</w:t>
      </w:r>
    </w:p>
    <w:p>
      <w:pPr>
        <w:pStyle w:val="BodyText"/>
      </w:pPr>
      <w:r>
        <w:t xml:space="preserve">44 Greytak SR, Engel KB, Hoon DSB, Elias KM, Lockwood CM, Guan P, et al. Evidence-based procedures to improve the reliability of circulating miRNA biomarker assays. Clin Chem Lab Med. 2024 Jan 26;62(1):60-66. doi: 10.1515/cclm-2023-0131. PMID: 37129007.</w:t>
      </w:r>
    </w:p>
    <w:p>
      <w:pPr>
        <w:pStyle w:val="BodyText"/>
      </w:pPr>
      <w:r>
        <w:t xml:space="preserve">45 Barnes RP, de Rosa M, Thosar SA, Detwiler AC, Roginskaya V, Van Houten B, et al. Telomeric 8-oxo-guanine drives rapid premature senescence in the absence of telomere shortening. Nat Struct Mol Biol. 2022 Jul 30;29(7):639-652. doi: 10.1038/s41594-022-00790-y. PMID: 35773409.</w:t>
      </w:r>
    </w:p>
    <w:p>
      <w:pPr>
        <w:pStyle w:val="BodyText"/>
      </w:pPr>
      <w:r>
        <w:t xml:space="preserve">46 Bifarin OO, Gaul DA, Sah S, Arnold RS, Ogan K, Master VA, et al. Urine-Based Metabolomics and Machine Learning Reveals Metabolites Associated with Renal Cell Carcinoma Stage. Cancers (Basel). 2021 Dec 13;13(24). doi: 10.3390/cancers13246253. PMID: 34944874.</w:t>
      </w:r>
    </w:p>
    <w:p>
      <w:pPr>
        <w:pStyle w:val="BodyText"/>
      </w:pPr>
      <w:r>
        <w:t xml:space="preserve">47 Leidner R, Sanjuan Silva N, Huang H, Sprott D, Zheng C, Shih YP, et al. Neoantigen T-Cell Receptor Gene Therapy in Pancreatic Cancer. N Engl J Med. 2022 Jun 02;386(22):2112-2119. doi: 10.1056/NEJMoa2119662. PMID: 35648703.</w:t>
      </w:r>
    </w:p>
    <w:p>
      <w:pPr>
        <w:pStyle w:val="BodyText"/>
      </w:pPr>
      <w:r>
        <w:t xml:space="preserve">48 Li Y, Basar R, Wang G, Liu E, Moyes JS, Li L, et al. KIR-based inhibitory CARs overcome CAR-NK cell trogocytosis-mediated fratricide and tumor escape. Nat Med. 2022 Oct 29;28(10):2133-2144. doi: 10.1038/s41591-022-02003-x. PMID: 36175679.</w:t>
      </w:r>
    </w:p>
    <w:p>
      <w:pPr>
        <w:pStyle w:val="BodyText"/>
      </w:pPr>
      <w:r>
        <w:t xml:space="preserve">49 Xia H, Hoang MH, Schmidt E, Kiwala S, McMichael J, Skidmore ZL, et al. pVACview: an interactive visualization tool for efficient neoantigen prioritization and selection. Genome Med. 2024 Nov 14;16(1):132. doi: 10.1186/s13073-024-01384-7. PMID: 39538339.</w:t>
      </w:r>
    </w:p>
    <w:p>
      <w:pPr>
        <w:pStyle w:val="BodyText"/>
      </w:pPr>
      <w:r>
        <w:t xml:space="preserve">50 Gallanis AF, Gamble LA, Samaranayake SG, Lopez R, Rhodes A, Rajasimhan S, et al. Costs of Cancer Prevention: Physical and Psychosocial Sequelae of Risk-Reducing Total Gastrectomy. J Clin Oncol. 2024 Feb 01;42(4):421-430. doi: 10.1200/JCO.23.01238. PMID: 37903316.</w:t>
      </w:r>
    </w:p>
    <w:p>
      <w:pPr>
        <w:pStyle w:val="BodyText"/>
      </w:pPr>
      <w:r>
        <w:t xml:space="preserve">51 PMID: 37289928.</w:t>
      </w:r>
      <w:r>
        <w:t xml:space="preserve"> </w:t>
      </w:r>
      <w:hyperlink r:id="rId89">
        <w:r>
          <w:rPr>
            <w:rStyle w:val="Hyperlink"/>
          </w:rPr>
          <w:t xml:space="preserve">https://pubmed.ncbi.nlm.nih.gov/37289928</w:t>
        </w:r>
      </w:hyperlink>
    </w:p>
    <w:p>
      <w:pPr>
        <w:pStyle w:val="BodyText"/>
      </w:pPr>
      <w:r>
        <w:t xml:space="preserve">52 Watts EL, Matthews CE, Freeman JR, Gorzelitz JS, Hong HG, Liao LM, et al. Association of Leisure Time Physical Activity Types and Risks of All-Cause, Cardiovascular, and Cancer Mortality Among Older Adults. JAMA Netw Open. 2022 Aug 01;5(8):e2228510. doi: 10.1001/jamanetworkopen.2022.28510. PMID: 36001316.</w:t>
      </w:r>
    </w:p>
    <w:p>
      <w:pPr>
        <w:pStyle w:val="BodyText"/>
      </w:pPr>
      <w:r>
        <w:t xml:space="preserve">53 Einstein MH, Zhou N, Gabor L, Sahasrabuddhe VV. Primary Human Papillomavirus Testing and Other New Technologies for Cervical Cancer Screening. Obstet Gynecol. 2023 Nov 01;142(5):1036-1043. doi: 10.1097/AOG.0000000000005393. PMID: 37708516.</w:t>
      </w:r>
    </w:p>
    <w:p>
      <w:pPr>
        <w:pStyle w:val="BodyText"/>
      </w:pPr>
      <w:r>
        <w:t xml:space="preserve">54 Knudsen AB, Trentham-Dietz A, Kim JJ, Mandelblatt JS, Meza R, Zauber AG, et al. Estimated US Cancer Deaths Prevented With Increased Use of Lung, Colorectal, Breast, and Cervical Cancer Screening. JAMA Netw Open. 2023 Nov 01;6(11):e2344698. doi: 10.1001/jamanetworkopen.2023.44698. PMID: 37991759.</w:t>
      </w:r>
    </w:p>
    <w:p>
      <w:pPr>
        <w:pStyle w:val="BodyText"/>
      </w:pPr>
      <w:r>
        <w:t xml:space="preserve">55 Palefsky JM, Lee JY, Jay N, Goldstone SE, Darragh TM, Dunlevy HA, et al. Treatment of Anal High-Grade Squamous Intraepithelial Lesions to Prevent Anal Cancer. N Engl J Med. 2022 Jun 16;386(24):2273-2282. doi: 10.1056/NEJMoa2201048. PMID: 35704479.</w:t>
      </w:r>
    </w:p>
    <w:p>
      <w:pPr>
        <w:pStyle w:val="BodyText"/>
      </w:pPr>
      <w:r>
        <w:t xml:space="preserve">56</w:t>
      </w:r>
      <w:r>
        <w:t xml:space="preserve"> </w:t>
      </w:r>
      <w:hyperlink r:id="rId97">
        <w:r>
          <w:rPr>
            <w:rStyle w:val="Hyperlink"/>
          </w:rPr>
          <w:t xml:space="preserve">https://www.nidcr.nih.gov/grants-funding/research-funded-by-nidcr-extramural/ahead</w:t>
        </w:r>
      </w:hyperlink>
    </w:p>
    <w:p>
      <w:pPr>
        <w:pStyle w:val="BodyText"/>
      </w:pPr>
      <w:r>
        <w:t xml:space="preserve">57 Coole JB, Brenes D, Mitbander R, Vohra I, Hou H, Kortum A, et al. Multimodal optical imaging with real-time projection of cancer risk and biopsy guidance maps for early oral cancer diagnosis and treatment. J Biomed Opt. 2023 Jan 13;28(1):016002. doi: 10.1117/1.JBO.28.1.016002. PMID: 36654656.</w:t>
      </w:r>
    </w:p>
    <w:p>
      <w:pPr>
        <w:pStyle w:val="BodyText"/>
      </w:pPr>
      <w:r>
        <w:t xml:space="preserve">58 Watson DC, Bayik D, Storevik S, Moreino SS, Sprowls SA, Han J, et al. GAP43-dependent mitochondria transfer from astrocytes enhances glioblastoma tumorigenicity. Nat Cancer. 2023 May 11;4(5):648-664. doi: 10.1038/s43018-023-00556-5. PMID: 37169842.</w:t>
      </w:r>
    </w:p>
    <w:bookmarkEnd w:id="103"/>
    <w:sectPr w:rsidR="00FD562E" w:rsidRPr="00317DEA">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Jha A, Patel M, Ling A, Shah R, Chen CC, Millo C, et al. Diagnostic performance of [. Eur Radiol. 2024 Oct 16;34(10):6488-6498. doi: 10.1007/s00330-024-10652-4. PMID: 38625612.</w:t>
      </w:r>
    </w:p>
  </w:footnote>
  <w:footnote w:id="23">
    <w:p>
      <w:pPr>
        <w:pStyle w:val="FootnoteText"/>
      </w:pPr>
      <w:r>
        <w:rPr>
          <w:rStyle w:val="FootnoteReference"/>
        </w:rPr>
        <w:footnoteRef/>
      </w:r>
      <w:r>
        <w:t xml:space="preserve"> </w:t>
      </w:r>
      <w:r>
        <w:t xml:space="preserve">Lebensohn A, Ghafoor A, Bloomquist L, Royer MC, Castelo-Soccio L, Karacki K, et al. Multiple Onychopapillomas and BAP1 Tumor Predisposition Syndrome. JAMA Dermatol. 2024 Aug 01;160(8):838-845. doi: 10.1001/jamadermatol.2024.1804. PMID: 38759225.</w:t>
      </w:r>
    </w:p>
  </w:footnote>
  <w:footnote w:id="24">
    <w:p>
      <w:pPr>
        <w:pStyle w:val="FootnoteText"/>
      </w:pPr>
      <w:r>
        <w:rPr>
          <w:rStyle w:val="FootnoteReference"/>
        </w:rPr>
        <w:footnoteRef/>
      </w:r>
      <w:r>
        <w:t xml:space="preserve"> </w:t>
      </w:r>
      <w:r>
        <w:t xml:space="preserve">Reinhold WC, Wilson K, Elloumi F, Bradwell KR, Ceribelli M, Varma S, et al. CellMinerCDB: NCATS Is a Web-Based Portal Integrating Public Cancer Cell Line Databases for Pharmacogenomic Explorations. Cancer Res. 2023 Jun 15;83(12):1941-1952. doi: 10.1158/0008-5472.CAN-22-2996. PMID: 37140427.</w:t>
      </w:r>
    </w:p>
  </w:footnote>
  <w:footnote w:id="25">
    <w:p>
      <w:pPr>
        <w:pStyle w:val="FootnoteText"/>
      </w:pPr>
      <w:r>
        <w:rPr>
          <w:rStyle w:val="FootnoteReference"/>
        </w:rPr>
        <w:footnoteRef/>
      </w:r>
      <w:r>
        <w:t xml:space="preserve"> </w:t>
      </w:r>
      <w:r>
        <w:t xml:space="preserve">Garman KS, Purkayastha BPD, Hogue JA, Fecteau R, BETRNet CONSORTIUM, Guda K, et al. Genetic Defect in Submucosal Gland-Associated Caveolin-3: A New Paradigm in Esophageal Adenocarcinoma Risk. Gastroenterology. 2023 Dec 01;165(6):1561-1564.e3. doi: 10.1053/j.gastro.2023.08.039. PMID: 37659676.</w:t>
      </w:r>
    </w:p>
  </w:footnote>
  <w:footnote w:id="26">
    <w:p>
      <w:pPr>
        <w:pStyle w:val="FootnoteText"/>
      </w:pPr>
      <w:r>
        <w:rPr>
          <w:rStyle w:val="FootnoteReference"/>
        </w:rPr>
        <w:footnoteRef/>
      </w:r>
      <w:r>
        <w:t xml:space="preserve"> </w:t>
      </w:r>
      <w:r>
        <w:t xml:space="preserve">Weiss JM, Hunter MV, Cruz NM, Baggiolini A, Tagore M, Ma Y, et al. Anatomic position determines oncogenic specificity in melanoma. Nature. 2022 Apr 30;604(7905):354-361. doi: 10.1038/s41586-022-04584-6. PMID: 35355015.</w:t>
      </w:r>
    </w:p>
  </w:footnote>
  <w:footnote w:id="27">
    <w:p>
      <w:pPr>
        <w:pStyle w:val="FootnoteText"/>
      </w:pPr>
      <w:r>
        <w:rPr>
          <w:rStyle w:val="FootnoteReference"/>
        </w:rPr>
        <w:footnoteRef/>
      </w:r>
      <w:r>
        <w:t xml:space="preserve"> </w:t>
      </w:r>
      <w:hyperlink r:id="rId28">
        <w:r>
          <w:rPr>
            <w:rStyle w:val="Hyperlink"/>
          </w:rPr>
          <w:t xml:space="preserve">https://datacommons.cancer.gov/cloud-resources</w:t>
        </w:r>
      </w:hyperlink>
    </w:p>
  </w:footnote>
  <w:footnote w:id="29">
    <w:p>
      <w:pPr>
        <w:pStyle w:val="FootnoteText"/>
      </w:pPr>
      <w:r>
        <w:rPr>
          <w:rStyle w:val="FootnoteReference"/>
        </w:rPr>
        <w:footnoteRef/>
      </w:r>
      <w:r>
        <w:t xml:space="preserve"> </w:t>
      </w:r>
      <w:hyperlink r:id="rId30">
        <w:r>
          <w:rPr>
            <w:rStyle w:val="Hyperlink"/>
          </w:rPr>
          <w:t xml:space="preserve">https://progressreport.cancer.gov</w:t>
        </w:r>
      </w:hyperlink>
    </w:p>
  </w:footnote>
  <w:footnote w:id="31">
    <w:p>
      <w:pPr>
        <w:pStyle w:val="FootnoteText"/>
      </w:pPr>
      <w:r>
        <w:rPr>
          <w:rStyle w:val="FootnoteReference"/>
        </w:rPr>
        <w:footnoteRef/>
      </w:r>
      <w:r>
        <w:t xml:space="preserve"> </w:t>
      </w:r>
      <w:hyperlink r:id="rId32">
        <w:r>
          <w:rPr>
            <w:rStyle w:val="Hyperlink"/>
          </w:rPr>
          <w:t xml:space="preserve">https://www.cancer.gov/research/infrastructure/clinical-trials/ctiu</w:t>
        </w:r>
      </w:hyperlink>
    </w:p>
  </w:footnote>
  <w:footnote w:id="33">
    <w:p>
      <w:pPr>
        <w:pStyle w:val="FootnoteText"/>
      </w:pPr>
      <w:r>
        <w:rPr>
          <w:rStyle w:val="FootnoteReference"/>
        </w:rPr>
        <w:footnoteRef/>
      </w:r>
      <w:r>
        <w:t xml:space="preserve"> </w:t>
      </w:r>
      <w:r>
        <w:t xml:space="preserve">Klomp JE, Diehl JN, Klomp JA, Edwards AC, Yang R, Morales AJ, et al. Determining the ERK-regulated phosphoproteome driving KRAS-mutant cancer. Science. 2024 Jun 07;384(6700):eadk0850. doi: 10.1126/science.adk0850. PMID: 38843329.</w:t>
      </w:r>
    </w:p>
  </w:footnote>
  <w:footnote w:id="34">
    <w:p>
      <w:pPr>
        <w:pStyle w:val="FootnoteText"/>
      </w:pPr>
      <w:r>
        <w:rPr>
          <w:rStyle w:val="FootnoteReference"/>
        </w:rPr>
        <w:footnoteRef/>
      </w:r>
      <w:r>
        <w:t xml:space="preserve"> </w:t>
      </w:r>
      <w:hyperlink r:id="rId35">
        <w:r>
          <w:rPr>
            <w:rStyle w:val="Hyperlink"/>
          </w:rPr>
          <w:t xml:space="preserve">https://www.cancer.gov/research/leading-progress/stories/cytalux</w:t>
        </w:r>
      </w:hyperlink>
    </w:p>
  </w:footnote>
  <w:footnote w:id="36">
    <w:p>
      <w:pPr>
        <w:pStyle w:val="FootnoteText"/>
      </w:pPr>
      <w:r>
        <w:rPr>
          <w:rStyle w:val="FootnoteReference"/>
        </w:rPr>
        <w:footnoteRef/>
      </w:r>
      <w:r>
        <w:t xml:space="preserve"> </w:t>
      </w:r>
      <w:r>
        <w:t xml:space="preserve">Lu DY, Ellegast JM, Ross KN, Malone CF, Lin S, Mabe NW, et al. The ETS transcription factor ETV6 constrains the transcriptional activity of EWS-FLI to promote Ewing sarcoma. Nat Cell Biol. 2023 Feb 19;25(2):285-297. doi: 10.1038/s41556-022-01059-8. PMID: 36658220.</w:t>
      </w:r>
    </w:p>
  </w:footnote>
  <w:footnote w:id="37">
    <w:p>
      <w:pPr>
        <w:pStyle w:val="FootnoteText"/>
      </w:pPr>
      <w:r>
        <w:rPr>
          <w:rStyle w:val="FootnoteReference"/>
        </w:rPr>
        <w:footnoteRef/>
      </w:r>
      <w:r>
        <w:t xml:space="preserve"> </w:t>
      </w:r>
      <w:r>
        <w:t xml:space="preserve">Wang R, Song S, Qin J, Yoshimura K, Peng F, Chu Y, et al. Evolution of immune and stromal cell states and ecotypes during gastric adenocarcinoma progression. Cancer Cell. 2023 Aug 14;41(8):1407-1426.e9. doi: 10.1016/j.ccell.2023.06.005. PMID: 37419119.</w:t>
      </w:r>
    </w:p>
  </w:footnote>
  <w:footnote w:id="38">
    <w:p>
      <w:pPr>
        <w:pStyle w:val="FootnoteText"/>
      </w:pPr>
      <w:r>
        <w:rPr>
          <w:rStyle w:val="FootnoteReference"/>
        </w:rPr>
        <w:footnoteRef/>
      </w:r>
      <w:r>
        <w:t xml:space="preserve"> </w:t>
      </w:r>
      <w:r>
        <w:t xml:space="preserve">Houlahan KE, Khan A, Greenwald NF, Vivas CS, West RB, Angelo M, et al. Germline-mediated immunoediting sculpts breast cancer subtypes and metastatic proclivity. Science. 2024 May 31;384(6699):eadh8697. doi: 10.1126/science.adh8697. PMID: 38815010.</w:t>
      </w:r>
    </w:p>
  </w:footnote>
  <w:footnote w:id="39">
    <w:p>
      <w:pPr>
        <w:pStyle w:val="FootnoteText"/>
      </w:pPr>
      <w:r>
        <w:rPr>
          <w:rStyle w:val="FootnoteReference"/>
        </w:rPr>
        <w:footnoteRef/>
      </w:r>
      <w:r>
        <w:t xml:space="preserve"> </w:t>
      </w:r>
      <w:hyperlink r:id="rId40">
        <w:r>
          <w:rPr>
            <w:rStyle w:val="Hyperlink"/>
          </w:rPr>
          <w:t xml:space="preserve">https://prevention.cancer.gov/major-programs/cancer-screening-research-network-csrn</w:t>
        </w:r>
      </w:hyperlink>
    </w:p>
  </w:footnote>
  <w:footnote w:id="41">
    <w:p>
      <w:pPr>
        <w:pStyle w:val="FootnoteText"/>
      </w:pPr>
      <w:r>
        <w:rPr>
          <w:rStyle w:val="FootnoteReference"/>
        </w:rPr>
        <w:footnoteRef/>
      </w:r>
      <w:r>
        <w:t xml:space="preserve"> </w:t>
      </w:r>
      <w:r>
        <w:t xml:space="preserve">Melani C, Lakhotia R, Pittaluga S, Phelan JD, Huang DW, Wright G, et al. Combination Targeted Therapy in Relapsed Diffuse Large B-Cell Lymphoma. N Engl J Med. 2024 Jun 20;390(23):2143-2155. doi: 10.1056/NEJMoa2401532. PMID: 38899693.</w:t>
      </w:r>
    </w:p>
  </w:footnote>
  <w:footnote w:id="42">
    <w:p>
      <w:pPr>
        <w:pStyle w:val="FootnoteText"/>
      </w:pPr>
      <w:r>
        <w:rPr>
          <w:rStyle w:val="FootnoteReference"/>
        </w:rPr>
        <w:footnoteRef/>
      </w:r>
      <w:r>
        <w:t xml:space="preserve"> </w:t>
      </w:r>
      <w:r>
        <w:t xml:space="preserve">Nwosu ZC, Ward MH, Sajjakulnukit P, Poudel P, Ragulan C, Kasperek S, et al. Uridine-derived ribose fuels glucose-restricted pancreatic cancer. Nature. 2023 Jun 17;618(7963):151-158. doi: 10.1038/s41586-023-06073-w. PMID: 37198494.</w:t>
      </w:r>
    </w:p>
  </w:footnote>
  <w:footnote w:id="43">
    <w:p>
      <w:pPr>
        <w:pStyle w:val="FootnoteText"/>
      </w:pPr>
      <w:r>
        <w:rPr>
          <w:rStyle w:val="FootnoteReference"/>
        </w:rPr>
        <w:footnoteRef/>
      </w:r>
      <w:r>
        <w:t xml:space="preserve"> </w:t>
      </w:r>
      <w:r>
        <w:t xml:space="preserve">Hantel A, Walsh TP, Marron JM, Kehl KL, Sharp R, Van Allen E, et al. Perspectives of Oncologists on the Ethical Implications of Using Artificial Intelligence for Cancer Care. JAMA Netw Open. 2024 Mar 04;7(3):e244077. doi: 10.1001/jamanetworkopen.2024.4077. PMID: 38546644.</w:t>
      </w:r>
    </w:p>
  </w:footnote>
  <w:footnote w:id="44">
    <w:p>
      <w:pPr>
        <w:pStyle w:val="FootnoteText"/>
      </w:pPr>
      <w:r>
        <w:rPr>
          <w:rStyle w:val="FootnoteReference"/>
        </w:rPr>
        <w:footnoteRef/>
      </w:r>
      <w:r>
        <w:t xml:space="preserve"> </w:t>
      </w:r>
      <w:hyperlink r:id="rId45">
        <w:r>
          <w:rPr>
            <w:rStyle w:val="Hyperlink"/>
          </w:rPr>
          <w:t xml:space="preserve">https://clinicaltrials.gov/study/NCT06625775</w:t>
        </w:r>
      </w:hyperlink>
    </w:p>
  </w:footnote>
  <w:footnote w:id="46">
    <w:p>
      <w:pPr>
        <w:pStyle w:val="FootnoteText"/>
      </w:pPr>
      <w:r>
        <w:rPr>
          <w:rStyle w:val="FootnoteReference"/>
        </w:rPr>
        <w:footnoteRef/>
      </w:r>
      <w:r>
        <w:t xml:space="preserve"> </w:t>
      </w:r>
      <w:r>
        <w:t xml:space="preserve">Helms EJ, Berry MW, Chaw RC, DuFort CC, Sun D, Onate MK, et al. Mesenchymal Lineage Heterogeneity Underlies Nonredundant Functions of Pancreatic Cancer-Associated Fibroblasts. Cancer Discov. 2022 Feb 21;12(2):484-501. doi: 10.1158/2159-8290.CD-21-0601. PMID: 34548310.</w:t>
      </w:r>
    </w:p>
  </w:footnote>
  <w:footnote w:id="47">
    <w:p>
      <w:pPr>
        <w:pStyle w:val="FootnoteText"/>
      </w:pPr>
      <w:r>
        <w:rPr>
          <w:rStyle w:val="FootnoteReference"/>
        </w:rPr>
        <w:footnoteRef/>
      </w:r>
      <w:r>
        <w:t xml:space="preserve"> </w:t>
      </w:r>
      <w:r>
        <w:t xml:space="preserve">Halpern MT, Liu B, Lowy DR, Gupta S, Croswell JM, Doria-Rose VP. The Annual Cost of Cancer Screening in the United States. Ann Intern Med. 2024 Sep 06;177(9):1170-1178. doi: 10.7326/M24-0375. PMID: 39102723.</w:t>
      </w:r>
    </w:p>
  </w:footnote>
  <w:footnote w:id="48">
    <w:p>
      <w:pPr>
        <w:pStyle w:val="FootnoteText"/>
      </w:pPr>
      <w:r>
        <w:rPr>
          <w:rStyle w:val="FootnoteReference"/>
        </w:rPr>
        <w:footnoteRef/>
      </w:r>
      <w:r>
        <w:t xml:space="preserve"> </w:t>
      </w:r>
      <w:r>
        <w:t xml:space="preserve">Flores-Toro JA, Jagu S, Armstrong GT, Arons DF, Aune GJ, Chanock SJ, et al. The Childhood Cancer Data Initiative: Using the Power of Data to Learn From and Improve Outcomes for Every Child and Young Adult With Pediatric Cancer. J Clin Oncol. 2023 Aug 20;41(24):4045-4053. doi: 10.1200/JCO.22.02208. PMID: 37267580.</w:t>
      </w:r>
    </w:p>
  </w:footnote>
  <w:footnote w:id="49">
    <w:p>
      <w:pPr>
        <w:pStyle w:val="FootnoteText"/>
      </w:pPr>
      <w:r>
        <w:rPr>
          <w:rStyle w:val="FootnoteReference"/>
        </w:rPr>
        <w:footnoteRef/>
      </w:r>
      <w:r>
        <w:t xml:space="preserve"> </w:t>
      </w:r>
      <w:r>
        <w:t xml:space="preserve">Wilson WH, Wright GW, Huang DW, Hodkinson B, Balasubramanian S, Fan Y, et al. Effect of ibrutinib with R-CHOP chemotherapy in genetic subtypes of DLBCL. Cancer Cell. 2021 Dec 13;39(12):1643-1653.e3. doi: 10.1016/j.ccell.2021.10.006. PMID: 34739844.</w:t>
      </w:r>
    </w:p>
  </w:footnote>
  <w:footnote w:id="50">
    <w:p>
      <w:pPr>
        <w:pStyle w:val="FootnoteText"/>
      </w:pPr>
      <w:r>
        <w:rPr>
          <w:rStyle w:val="FootnoteReference"/>
        </w:rPr>
        <w:footnoteRef/>
      </w:r>
      <w:r>
        <w:t xml:space="preserve"> </w:t>
      </w:r>
      <w:r>
        <w:t xml:space="preserve">Achar SR, Bourassa FXP, Rademaker TJ, Lee A, Kondo T, Salazar-Cavazos E, et al. Universal antigen encoding of T cell activation from high-dimensional cytokine dynamics. Science. 2022 May 20;376(6595):880-884. doi: 10.1126/science.abl5311. PMID: 35587980.</w:t>
      </w:r>
    </w:p>
  </w:footnote>
  <w:footnote w:id="51">
    <w:p>
      <w:pPr>
        <w:pStyle w:val="FootnoteText"/>
      </w:pPr>
      <w:r>
        <w:rPr>
          <w:rStyle w:val="FootnoteReference"/>
        </w:rPr>
        <w:footnoteRef/>
      </w:r>
      <w:r>
        <w:t xml:space="preserve"> </w:t>
      </w:r>
      <w:hyperlink r:id="rId52">
        <w:r>
          <w:rPr>
            <w:rStyle w:val="Hyperlink"/>
          </w:rPr>
          <w:t xml:space="preserve">https://onlinelibrary.wiley.com/doi/10.1002/em.22534</w:t>
        </w:r>
      </w:hyperlink>
    </w:p>
  </w:footnote>
  <w:footnote w:id="53">
    <w:p>
      <w:pPr>
        <w:pStyle w:val="FootnoteText"/>
      </w:pPr>
      <w:r>
        <w:rPr>
          <w:rStyle w:val="FootnoteReference"/>
        </w:rPr>
        <w:footnoteRef/>
      </w:r>
      <w:r>
        <w:t xml:space="preserve"> </w:t>
      </w:r>
      <w:r>
        <w:t xml:space="preserve">Huang Z, Sun S, Lee M, Maslov AY, Shi M, Waldman S, et al. Single-cell analysis of somatic mutations in human bronchial epithelial cells in relation to aging and smoking. Nat Genet. 2022 Apr 11;54(4):492-498. doi: 10.1038/s41588-022-01035-w. PMID: 35410377.</w:t>
      </w:r>
    </w:p>
  </w:footnote>
  <w:footnote w:id="54">
    <w:p>
      <w:pPr>
        <w:pStyle w:val="FootnoteText"/>
      </w:pPr>
      <w:r>
        <w:rPr>
          <w:rStyle w:val="FootnoteReference"/>
        </w:rPr>
        <w:footnoteRef/>
      </w:r>
      <w:r>
        <w:t xml:space="preserve"> </w:t>
      </w:r>
      <w:r>
        <w:t xml:space="preserve">Stark Z, Byrne AB, Sampson MG, Lennon R, Mallett AJ. A guide to gene-disease relationships in nephrology. Nat Rev Nephrol. 2025 Feb 23;21(2):115-126. doi: 10.1038/s41581-024-00900-7. PMID: 39443743.</w:t>
      </w:r>
    </w:p>
  </w:footnote>
  <w:footnote w:id="55">
    <w:p>
      <w:pPr>
        <w:pStyle w:val="FootnoteText"/>
      </w:pPr>
      <w:r>
        <w:rPr>
          <w:rStyle w:val="FootnoteReference"/>
        </w:rPr>
        <w:footnoteRef/>
      </w:r>
      <w:r>
        <w:t xml:space="preserve"> </w:t>
      </w:r>
      <w:r>
        <w:t xml:space="preserve">Nguyen LTH, Zhang J, Rima XY, Wang X, Kwak KJ, Okimoto T, et al. An immunogold single extracellular vesicular RNA and protein (. J Extracell Vesicles. 2022 Sep;11(9):e12258. doi: 10.1002/jev2.12258. PMID: 36093740.</w:t>
      </w:r>
    </w:p>
  </w:footnote>
  <w:footnote w:id="56">
    <w:p>
      <w:pPr>
        <w:pStyle w:val="FootnoteText"/>
      </w:pPr>
      <w:r>
        <w:rPr>
          <w:rStyle w:val="FootnoteReference"/>
        </w:rPr>
        <w:footnoteRef/>
      </w:r>
      <w:r>
        <w:t xml:space="preserve"> </w:t>
      </w:r>
      <w:hyperlink r:id="rId57">
        <w:r>
          <w:rPr>
            <w:rStyle w:val="Hyperlink"/>
          </w:rPr>
          <w:t xml:space="preserve">https://dpcpsi.nih.gov/thro/tribal-consultations/national-institute-minority-health-and-health-disparities-nimhd-initiative-improving-american</w:t>
        </w:r>
      </w:hyperlink>
    </w:p>
  </w:footnote>
  <w:footnote w:id="58">
    <w:p>
      <w:pPr>
        <w:pStyle w:val="FootnoteText"/>
      </w:pPr>
      <w:r>
        <w:rPr>
          <w:rStyle w:val="FootnoteReference"/>
        </w:rPr>
        <w:footnoteRef/>
      </w:r>
      <w:r>
        <w:t xml:space="preserve"> </w:t>
      </w:r>
      <w:hyperlink r:id="rId59">
        <w:r>
          <w:rPr>
            <w:rStyle w:val="Hyperlink"/>
          </w:rPr>
          <w:t xml:space="preserve">https://grants.nih.gov/grants/guide/notice-files/NOT-MD-24-015.html</w:t>
        </w:r>
      </w:hyperlink>
    </w:p>
  </w:footnote>
  <w:footnote w:id="60">
    <w:p>
      <w:pPr>
        <w:pStyle w:val="FootnoteText"/>
      </w:pPr>
      <w:r>
        <w:rPr>
          <w:rStyle w:val="FootnoteReference"/>
        </w:rPr>
        <w:footnoteRef/>
      </w:r>
      <w:r>
        <w:t xml:space="preserve"> </w:t>
      </w:r>
      <w:hyperlink r:id="rId61">
        <w:r>
          <w:rPr>
            <w:rStyle w:val="Hyperlink"/>
          </w:rPr>
          <w:t xml:space="preserve">https://www.midrc.org</w:t>
        </w:r>
      </w:hyperlink>
    </w:p>
  </w:footnote>
  <w:footnote w:id="62">
    <w:p>
      <w:pPr>
        <w:pStyle w:val="FootnoteText"/>
      </w:pPr>
      <w:r>
        <w:rPr>
          <w:rStyle w:val="FootnoteReference"/>
        </w:rPr>
        <w:footnoteRef/>
      </w:r>
      <w:r>
        <w:t xml:space="preserve"> </w:t>
      </w:r>
      <w:r>
        <w:t xml:space="preserve">Source unavailable</w:t>
      </w:r>
    </w:p>
  </w:footnote>
  <w:footnote w:id="64">
    <w:p>
      <w:pPr>
        <w:pStyle w:val="FootnoteText"/>
      </w:pPr>
      <w:r>
        <w:rPr>
          <w:rStyle w:val="FootnoteReference"/>
        </w:rPr>
        <w:footnoteRef/>
      </w:r>
      <w:r>
        <w:t xml:space="preserve"> </w:t>
      </w:r>
      <w:r>
        <w:t xml:space="preserve">Tutt ANJ, Garber JE, Kaufman B, Viale G, Fumagalli D, Rastogi P, et al. Adjuvant Olaparib for Patients with. N Engl J Med. 2021 Jun 24;384(25):2394-2405. doi: 10.1056/NEJMoa2105215. PMID: 34081848.</w:t>
      </w:r>
    </w:p>
  </w:footnote>
  <w:footnote w:id="66">
    <w:p>
      <w:pPr>
        <w:pStyle w:val="FootnoteText"/>
      </w:pPr>
      <w:r>
        <w:rPr>
          <w:rStyle w:val="FootnoteReference"/>
        </w:rPr>
        <w:footnoteRef/>
      </w:r>
      <w:r>
        <w:t xml:space="preserve"> </w:t>
      </w:r>
      <w:r>
        <w:t xml:space="preserve">Hudson A, Fournier M, Coulombe J, Daee D. Using existing pediatric cancer data from the Gabriella Miller Kids First Data Resource Program. JNCI Cancer Spectr. 2023 Oct 31;7(6). doi: 10.1093/jncics/pkad079. PMID: 37788089.</w:t>
      </w:r>
    </w:p>
  </w:footnote>
  <w:footnote w:id="68">
    <w:p>
      <w:pPr>
        <w:pStyle w:val="FootnoteText"/>
      </w:pPr>
      <w:r>
        <w:rPr>
          <w:rStyle w:val="FootnoteReference"/>
        </w:rPr>
        <w:footnoteRef/>
      </w:r>
      <w:r>
        <w:t xml:space="preserve"> </w:t>
      </w:r>
      <w:r>
        <w:t xml:space="preserve">Chandran EBA, Iannantuono GM, Atiq SO, Akbulut D, Sinaii N, Simon NI, et al. Mismatch repair deficiency and microsatellite instability in urothelial carcinoma: a systematic review and meta-analysis. BMJ Oncol. 2024 Jan 30;3(1). doi: 10.1136/bmjonc-2024-000335. PMID: 39086924.</w:t>
      </w:r>
    </w:p>
  </w:footnote>
  <w:footnote w:id="69">
    <w:p>
      <w:pPr>
        <w:pStyle w:val="FootnoteText"/>
      </w:pPr>
      <w:r>
        <w:rPr>
          <w:rStyle w:val="FootnoteReference"/>
        </w:rPr>
        <w:footnoteRef/>
      </w:r>
      <w:r>
        <w:t xml:space="preserve"> </w:t>
      </w:r>
      <w:r>
        <w:t xml:space="preserve">Hendrix EL, Chollette VY, Wentzensen N, Loukissas JK, McGee-Avila JK, Tookmanian E, et al. Federal Cervical Cancer Collaborative: Improving cervical cancer prevention through vaccination, screening, and management in safety-net settings of care. Cancer. 2025 Jan 01;131(1):e35655. doi: 10.1002/cncr.35655. PMID: 39660744.</w:t>
      </w:r>
    </w:p>
  </w:footnote>
  <w:footnote w:id="70">
    <w:p>
      <w:pPr>
        <w:pStyle w:val="FootnoteText"/>
      </w:pPr>
      <w:r>
        <w:rPr>
          <w:rStyle w:val="FootnoteReference"/>
        </w:rPr>
        <w:footnoteRef/>
      </w:r>
      <w:r>
        <w:t xml:space="preserve"> </w:t>
      </w:r>
      <w:r>
        <w:t xml:space="preserve">Song M, Camargo MC, Katki HA, Weinstein SJ, Männistö S, Albanes D, et al. Association of Antiparietal Cell and Anti-Intrinsic Factor Antibodies With Risk of Gastric Cancer. JAMA Oncol. 2022 Feb 01;8(2):268-274. doi: 10.1001/jamaoncol.2021.5395. PMID: 34913949.</w:t>
      </w:r>
    </w:p>
  </w:footnote>
  <w:footnote w:id="71">
    <w:p>
      <w:pPr>
        <w:pStyle w:val="FootnoteText"/>
      </w:pPr>
      <w:r>
        <w:rPr>
          <w:rStyle w:val="FootnoteReference"/>
        </w:rPr>
        <w:footnoteRef/>
      </w:r>
      <w:r>
        <w:t xml:space="preserve"> </w:t>
      </w:r>
      <w:r>
        <w:t xml:space="preserve">Withrow DR, Anderson H, Armstrong GT, Hawkins M, Journy N, Neglia JP, et al. Pooled Analysis of Meningioma Risk Following Treatment for Childhood Cancer. JAMA Oncol. 2022 Dec 01;8(12):1756-1764. doi: 10.1001/jamaoncol.2022.4425. PMID: 36201196.</w:t>
      </w:r>
    </w:p>
  </w:footnote>
  <w:footnote w:id="72">
    <w:p>
      <w:pPr>
        <w:pStyle w:val="FootnoteText"/>
      </w:pPr>
      <w:r>
        <w:rPr>
          <w:rStyle w:val="FootnoteReference"/>
        </w:rPr>
        <w:footnoteRef/>
      </w:r>
      <w:r>
        <w:t xml:space="preserve"> </w:t>
      </w:r>
      <w:r>
        <w:t xml:space="preserve">Tonorezos E, Devasia T, Mariotto AB, Mollica MA, Gallicchio L, Green P, et al. Prevalence of cancer survivors in the United States. J Natl Cancer Inst. 2024 Nov 01;116(11):1784-1790. doi: 10.1093/jnci/djae135. PMID: 39002121.</w:t>
      </w:r>
    </w:p>
  </w:footnote>
  <w:footnote w:id="74">
    <w:p>
      <w:pPr>
        <w:pStyle w:val="FootnoteText"/>
      </w:pPr>
      <w:r>
        <w:rPr>
          <w:rStyle w:val="FootnoteReference"/>
        </w:rPr>
        <w:footnoteRef/>
      </w:r>
      <w:r>
        <w:t xml:space="preserve"> </w:t>
      </w:r>
      <w:r>
        <w:t xml:space="preserve">Yan W, Cao M, Ruan X, Jiang L, Lee S, Lemanek A, et al. Cancer-cell-secreted miR-122 suppresses O-GlcNAcylation to promote skeletal muscle proteolysis. Nat Cell Biol. 2022 May 25;24(5):793-804. doi: 10.1038/s41556-022-00893-0. PMID: 35469018.</w:t>
      </w:r>
    </w:p>
  </w:footnote>
  <w:footnote w:id="75">
    <w:p>
      <w:pPr>
        <w:pStyle w:val="FootnoteText"/>
      </w:pPr>
      <w:r>
        <w:rPr>
          <w:rStyle w:val="FootnoteReference"/>
        </w:rPr>
        <w:footnoteRef/>
      </w:r>
      <w:r>
        <w:t xml:space="preserve"> </w:t>
      </w:r>
      <w:r>
        <w:t xml:space="preserve">Morse DB, Michalowski AM, Ceribelli M, De Jonghe J, Vias M, Riley D, et al. Positional influence on cellular transcriptional identity revealed through spatially segmented single-cell transcriptomics. Cell Syst. 2023 Jun 21;14(6):464-481.e7. doi: 10.1016/j.cels.2023.05.003. PMID: 37348462.</w:t>
      </w:r>
    </w:p>
  </w:footnote>
  <w:footnote w:id="76">
    <w:p>
      <w:pPr>
        <w:pStyle w:val="FootnoteText"/>
      </w:pPr>
      <w:r>
        <w:rPr>
          <w:rStyle w:val="FootnoteReference"/>
        </w:rPr>
        <w:footnoteRef/>
      </w:r>
      <w:r>
        <w:t xml:space="preserve"> </w:t>
      </w:r>
      <w:r>
        <w:t xml:space="preserve">Shi L, Shen W, Davis MI, Kong K, Vu P, Saha SK, et al. SULT1A1-dependent sulfonation of alkylators is a lineage-dependent vulnerability of liver cancers. Nat Cancer. 2023 Mar 13;4(3):365-381. doi: 10.1038/s43018-023-00523-0. PMID: 36914816.</w:t>
      </w:r>
    </w:p>
  </w:footnote>
  <w:footnote w:id="77">
    <w:p>
      <w:pPr>
        <w:pStyle w:val="FootnoteText"/>
      </w:pPr>
      <w:r>
        <w:rPr>
          <w:rStyle w:val="FootnoteReference"/>
        </w:rPr>
        <w:footnoteRef/>
      </w:r>
      <w:r>
        <w:t xml:space="preserve"> </w:t>
      </w:r>
      <w:r>
        <w:t xml:space="preserve">Cornwell JA, Crncec A, Afifi MM, Tang K, Amin R, Cappell SD. Loss of CDK4/6 activity in S/G2 phase leads to cell cycle reversal. Nature. 2023 Jul 05;619(7969):363-370. doi: 10.1038/s41586-023-06274-3. PMID: 37407814.</w:t>
      </w:r>
    </w:p>
  </w:footnote>
  <w:footnote w:id="78">
    <w:p>
      <w:pPr>
        <w:pStyle w:val="FootnoteText"/>
      </w:pPr>
      <w:r>
        <w:rPr>
          <w:rStyle w:val="FootnoteReference"/>
        </w:rPr>
        <w:footnoteRef/>
      </w:r>
      <w:r>
        <w:t xml:space="preserve"> </w:t>
      </w:r>
      <w:r>
        <w:t xml:space="preserve">Luo J, Kibriya MG, Chen H, Kim K, Ahsan H, Olopade OI, et al. A metabolome-wide case-control study of african american breast cancer patients. BMC Cancer. 2023 Feb 23;23(1):183. doi: 10.1186/s12885-023-10656-1. PMID: 36823587.</w:t>
      </w:r>
    </w:p>
  </w:footnote>
  <w:footnote w:id="79">
    <w:p>
      <w:pPr>
        <w:pStyle w:val="FootnoteText"/>
      </w:pPr>
      <w:r>
        <w:rPr>
          <w:rStyle w:val="FootnoteReference"/>
        </w:rPr>
        <w:footnoteRef/>
      </w:r>
      <w:r>
        <w:t xml:space="preserve"> </w:t>
      </w:r>
      <w:r>
        <w:t xml:space="preserve">Greytak SR, Engel KB, Hoon DSB, Elias KM, Lockwood CM, Guan P, et al. Evidence-based procedures to improve the reliability of circulating miRNA biomarker assays. Clin Chem Lab Med. 2024 Jan 26;62(1):60-66. doi: 10.1515/cclm-2023-0131. PMID: 37129007.</w:t>
      </w:r>
    </w:p>
  </w:footnote>
  <w:footnote w:id="80">
    <w:p>
      <w:pPr>
        <w:pStyle w:val="FootnoteText"/>
      </w:pPr>
      <w:r>
        <w:rPr>
          <w:rStyle w:val="FootnoteReference"/>
        </w:rPr>
        <w:footnoteRef/>
      </w:r>
      <w:r>
        <w:t xml:space="preserve"> </w:t>
      </w:r>
      <w:r>
        <w:t xml:space="preserve">Barnes RP, de Rosa M, Thosar SA, Detwiler AC, Roginskaya V, Van Houten B, et al. Telomeric 8-oxo-guanine drives rapid premature senescence in the absence of telomere shortening. Nat Struct Mol Biol. 2022 Jul 30;29(7):639-652. doi: 10.1038/s41594-022-00790-y. PMID: 35773409.</w:t>
      </w:r>
    </w:p>
  </w:footnote>
  <w:footnote w:id="81">
    <w:p>
      <w:pPr>
        <w:pStyle w:val="FootnoteText"/>
      </w:pPr>
      <w:r>
        <w:rPr>
          <w:rStyle w:val="FootnoteReference"/>
        </w:rPr>
        <w:footnoteRef/>
      </w:r>
      <w:r>
        <w:t xml:space="preserve"> </w:t>
      </w:r>
      <w:r>
        <w:t xml:space="preserve">Bifarin OO, Gaul DA, Sah S, Arnold RS, Ogan K, Master VA, et al. Urine-Based Metabolomics and Machine Learning Reveals Metabolites Associated with Renal Cell Carcinoma Stage. Cancers (Basel). 2021 Dec 13;13(24). doi: 10.3390/cancers13246253. PMID: 34944874.</w:t>
      </w:r>
    </w:p>
  </w:footnote>
  <w:footnote w:id="83">
    <w:p>
      <w:pPr>
        <w:pStyle w:val="FootnoteText"/>
      </w:pPr>
      <w:r>
        <w:rPr>
          <w:rStyle w:val="FootnoteReference"/>
        </w:rPr>
        <w:footnoteRef/>
      </w:r>
      <w:r>
        <w:t xml:space="preserve"> </w:t>
      </w:r>
      <w:r>
        <w:t xml:space="preserve">Leidner R, Sanjuan Silva N, Huang H, Sprott D, Zheng C, Shih YP, et al. Neoantigen T-Cell Receptor Gene Therapy in Pancreatic Cancer. N Engl J Med. 2022 Jun 02;386(22):2112-2119. doi: 10.1056/NEJMoa2119662. PMID: 35648703.</w:t>
      </w:r>
    </w:p>
  </w:footnote>
  <w:footnote w:id="84">
    <w:p>
      <w:pPr>
        <w:pStyle w:val="FootnoteText"/>
      </w:pPr>
      <w:r>
        <w:rPr>
          <w:rStyle w:val="FootnoteReference"/>
        </w:rPr>
        <w:footnoteRef/>
      </w:r>
      <w:r>
        <w:t xml:space="preserve"> </w:t>
      </w:r>
      <w:r>
        <w:t xml:space="preserve">Li Y, Basar R, Wang G, Liu E, Moyes JS, Li L, et al. KIR-based inhibitory CARs overcome CAR-NK cell trogocytosis-mediated fratricide and tumor escape. Nat Med. 2022 Oct 29;28(10):2133-2144. doi: 10.1038/s41591-022-02003-x. PMID: 36175679.</w:t>
      </w:r>
    </w:p>
  </w:footnote>
  <w:footnote w:id="85">
    <w:p>
      <w:pPr>
        <w:pStyle w:val="FootnoteText"/>
      </w:pPr>
      <w:r>
        <w:rPr>
          <w:rStyle w:val="FootnoteReference"/>
        </w:rPr>
        <w:footnoteRef/>
      </w:r>
      <w:r>
        <w:t xml:space="preserve"> </w:t>
      </w:r>
      <w:r>
        <w:t xml:space="preserve">Xia H, Hoang MH, Schmidt E, Kiwala S, McMichael J, Skidmore ZL, et al. pVACview: an interactive visualization tool for efficient neoantigen prioritization and selection. Genome Med. 2024 Nov 14;16(1):132. doi: 10.1186/s13073-024-01384-7. PMID: 39538339.</w:t>
      </w:r>
    </w:p>
  </w:footnote>
  <w:footnote w:id="87">
    <w:p>
      <w:pPr>
        <w:pStyle w:val="FootnoteText"/>
      </w:pPr>
      <w:r>
        <w:rPr>
          <w:rStyle w:val="FootnoteReference"/>
        </w:rPr>
        <w:footnoteRef/>
      </w:r>
      <w:r>
        <w:t xml:space="preserve"> </w:t>
      </w:r>
      <w:r>
        <w:t xml:space="preserve">Gallanis AF, Gamble LA, Samaranayake SG, Lopez R, Rhodes A, Rajasimhan S, et al. Costs of Cancer Prevention: Physical and Psychosocial Sequelae of Risk-Reducing Total Gastrectomy. J Clin Oncol. 2024 Feb 01;42(4):421-430. doi: 10.1200/JCO.23.01238. PMID: 37903316.</w:t>
      </w:r>
    </w:p>
  </w:footnote>
  <w:footnote w:id="88">
    <w:p>
      <w:pPr>
        <w:pStyle w:val="FootnoteText"/>
      </w:pPr>
      <w:r>
        <w:rPr>
          <w:rStyle w:val="FootnoteReference"/>
        </w:rPr>
        <w:footnoteRef/>
      </w:r>
      <w:r>
        <w:t xml:space="preserve"> </w:t>
      </w:r>
      <w:r>
        <w:t xml:space="preserve">PMID: 37289928.</w:t>
      </w:r>
      <w:r>
        <w:t xml:space="preserve"> </w:t>
      </w:r>
      <w:hyperlink r:id="rId89">
        <w:r>
          <w:rPr>
            <w:rStyle w:val="Hyperlink"/>
          </w:rPr>
          <w:t xml:space="preserve">https://pubmed.ncbi.nlm.nih.gov/37289928</w:t>
        </w:r>
      </w:hyperlink>
    </w:p>
  </w:footnote>
  <w:footnote w:id="91">
    <w:p>
      <w:pPr>
        <w:pStyle w:val="FootnoteText"/>
      </w:pPr>
      <w:r>
        <w:rPr>
          <w:rStyle w:val="FootnoteReference"/>
        </w:rPr>
        <w:footnoteRef/>
      </w:r>
      <w:r>
        <w:t xml:space="preserve"> </w:t>
      </w:r>
      <w:r>
        <w:t xml:space="preserve">Watts EL, Matthews CE, Freeman JR, Gorzelitz JS, Hong HG, Liao LM, et al. Association of Leisure Time Physical Activity Types and Risks of All-Cause, Cardiovascular, and Cancer Mortality Among Older Adults. JAMA Netw Open. 2022 Aug 01;5(8):e2228510. doi: 10.1001/jamanetworkopen.2022.28510. PMID: 36001316.</w:t>
      </w:r>
    </w:p>
  </w:footnote>
  <w:footnote w:id="93">
    <w:p>
      <w:pPr>
        <w:pStyle w:val="FootnoteText"/>
      </w:pPr>
      <w:r>
        <w:rPr>
          <w:rStyle w:val="FootnoteReference"/>
        </w:rPr>
        <w:footnoteRef/>
      </w:r>
      <w:r>
        <w:t xml:space="preserve"> </w:t>
      </w:r>
      <w:r>
        <w:t xml:space="preserve">Einstein MH, Zhou N, Gabor L, Sahasrabuddhe VV. Primary Human Papillomavirus Testing and Other New Technologies for Cervical Cancer Screening. Obstet Gynecol. 2023 Nov 01;142(5):1036-1043. doi: 10.1097/AOG.0000000000005393. PMID: 37708516.</w:t>
      </w:r>
    </w:p>
  </w:footnote>
  <w:footnote w:id="94">
    <w:p>
      <w:pPr>
        <w:pStyle w:val="FootnoteText"/>
      </w:pPr>
      <w:r>
        <w:rPr>
          <w:rStyle w:val="FootnoteReference"/>
        </w:rPr>
        <w:footnoteRef/>
      </w:r>
      <w:r>
        <w:t xml:space="preserve"> </w:t>
      </w:r>
      <w:r>
        <w:t xml:space="preserve">Knudsen AB, Trentham-Dietz A, Kim JJ, Mandelblatt JS, Meza R, Zauber AG, et al. Estimated US Cancer Deaths Prevented With Increased Use of Lung, Colorectal, Breast, and Cervical Cancer Screening. JAMA Netw Open. 2023 Nov 01;6(11):e2344698. doi: 10.1001/jamanetworkopen.2023.44698. PMID: 37991759.</w:t>
      </w:r>
    </w:p>
  </w:footnote>
  <w:footnote w:id="95">
    <w:p>
      <w:pPr>
        <w:pStyle w:val="FootnoteText"/>
      </w:pPr>
      <w:r>
        <w:rPr>
          <w:rStyle w:val="FootnoteReference"/>
        </w:rPr>
        <w:footnoteRef/>
      </w:r>
      <w:r>
        <w:t xml:space="preserve"> </w:t>
      </w:r>
      <w:r>
        <w:t xml:space="preserve">Palefsky JM, Lee JY, Jay N, Goldstone SE, Darragh TM, Dunlevy HA, et al. Treatment of Anal High-Grade Squamous Intraepithelial Lesions to Prevent Anal Cancer. N Engl J Med. 2022 Jun 16;386(24):2273-2282. doi: 10.1056/NEJMoa2201048. PMID: 35704479.</w:t>
      </w:r>
    </w:p>
  </w:footnote>
  <w:footnote w:id="96">
    <w:p>
      <w:pPr>
        <w:pStyle w:val="FootnoteText"/>
      </w:pPr>
      <w:r>
        <w:rPr>
          <w:rStyle w:val="FootnoteReference"/>
        </w:rPr>
        <w:footnoteRef/>
      </w:r>
      <w:r>
        <w:t xml:space="preserve"> </w:t>
      </w:r>
      <w:hyperlink r:id="rId97">
        <w:r>
          <w:rPr>
            <w:rStyle w:val="Hyperlink"/>
          </w:rPr>
          <w:t xml:space="preserve">https://www.nidcr.nih.gov/grants-funding/research-funded-by-nidcr-extramural/ahead</w:t>
        </w:r>
      </w:hyperlink>
    </w:p>
  </w:footnote>
  <w:footnote w:id="98">
    <w:p>
      <w:pPr>
        <w:pStyle w:val="FootnoteText"/>
      </w:pPr>
      <w:r>
        <w:rPr>
          <w:rStyle w:val="FootnoteReference"/>
        </w:rPr>
        <w:footnoteRef/>
      </w:r>
      <w:r>
        <w:t xml:space="preserve"> </w:t>
      </w:r>
      <w:r>
        <w:t xml:space="preserve">Coole JB, Brenes D, Mitbander R, Vohra I, Hou H, Kortum A, et al. Multimodal optical imaging with real-time projection of cancer risk and biopsy guidance maps for early oral cancer diagnosis and treatment. J Biomed Opt. 2023 Jan 13;28(1):016002. doi: 10.1117/1.JBO.28.1.016002. PMID: 36654656.</w:t>
      </w:r>
    </w:p>
  </w:footnote>
  <w:footnote w:id="100">
    <w:p>
      <w:pPr>
        <w:pStyle w:val="FootnoteText"/>
      </w:pPr>
      <w:r>
        <w:rPr>
          <w:rStyle w:val="FootnoteReference"/>
        </w:rPr>
        <w:footnoteRef/>
      </w:r>
      <w:r>
        <w:t xml:space="preserve"> </w:t>
      </w:r>
      <w:r>
        <w:t xml:space="preserve">Watson DC, Bayik D, Storevik S, Moreino SS, Sprowls SA, Han J, et al. GAP43-dependent mitochondria transfer from astrocytes enhances glioblastoma tumorigenicity. Nat Cancer. 2023 May 11;4(5):648-664. doi: 10.1038/s43018-023-00556-5. PMID: 37169842.</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527405"/>
    <w:multiLevelType w:val="multilevel"/>
    <w:tmpl w:val="F2ECD716"/>
    <w:lvl w:ilvl="0">
      <w:start w:val="1"/>
      <w:numFmt w:val="decimal"/>
      <w:lvlText w:val="%1."/>
      <w:lvlJc w:val="left"/>
      <w:pPr>
        <w:tabs>
          <w:tab w:pos="360" w:val="num"/>
        </w:tabs>
        <w:ind w:hanging="360" w:left="360"/>
      </w:pPr>
    </w:lvl>
    <w:lvl w:ilvl="1" w:tentative="1">
      <w:start w:val="1"/>
      <w:numFmt w:val="decimal"/>
      <w:lvlText w:val="%2."/>
      <w:lvlJc w:val="left"/>
      <w:pPr>
        <w:tabs>
          <w:tab w:pos="1080" w:val="num"/>
        </w:tabs>
        <w:ind w:hanging="360" w:left="1080"/>
      </w:pPr>
    </w:lvl>
    <w:lvl w:ilvl="2" w:tentative="1">
      <w:start w:val="1"/>
      <w:numFmt w:val="decimal"/>
      <w:lvlText w:val="%3."/>
      <w:lvlJc w:val="left"/>
      <w:pPr>
        <w:tabs>
          <w:tab w:pos="1800" w:val="num"/>
        </w:tabs>
        <w:ind w:hanging="360" w:left="1800"/>
      </w:pPr>
    </w:lvl>
    <w:lvl w:ilvl="3" w:tentative="1">
      <w:start w:val="1"/>
      <w:numFmt w:val="decimal"/>
      <w:lvlText w:val="%4."/>
      <w:lvlJc w:val="left"/>
      <w:pPr>
        <w:tabs>
          <w:tab w:pos="2520" w:val="num"/>
        </w:tabs>
        <w:ind w:hanging="360" w:left="2520"/>
      </w:pPr>
    </w:lvl>
    <w:lvl w:ilvl="4" w:tentative="1">
      <w:start w:val="1"/>
      <w:numFmt w:val="decimal"/>
      <w:lvlText w:val="%5."/>
      <w:lvlJc w:val="left"/>
      <w:pPr>
        <w:tabs>
          <w:tab w:pos="3240" w:val="num"/>
        </w:tabs>
        <w:ind w:hanging="360" w:left="3240"/>
      </w:pPr>
    </w:lvl>
    <w:lvl w:ilvl="5" w:tentative="1">
      <w:start w:val="1"/>
      <w:numFmt w:val="decimal"/>
      <w:lvlText w:val="%6."/>
      <w:lvlJc w:val="left"/>
      <w:pPr>
        <w:tabs>
          <w:tab w:pos="3960" w:val="num"/>
        </w:tabs>
        <w:ind w:hanging="360" w:left="3960"/>
      </w:pPr>
    </w:lvl>
    <w:lvl w:ilvl="6" w:tentative="1">
      <w:start w:val="1"/>
      <w:numFmt w:val="decimal"/>
      <w:lvlText w:val="%7."/>
      <w:lvlJc w:val="left"/>
      <w:pPr>
        <w:tabs>
          <w:tab w:pos="4680" w:val="num"/>
        </w:tabs>
        <w:ind w:hanging="360" w:left="4680"/>
      </w:pPr>
    </w:lvl>
    <w:lvl w:ilvl="7" w:tentative="1">
      <w:start w:val="1"/>
      <w:numFmt w:val="decimal"/>
      <w:lvlText w:val="%8."/>
      <w:lvlJc w:val="left"/>
      <w:pPr>
        <w:tabs>
          <w:tab w:pos="5400" w:val="num"/>
        </w:tabs>
        <w:ind w:hanging="360" w:left="5400"/>
      </w:pPr>
    </w:lvl>
    <w:lvl w:ilvl="8" w:tentative="1">
      <w:start w:val="1"/>
      <w:numFmt w:val="decimal"/>
      <w:lvlText w:val="%9."/>
      <w:lvlJc w:val="left"/>
      <w:pPr>
        <w:tabs>
          <w:tab w:pos="6120" w:val="num"/>
        </w:tabs>
        <w:ind w:hanging="360" w:left="6120"/>
      </w:pPr>
    </w:lvl>
  </w:abstractNum>
  <w:abstractNum w15:restartNumberingAfterBreak="0" w:abstractNumId="1">
    <w:nsid w:val="1D0C09C3"/>
    <w:multiLevelType w:val="multilevel"/>
    <w:tmpl w:val="386E57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
    <w:nsid w:val="426602B9"/>
    <w:multiLevelType w:val="multilevel"/>
    <w:tmpl w:val="5B52D94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4CD95EB1"/>
    <w:multiLevelType w:val="multilevel"/>
    <w:tmpl w:val="EAAC8A9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736D6DEE"/>
    <w:multiLevelType w:val="multilevel"/>
    <w:tmpl w:val="F2ECD71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8683342" w:numId="1">
    <w:abstractNumId w:val="3"/>
  </w:num>
  <w:num w16cid:durableId="2145081783" w:numId="2">
    <w:abstractNumId w:val="4"/>
  </w:num>
  <w:num w16cid:durableId="695812795" w:numId="3">
    <w:abstractNumId w:val="0"/>
  </w:num>
  <w:num w16cid:durableId="1274676838" w:numId="4">
    <w:abstractNumId w:val="2"/>
  </w:num>
  <w:num w16cid:durableId="418017339" w:numId="5">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160"/>
    <w:rsid w:val="00000BE3"/>
    <w:rsid w:val="00005FF4"/>
    <w:rsid w:val="00007C4E"/>
    <w:rsid w:val="00010A2E"/>
    <w:rsid w:val="000123E5"/>
    <w:rsid w:val="00016B16"/>
    <w:rsid w:val="00017DCA"/>
    <w:rsid w:val="00022BBF"/>
    <w:rsid w:val="000240FA"/>
    <w:rsid w:val="00025991"/>
    <w:rsid w:val="0003321F"/>
    <w:rsid w:val="00035FB1"/>
    <w:rsid w:val="00041201"/>
    <w:rsid w:val="00044B72"/>
    <w:rsid w:val="0004526E"/>
    <w:rsid w:val="00047C0A"/>
    <w:rsid w:val="00060DA1"/>
    <w:rsid w:val="000611CB"/>
    <w:rsid w:val="00061DDC"/>
    <w:rsid w:val="000641C6"/>
    <w:rsid w:val="00066CC7"/>
    <w:rsid w:val="00073467"/>
    <w:rsid w:val="0007430E"/>
    <w:rsid w:val="00080794"/>
    <w:rsid w:val="00083608"/>
    <w:rsid w:val="00087A22"/>
    <w:rsid w:val="000937EC"/>
    <w:rsid w:val="00093DB6"/>
    <w:rsid w:val="000A2F30"/>
    <w:rsid w:val="000A345C"/>
    <w:rsid w:val="000A3464"/>
    <w:rsid w:val="000A36DB"/>
    <w:rsid w:val="000A7111"/>
    <w:rsid w:val="000B5859"/>
    <w:rsid w:val="000B6A6B"/>
    <w:rsid w:val="000C2ADF"/>
    <w:rsid w:val="000C64A0"/>
    <w:rsid w:val="000D4659"/>
    <w:rsid w:val="000D62AF"/>
    <w:rsid w:val="000D74D5"/>
    <w:rsid w:val="000E41A9"/>
    <w:rsid w:val="000F6BAA"/>
    <w:rsid w:val="00104AEA"/>
    <w:rsid w:val="00106619"/>
    <w:rsid w:val="00114BE1"/>
    <w:rsid w:val="00114E77"/>
    <w:rsid w:val="001157E7"/>
    <w:rsid w:val="00117056"/>
    <w:rsid w:val="001172EF"/>
    <w:rsid w:val="00120470"/>
    <w:rsid w:val="00120515"/>
    <w:rsid w:val="0012329A"/>
    <w:rsid w:val="001232D9"/>
    <w:rsid w:val="00123429"/>
    <w:rsid w:val="00130469"/>
    <w:rsid w:val="001328E3"/>
    <w:rsid w:val="00134D75"/>
    <w:rsid w:val="001354ED"/>
    <w:rsid w:val="00145011"/>
    <w:rsid w:val="001509C8"/>
    <w:rsid w:val="00150C61"/>
    <w:rsid w:val="001537BD"/>
    <w:rsid w:val="00155A4D"/>
    <w:rsid w:val="00160F18"/>
    <w:rsid w:val="00163D07"/>
    <w:rsid w:val="00166896"/>
    <w:rsid w:val="00166CC5"/>
    <w:rsid w:val="00171BDF"/>
    <w:rsid w:val="00172676"/>
    <w:rsid w:val="00173BD5"/>
    <w:rsid w:val="00182A2D"/>
    <w:rsid w:val="00183603"/>
    <w:rsid w:val="0018627F"/>
    <w:rsid w:val="00190ADB"/>
    <w:rsid w:val="00193DC3"/>
    <w:rsid w:val="00196BC6"/>
    <w:rsid w:val="001976D6"/>
    <w:rsid w:val="00197989"/>
    <w:rsid w:val="001A04A8"/>
    <w:rsid w:val="001A1591"/>
    <w:rsid w:val="001A7E5F"/>
    <w:rsid w:val="001B4E52"/>
    <w:rsid w:val="001C22CB"/>
    <w:rsid w:val="001C3F80"/>
    <w:rsid w:val="001C71A1"/>
    <w:rsid w:val="001C78D9"/>
    <w:rsid w:val="001C7E54"/>
    <w:rsid w:val="001D54BE"/>
    <w:rsid w:val="001D5F12"/>
    <w:rsid w:val="001D6DF3"/>
    <w:rsid w:val="001F287B"/>
    <w:rsid w:val="001F2B68"/>
    <w:rsid w:val="001F36DB"/>
    <w:rsid w:val="001F791D"/>
    <w:rsid w:val="001F7E75"/>
    <w:rsid w:val="00214658"/>
    <w:rsid w:val="0021538C"/>
    <w:rsid w:val="00217A5A"/>
    <w:rsid w:val="00217D04"/>
    <w:rsid w:val="00230179"/>
    <w:rsid w:val="00231181"/>
    <w:rsid w:val="0023590C"/>
    <w:rsid w:val="002449E8"/>
    <w:rsid w:val="00244AC2"/>
    <w:rsid w:val="002450D5"/>
    <w:rsid w:val="002504C8"/>
    <w:rsid w:val="00262264"/>
    <w:rsid w:val="002679F8"/>
    <w:rsid w:val="002712A9"/>
    <w:rsid w:val="00276204"/>
    <w:rsid w:val="00277792"/>
    <w:rsid w:val="002950BC"/>
    <w:rsid w:val="002A0EC5"/>
    <w:rsid w:val="002A1B45"/>
    <w:rsid w:val="002A20F6"/>
    <w:rsid w:val="002A22DA"/>
    <w:rsid w:val="002A37F2"/>
    <w:rsid w:val="002A6E68"/>
    <w:rsid w:val="002B1211"/>
    <w:rsid w:val="002B27FF"/>
    <w:rsid w:val="002C0E46"/>
    <w:rsid w:val="002C3596"/>
    <w:rsid w:val="002C3B42"/>
    <w:rsid w:val="002C6499"/>
    <w:rsid w:val="002D4695"/>
    <w:rsid w:val="002D5625"/>
    <w:rsid w:val="002F0386"/>
    <w:rsid w:val="002F24B2"/>
    <w:rsid w:val="002F45E8"/>
    <w:rsid w:val="002F5E79"/>
    <w:rsid w:val="002F6899"/>
    <w:rsid w:val="003019AF"/>
    <w:rsid w:val="0030317E"/>
    <w:rsid w:val="00303597"/>
    <w:rsid w:val="00306A66"/>
    <w:rsid w:val="00310B9B"/>
    <w:rsid w:val="00311FC5"/>
    <w:rsid w:val="003132FC"/>
    <w:rsid w:val="00317DEA"/>
    <w:rsid w:val="00320445"/>
    <w:rsid w:val="003205B4"/>
    <w:rsid w:val="003262A4"/>
    <w:rsid w:val="00326AD5"/>
    <w:rsid w:val="003300FE"/>
    <w:rsid w:val="0033093E"/>
    <w:rsid w:val="0033286B"/>
    <w:rsid w:val="0033431C"/>
    <w:rsid w:val="0033474F"/>
    <w:rsid w:val="0033511C"/>
    <w:rsid w:val="00336F5F"/>
    <w:rsid w:val="00346A83"/>
    <w:rsid w:val="00346F68"/>
    <w:rsid w:val="00353F00"/>
    <w:rsid w:val="00361EDC"/>
    <w:rsid w:val="00363E8A"/>
    <w:rsid w:val="003651B6"/>
    <w:rsid w:val="0036556D"/>
    <w:rsid w:val="003657D9"/>
    <w:rsid w:val="003657FD"/>
    <w:rsid w:val="00366656"/>
    <w:rsid w:val="00370170"/>
    <w:rsid w:val="00372A78"/>
    <w:rsid w:val="0037395B"/>
    <w:rsid w:val="00375AA7"/>
    <w:rsid w:val="003763FB"/>
    <w:rsid w:val="00383E44"/>
    <w:rsid w:val="0038496A"/>
    <w:rsid w:val="003858A2"/>
    <w:rsid w:val="003921EC"/>
    <w:rsid w:val="00394C65"/>
    <w:rsid w:val="003950C4"/>
    <w:rsid w:val="003A1249"/>
    <w:rsid w:val="003A1FB3"/>
    <w:rsid w:val="003A555E"/>
    <w:rsid w:val="003B460C"/>
    <w:rsid w:val="003B7768"/>
    <w:rsid w:val="003C2C6D"/>
    <w:rsid w:val="003C6CD8"/>
    <w:rsid w:val="003C78AF"/>
    <w:rsid w:val="003D052C"/>
    <w:rsid w:val="003D2CEF"/>
    <w:rsid w:val="003D58E5"/>
    <w:rsid w:val="003D78D7"/>
    <w:rsid w:val="003E1551"/>
    <w:rsid w:val="003E1EC4"/>
    <w:rsid w:val="003E6CF0"/>
    <w:rsid w:val="003E78FB"/>
    <w:rsid w:val="003F0FC8"/>
    <w:rsid w:val="003F1199"/>
    <w:rsid w:val="003F61B7"/>
    <w:rsid w:val="003F76E4"/>
    <w:rsid w:val="003F799D"/>
    <w:rsid w:val="004037BA"/>
    <w:rsid w:val="00404050"/>
    <w:rsid w:val="00406061"/>
    <w:rsid w:val="004110CA"/>
    <w:rsid w:val="004173CF"/>
    <w:rsid w:val="004207FD"/>
    <w:rsid w:val="00420DF4"/>
    <w:rsid w:val="004245D1"/>
    <w:rsid w:val="00424CA9"/>
    <w:rsid w:val="00426CF5"/>
    <w:rsid w:val="004340F1"/>
    <w:rsid w:val="00434AC8"/>
    <w:rsid w:val="00435D46"/>
    <w:rsid w:val="00437BFE"/>
    <w:rsid w:val="0044015B"/>
    <w:rsid w:val="00440DD7"/>
    <w:rsid w:val="00442BF3"/>
    <w:rsid w:val="00442F6A"/>
    <w:rsid w:val="00446700"/>
    <w:rsid w:val="00455C12"/>
    <w:rsid w:val="004565E6"/>
    <w:rsid w:val="00457F7C"/>
    <w:rsid w:val="004602F3"/>
    <w:rsid w:val="0046236C"/>
    <w:rsid w:val="00466AE7"/>
    <w:rsid w:val="004716CB"/>
    <w:rsid w:val="004737E6"/>
    <w:rsid w:val="004760BB"/>
    <w:rsid w:val="00477F92"/>
    <w:rsid w:val="00481F43"/>
    <w:rsid w:val="00482FAD"/>
    <w:rsid w:val="0048326E"/>
    <w:rsid w:val="00484EB0"/>
    <w:rsid w:val="004900C4"/>
    <w:rsid w:val="00493C6D"/>
    <w:rsid w:val="00495B80"/>
    <w:rsid w:val="004A1383"/>
    <w:rsid w:val="004A1473"/>
    <w:rsid w:val="004B0D00"/>
    <w:rsid w:val="004B173F"/>
    <w:rsid w:val="004B7345"/>
    <w:rsid w:val="004C00B2"/>
    <w:rsid w:val="004C0325"/>
    <w:rsid w:val="004C58AF"/>
    <w:rsid w:val="004D1020"/>
    <w:rsid w:val="004D21EE"/>
    <w:rsid w:val="004E27E1"/>
    <w:rsid w:val="004E3160"/>
    <w:rsid w:val="004E3D55"/>
    <w:rsid w:val="004E4BD6"/>
    <w:rsid w:val="004E53BF"/>
    <w:rsid w:val="004F4112"/>
    <w:rsid w:val="004F7090"/>
    <w:rsid w:val="004F77D7"/>
    <w:rsid w:val="005002FE"/>
    <w:rsid w:val="00500C8C"/>
    <w:rsid w:val="00504896"/>
    <w:rsid w:val="00506537"/>
    <w:rsid w:val="005121AB"/>
    <w:rsid w:val="0051659B"/>
    <w:rsid w:val="00516819"/>
    <w:rsid w:val="0052036F"/>
    <w:rsid w:val="00520FF4"/>
    <w:rsid w:val="00521D41"/>
    <w:rsid w:val="00526747"/>
    <w:rsid w:val="005268E7"/>
    <w:rsid w:val="005333CB"/>
    <w:rsid w:val="0053370E"/>
    <w:rsid w:val="00533CEE"/>
    <w:rsid w:val="00534F00"/>
    <w:rsid w:val="005362A9"/>
    <w:rsid w:val="00543644"/>
    <w:rsid w:val="00546395"/>
    <w:rsid w:val="00546A25"/>
    <w:rsid w:val="00550033"/>
    <w:rsid w:val="00552F7F"/>
    <w:rsid w:val="0055495B"/>
    <w:rsid w:val="00556FA4"/>
    <w:rsid w:val="0056335E"/>
    <w:rsid w:val="00577247"/>
    <w:rsid w:val="00585E9B"/>
    <w:rsid w:val="00586430"/>
    <w:rsid w:val="005874C4"/>
    <w:rsid w:val="00591FA7"/>
    <w:rsid w:val="00594014"/>
    <w:rsid w:val="005A1073"/>
    <w:rsid w:val="005A1ADD"/>
    <w:rsid w:val="005A1B7E"/>
    <w:rsid w:val="005A2BE7"/>
    <w:rsid w:val="005A3ABA"/>
    <w:rsid w:val="005A5D98"/>
    <w:rsid w:val="005B0C83"/>
    <w:rsid w:val="005B18EA"/>
    <w:rsid w:val="005C10F8"/>
    <w:rsid w:val="005C35B7"/>
    <w:rsid w:val="005C50D5"/>
    <w:rsid w:val="005C5160"/>
    <w:rsid w:val="005C6FB1"/>
    <w:rsid w:val="005D15CD"/>
    <w:rsid w:val="005D3F97"/>
    <w:rsid w:val="005E0C34"/>
    <w:rsid w:val="005E1AE3"/>
    <w:rsid w:val="005E7494"/>
    <w:rsid w:val="005F007F"/>
    <w:rsid w:val="005F73B3"/>
    <w:rsid w:val="00600229"/>
    <w:rsid w:val="006005B0"/>
    <w:rsid w:val="00602913"/>
    <w:rsid w:val="006029C3"/>
    <w:rsid w:val="00603256"/>
    <w:rsid w:val="00604F38"/>
    <w:rsid w:val="0060584C"/>
    <w:rsid w:val="0060691E"/>
    <w:rsid w:val="00610F37"/>
    <w:rsid w:val="00612B97"/>
    <w:rsid w:val="00614884"/>
    <w:rsid w:val="00617DF7"/>
    <w:rsid w:val="00622ED1"/>
    <w:rsid w:val="0062476B"/>
    <w:rsid w:val="006248BD"/>
    <w:rsid w:val="006271D7"/>
    <w:rsid w:val="0062745B"/>
    <w:rsid w:val="0063186D"/>
    <w:rsid w:val="00632824"/>
    <w:rsid w:val="006334FB"/>
    <w:rsid w:val="0063450E"/>
    <w:rsid w:val="0064414C"/>
    <w:rsid w:val="00655C37"/>
    <w:rsid w:val="00660051"/>
    <w:rsid w:val="00660C76"/>
    <w:rsid w:val="00661B4E"/>
    <w:rsid w:val="006646E2"/>
    <w:rsid w:val="00665845"/>
    <w:rsid w:val="006663F2"/>
    <w:rsid w:val="0067314C"/>
    <w:rsid w:val="00675402"/>
    <w:rsid w:val="00677DFF"/>
    <w:rsid w:val="0068259D"/>
    <w:rsid w:val="006826F1"/>
    <w:rsid w:val="00682775"/>
    <w:rsid w:val="00683AF0"/>
    <w:rsid w:val="006844A0"/>
    <w:rsid w:val="00684749"/>
    <w:rsid w:val="00687E62"/>
    <w:rsid w:val="0069039F"/>
    <w:rsid w:val="0069088A"/>
    <w:rsid w:val="00690A5D"/>
    <w:rsid w:val="00696572"/>
    <w:rsid w:val="006967A3"/>
    <w:rsid w:val="006A0937"/>
    <w:rsid w:val="006A0D5F"/>
    <w:rsid w:val="006A191B"/>
    <w:rsid w:val="006A696F"/>
    <w:rsid w:val="006A6B88"/>
    <w:rsid w:val="006A6E89"/>
    <w:rsid w:val="006B3623"/>
    <w:rsid w:val="006C42C4"/>
    <w:rsid w:val="006C53E4"/>
    <w:rsid w:val="006C7BE1"/>
    <w:rsid w:val="006D09A1"/>
    <w:rsid w:val="006D1729"/>
    <w:rsid w:val="006D174E"/>
    <w:rsid w:val="006D4122"/>
    <w:rsid w:val="006D48EE"/>
    <w:rsid w:val="006E2AF5"/>
    <w:rsid w:val="006E2F8D"/>
    <w:rsid w:val="006F5A6A"/>
    <w:rsid w:val="006F7536"/>
    <w:rsid w:val="006F7B6B"/>
    <w:rsid w:val="00702DDE"/>
    <w:rsid w:val="00703F20"/>
    <w:rsid w:val="007128A1"/>
    <w:rsid w:val="007166EE"/>
    <w:rsid w:val="0071673E"/>
    <w:rsid w:val="00722DF7"/>
    <w:rsid w:val="00731C45"/>
    <w:rsid w:val="007328AB"/>
    <w:rsid w:val="00734E3C"/>
    <w:rsid w:val="007358F6"/>
    <w:rsid w:val="007416FF"/>
    <w:rsid w:val="00741EC2"/>
    <w:rsid w:val="007446F6"/>
    <w:rsid w:val="00744DDE"/>
    <w:rsid w:val="007471E8"/>
    <w:rsid w:val="007503D9"/>
    <w:rsid w:val="00752FD9"/>
    <w:rsid w:val="00755476"/>
    <w:rsid w:val="007563E5"/>
    <w:rsid w:val="00756D53"/>
    <w:rsid w:val="007571CB"/>
    <w:rsid w:val="00760723"/>
    <w:rsid w:val="00761552"/>
    <w:rsid w:val="00765233"/>
    <w:rsid w:val="00767251"/>
    <w:rsid w:val="00767A1D"/>
    <w:rsid w:val="007714A0"/>
    <w:rsid w:val="0077307A"/>
    <w:rsid w:val="00780CD2"/>
    <w:rsid w:val="00780F06"/>
    <w:rsid w:val="00781325"/>
    <w:rsid w:val="00782063"/>
    <w:rsid w:val="00782442"/>
    <w:rsid w:val="0078556D"/>
    <w:rsid w:val="00787C40"/>
    <w:rsid w:val="00791809"/>
    <w:rsid w:val="007922DD"/>
    <w:rsid w:val="007923EC"/>
    <w:rsid w:val="00792710"/>
    <w:rsid w:val="007945BB"/>
    <w:rsid w:val="0079615A"/>
    <w:rsid w:val="007A4C68"/>
    <w:rsid w:val="007B588A"/>
    <w:rsid w:val="007B7EF4"/>
    <w:rsid w:val="007C0918"/>
    <w:rsid w:val="007C6103"/>
    <w:rsid w:val="007C77FC"/>
    <w:rsid w:val="007D1DBA"/>
    <w:rsid w:val="007D5571"/>
    <w:rsid w:val="007D691B"/>
    <w:rsid w:val="007E2F20"/>
    <w:rsid w:val="007E46B6"/>
    <w:rsid w:val="007E597B"/>
    <w:rsid w:val="007F3409"/>
    <w:rsid w:val="007F48E3"/>
    <w:rsid w:val="007F57EA"/>
    <w:rsid w:val="00803802"/>
    <w:rsid w:val="00805F79"/>
    <w:rsid w:val="008078D7"/>
    <w:rsid w:val="00807CDA"/>
    <w:rsid w:val="0081139B"/>
    <w:rsid w:val="0081556E"/>
    <w:rsid w:val="00820929"/>
    <w:rsid w:val="00822F0D"/>
    <w:rsid w:val="00832CCB"/>
    <w:rsid w:val="00833EDA"/>
    <w:rsid w:val="00842E7F"/>
    <w:rsid w:val="00843B23"/>
    <w:rsid w:val="00845883"/>
    <w:rsid w:val="00845C51"/>
    <w:rsid w:val="00854F6E"/>
    <w:rsid w:val="00857472"/>
    <w:rsid w:val="00857F3D"/>
    <w:rsid w:val="00857FF4"/>
    <w:rsid w:val="00860B2A"/>
    <w:rsid w:val="008614CF"/>
    <w:rsid w:val="00862407"/>
    <w:rsid w:val="0086349F"/>
    <w:rsid w:val="008656EA"/>
    <w:rsid w:val="008707AA"/>
    <w:rsid w:val="00876927"/>
    <w:rsid w:val="00877679"/>
    <w:rsid w:val="00877C82"/>
    <w:rsid w:val="00877D31"/>
    <w:rsid w:val="008801D4"/>
    <w:rsid w:val="00882519"/>
    <w:rsid w:val="00883A43"/>
    <w:rsid w:val="00884AA4"/>
    <w:rsid w:val="008853FE"/>
    <w:rsid w:val="008859D7"/>
    <w:rsid w:val="00887AA8"/>
    <w:rsid w:val="00891C08"/>
    <w:rsid w:val="008A151C"/>
    <w:rsid w:val="008A35E0"/>
    <w:rsid w:val="008B35DF"/>
    <w:rsid w:val="008B40DF"/>
    <w:rsid w:val="008B4B9A"/>
    <w:rsid w:val="008B5653"/>
    <w:rsid w:val="008C07C6"/>
    <w:rsid w:val="008C1391"/>
    <w:rsid w:val="008C1F61"/>
    <w:rsid w:val="008C2A8B"/>
    <w:rsid w:val="008C3A8F"/>
    <w:rsid w:val="008C4240"/>
    <w:rsid w:val="008D188E"/>
    <w:rsid w:val="008D3AB6"/>
    <w:rsid w:val="008D6503"/>
    <w:rsid w:val="008E1168"/>
    <w:rsid w:val="008E5A47"/>
    <w:rsid w:val="008F3344"/>
    <w:rsid w:val="00900D17"/>
    <w:rsid w:val="00903070"/>
    <w:rsid w:val="00905A74"/>
    <w:rsid w:val="00906AD4"/>
    <w:rsid w:val="009116A2"/>
    <w:rsid w:val="00911A8B"/>
    <w:rsid w:val="0091788B"/>
    <w:rsid w:val="00922106"/>
    <w:rsid w:val="00923B00"/>
    <w:rsid w:val="00924848"/>
    <w:rsid w:val="00925367"/>
    <w:rsid w:val="00944412"/>
    <w:rsid w:val="00947D5C"/>
    <w:rsid w:val="0095272C"/>
    <w:rsid w:val="00955A1B"/>
    <w:rsid w:val="00956413"/>
    <w:rsid w:val="00962178"/>
    <w:rsid w:val="00966021"/>
    <w:rsid w:val="009710E7"/>
    <w:rsid w:val="00973411"/>
    <w:rsid w:val="00982C7C"/>
    <w:rsid w:val="00983643"/>
    <w:rsid w:val="00983DF8"/>
    <w:rsid w:val="009844EC"/>
    <w:rsid w:val="00985C73"/>
    <w:rsid w:val="0098708B"/>
    <w:rsid w:val="009962BE"/>
    <w:rsid w:val="009A6299"/>
    <w:rsid w:val="009C0AA0"/>
    <w:rsid w:val="009C0C3F"/>
    <w:rsid w:val="009C0E19"/>
    <w:rsid w:val="009D07C4"/>
    <w:rsid w:val="009D2331"/>
    <w:rsid w:val="009D5F8B"/>
    <w:rsid w:val="009D7EE8"/>
    <w:rsid w:val="009E14A5"/>
    <w:rsid w:val="009E1793"/>
    <w:rsid w:val="009E4430"/>
    <w:rsid w:val="009E46AF"/>
    <w:rsid w:val="009E4C4F"/>
    <w:rsid w:val="009E6DF6"/>
    <w:rsid w:val="009F3C10"/>
    <w:rsid w:val="009F5C9A"/>
    <w:rsid w:val="00A00818"/>
    <w:rsid w:val="00A01F73"/>
    <w:rsid w:val="00A02BC4"/>
    <w:rsid w:val="00A02DD8"/>
    <w:rsid w:val="00A0573A"/>
    <w:rsid w:val="00A062C2"/>
    <w:rsid w:val="00A157DE"/>
    <w:rsid w:val="00A16AC0"/>
    <w:rsid w:val="00A20C74"/>
    <w:rsid w:val="00A22277"/>
    <w:rsid w:val="00A24974"/>
    <w:rsid w:val="00A25CD3"/>
    <w:rsid w:val="00A32E1E"/>
    <w:rsid w:val="00A34E4C"/>
    <w:rsid w:val="00A41CF4"/>
    <w:rsid w:val="00A447D5"/>
    <w:rsid w:val="00A45385"/>
    <w:rsid w:val="00A52AA3"/>
    <w:rsid w:val="00A53800"/>
    <w:rsid w:val="00A56D8F"/>
    <w:rsid w:val="00A651DA"/>
    <w:rsid w:val="00A74650"/>
    <w:rsid w:val="00A7660B"/>
    <w:rsid w:val="00A7682A"/>
    <w:rsid w:val="00A776C8"/>
    <w:rsid w:val="00A77915"/>
    <w:rsid w:val="00A81020"/>
    <w:rsid w:val="00A83363"/>
    <w:rsid w:val="00A83E3B"/>
    <w:rsid w:val="00A85265"/>
    <w:rsid w:val="00A85BE2"/>
    <w:rsid w:val="00A917F9"/>
    <w:rsid w:val="00A940F8"/>
    <w:rsid w:val="00A94327"/>
    <w:rsid w:val="00A94637"/>
    <w:rsid w:val="00A9469C"/>
    <w:rsid w:val="00A95B01"/>
    <w:rsid w:val="00A96B37"/>
    <w:rsid w:val="00AA7DA9"/>
    <w:rsid w:val="00AB0083"/>
    <w:rsid w:val="00AB22CE"/>
    <w:rsid w:val="00AB23EA"/>
    <w:rsid w:val="00AB2A26"/>
    <w:rsid w:val="00AC0020"/>
    <w:rsid w:val="00AC00D4"/>
    <w:rsid w:val="00AC199F"/>
    <w:rsid w:val="00AC1FDA"/>
    <w:rsid w:val="00AC5603"/>
    <w:rsid w:val="00AC77D0"/>
    <w:rsid w:val="00AD1D6A"/>
    <w:rsid w:val="00AD5CD2"/>
    <w:rsid w:val="00AE1131"/>
    <w:rsid w:val="00AE1F95"/>
    <w:rsid w:val="00AE618B"/>
    <w:rsid w:val="00AF1731"/>
    <w:rsid w:val="00AF6EED"/>
    <w:rsid w:val="00B01044"/>
    <w:rsid w:val="00B01241"/>
    <w:rsid w:val="00B05111"/>
    <w:rsid w:val="00B069FA"/>
    <w:rsid w:val="00B07913"/>
    <w:rsid w:val="00B113FE"/>
    <w:rsid w:val="00B175EF"/>
    <w:rsid w:val="00B20F34"/>
    <w:rsid w:val="00B2183C"/>
    <w:rsid w:val="00B23929"/>
    <w:rsid w:val="00B23C25"/>
    <w:rsid w:val="00B30282"/>
    <w:rsid w:val="00B353A6"/>
    <w:rsid w:val="00B37CEB"/>
    <w:rsid w:val="00B40BAF"/>
    <w:rsid w:val="00B413C2"/>
    <w:rsid w:val="00B4156C"/>
    <w:rsid w:val="00B417AA"/>
    <w:rsid w:val="00B45695"/>
    <w:rsid w:val="00B47947"/>
    <w:rsid w:val="00B47C02"/>
    <w:rsid w:val="00B51A2B"/>
    <w:rsid w:val="00B52625"/>
    <w:rsid w:val="00B53A70"/>
    <w:rsid w:val="00B53DAA"/>
    <w:rsid w:val="00B5765E"/>
    <w:rsid w:val="00B63F3B"/>
    <w:rsid w:val="00B65FA8"/>
    <w:rsid w:val="00B678F5"/>
    <w:rsid w:val="00B70ABF"/>
    <w:rsid w:val="00B756FA"/>
    <w:rsid w:val="00B81E19"/>
    <w:rsid w:val="00B81EBB"/>
    <w:rsid w:val="00B8451A"/>
    <w:rsid w:val="00B916F3"/>
    <w:rsid w:val="00B921C5"/>
    <w:rsid w:val="00B93B56"/>
    <w:rsid w:val="00BA12C7"/>
    <w:rsid w:val="00BA3EED"/>
    <w:rsid w:val="00BA6832"/>
    <w:rsid w:val="00BB06AF"/>
    <w:rsid w:val="00BB35E7"/>
    <w:rsid w:val="00BB3C57"/>
    <w:rsid w:val="00BB4AA6"/>
    <w:rsid w:val="00BB4D5F"/>
    <w:rsid w:val="00BC0472"/>
    <w:rsid w:val="00BC574F"/>
    <w:rsid w:val="00BD3887"/>
    <w:rsid w:val="00BE260A"/>
    <w:rsid w:val="00BE468B"/>
    <w:rsid w:val="00BE5834"/>
    <w:rsid w:val="00BE662E"/>
    <w:rsid w:val="00BF2994"/>
    <w:rsid w:val="00BF7DED"/>
    <w:rsid w:val="00C02EED"/>
    <w:rsid w:val="00C038CC"/>
    <w:rsid w:val="00C067B1"/>
    <w:rsid w:val="00C126F1"/>
    <w:rsid w:val="00C1440D"/>
    <w:rsid w:val="00C15A31"/>
    <w:rsid w:val="00C16BE1"/>
    <w:rsid w:val="00C22A6C"/>
    <w:rsid w:val="00C231EA"/>
    <w:rsid w:val="00C27A59"/>
    <w:rsid w:val="00C326DB"/>
    <w:rsid w:val="00C35D9B"/>
    <w:rsid w:val="00C378AE"/>
    <w:rsid w:val="00C40F54"/>
    <w:rsid w:val="00C4269D"/>
    <w:rsid w:val="00C55F5C"/>
    <w:rsid w:val="00C628F5"/>
    <w:rsid w:val="00C63291"/>
    <w:rsid w:val="00C63724"/>
    <w:rsid w:val="00C648D9"/>
    <w:rsid w:val="00C67132"/>
    <w:rsid w:val="00C74D0A"/>
    <w:rsid w:val="00C75B1F"/>
    <w:rsid w:val="00C855D2"/>
    <w:rsid w:val="00C9226C"/>
    <w:rsid w:val="00C92E26"/>
    <w:rsid w:val="00C95208"/>
    <w:rsid w:val="00CA1250"/>
    <w:rsid w:val="00CA1F00"/>
    <w:rsid w:val="00CA2BB1"/>
    <w:rsid w:val="00CA49EB"/>
    <w:rsid w:val="00CA6207"/>
    <w:rsid w:val="00CA6E2F"/>
    <w:rsid w:val="00CB3031"/>
    <w:rsid w:val="00CB3F8D"/>
    <w:rsid w:val="00CB4DA8"/>
    <w:rsid w:val="00CB5981"/>
    <w:rsid w:val="00CC6EE8"/>
    <w:rsid w:val="00CD05C5"/>
    <w:rsid w:val="00CD0D47"/>
    <w:rsid w:val="00CD7458"/>
    <w:rsid w:val="00CD7474"/>
    <w:rsid w:val="00CD7F44"/>
    <w:rsid w:val="00CE5873"/>
    <w:rsid w:val="00CE6156"/>
    <w:rsid w:val="00CF0A95"/>
    <w:rsid w:val="00CF2A89"/>
    <w:rsid w:val="00CF36FC"/>
    <w:rsid w:val="00CF4D22"/>
    <w:rsid w:val="00CF7385"/>
    <w:rsid w:val="00CF739E"/>
    <w:rsid w:val="00D034B5"/>
    <w:rsid w:val="00D0511C"/>
    <w:rsid w:val="00D07777"/>
    <w:rsid w:val="00D1706A"/>
    <w:rsid w:val="00D21A17"/>
    <w:rsid w:val="00D22EAB"/>
    <w:rsid w:val="00D25E2E"/>
    <w:rsid w:val="00D25F53"/>
    <w:rsid w:val="00D277AA"/>
    <w:rsid w:val="00D27D82"/>
    <w:rsid w:val="00D303A2"/>
    <w:rsid w:val="00D31415"/>
    <w:rsid w:val="00D341D1"/>
    <w:rsid w:val="00D35E6A"/>
    <w:rsid w:val="00D36066"/>
    <w:rsid w:val="00D3706D"/>
    <w:rsid w:val="00D4320C"/>
    <w:rsid w:val="00D45D6B"/>
    <w:rsid w:val="00D475E1"/>
    <w:rsid w:val="00D50DBE"/>
    <w:rsid w:val="00D51209"/>
    <w:rsid w:val="00D53753"/>
    <w:rsid w:val="00D5769D"/>
    <w:rsid w:val="00D648B3"/>
    <w:rsid w:val="00D64FC2"/>
    <w:rsid w:val="00D709A9"/>
    <w:rsid w:val="00D71B9D"/>
    <w:rsid w:val="00D76B29"/>
    <w:rsid w:val="00D81625"/>
    <w:rsid w:val="00D83D78"/>
    <w:rsid w:val="00D87E8B"/>
    <w:rsid w:val="00D90E4E"/>
    <w:rsid w:val="00D9112B"/>
    <w:rsid w:val="00D93CD6"/>
    <w:rsid w:val="00DA4441"/>
    <w:rsid w:val="00DA773A"/>
    <w:rsid w:val="00DB14A4"/>
    <w:rsid w:val="00DB5BF8"/>
    <w:rsid w:val="00DB5D4D"/>
    <w:rsid w:val="00DB7C07"/>
    <w:rsid w:val="00DC055D"/>
    <w:rsid w:val="00DC3CF4"/>
    <w:rsid w:val="00DC655D"/>
    <w:rsid w:val="00DD017E"/>
    <w:rsid w:val="00DD070D"/>
    <w:rsid w:val="00DD105B"/>
    <w:rsid w:val="00DD2D93"/>
    <w:rsid w:val="00DE5996"/>
    <w:rsid w:val="00DE7655"/>
    <w:rsid w:val="00DE7B2B"/>
    <w:rsid w:val="00DF1DC9"/>
    <w:rsid w:val="00E001A4"/>
    <w:rsid w:val="00E0381A"/>
    <w:rsid w:val="00E1057E"/>
    <w:rsid w:val="00E11B62"/>
    <w:rsid w:val="00E1235F"/>
    <w:rsid w:val="00E14058"/>
    <w:rsid w:val="00E159CB"/>
    <w:rsid w:val="00E16236"/>
    <w:rsid w:val="00E16CEB"/>
    <w:rsid w:val="00E20942"/>
    <w:rsid w:val="00E20D25"/>
    <w:rsid w:val="00E23BF0"/>
    <w:rsid w:val="00E25581"/>
    <w:rsid w:val="00E266EE"/>
    <w:rsid w:val="00E34B3D"/>
    <w:rsid w:val="00E35862"/>
    <w:rsid w:val="00E36944"/>
    <w:rsid w:val="00E3751E"/>
    <w:rsid w:val="00E415FF"/>
    <w:rsid w:val="00E41E5B"/>
    <w:rsid w:val="00E42723"/>
    <w:rsid w:val="00E4595D"/>
    <w:rsid w:val="00E46D30"/>
    <w:rsid w:val="00E56AEA"/>
    <w:rsid w:val="00E64013"/>
    <w:rsid w:val="00E73709"/>
    <w:rsid w:val="00E7602E"/>
    <w:rsid w:val="00E8006B"/>
    <w:rsid w:val="00E83D5D"/>
    <w:rsid w:val="00E845C5"/>
    <w:rsid w:val="00E84905"/>
    <w:rsid w:val="00E8654F"/>
    <w:rsid w:val="00E86DB0"/>
    <w:rsid w:val="00E87DEB"/>
    <w:rsid w:val="00E91D98"/>
    <w:rsid w:val="00E93C45"/>
    <w:rsid w:val="00E97599"/>
    <w:rsid w:val="00EA0BA6"/>
    <w:rsid w:val="00EA4C31"/>
    <w:rsid w:val="00EB30E0"/>
    <w:rsid w:val="00EB5417"/>
    <w:rsid w:val="00EB7228"/>
    <w:rsid w:val="00EB7690"/>
    <w:rsid w:val="00EC31C4"/>
    <w:rsid w:val="00ED136A"/>
    <w:rsid w:val="00ED40A1"/>
    <w:rsid w:val="00ED499F"/>
    <w:rsid w:val="00ED5641"/>
    <w:rsid w:val="00ED5753"/>
    <w:rsid w:val="00ED7D89"/>
    <w:rsid w:val="00EE1CA7"/>
    <w:rsid w:val="00EE68F9"/>
    <w:rsid w:val="00EE6D01"/>
    <w:rsid w:val="00EF1A19"/>
    <w:rsid w:val="00EF2CC2"/>
    <w:rsid w:val="00EF3228"/>
    <w:rsid w:val="00EF4349"/>
    <w:rsid w:val="00EF56E5"/>
    <w:rsid w:val="00F00AFC"/>
    <w:rsid w:val="00F02317"/>
    <w:rsid w:val="00F02605"/>
    <w:rsid w:val="00F11196"/>
    <w:rsid w:val="00F11FB0"/>
    <w:rsid w:val="00F122AF"/>
    <w:rsid w:val="00F26A3C"/>
    <w:rsid w:val="00F278D4"/>
    <w:rsid w:val="00F30902"/>
    <w:rsid w:val="00F30F21"/>
    <w:rsid w:val="00F33C97"/>
    <w:rsid w:val="00F36AE5"/>
    <w:rsid w:val="00F37CD9"/>
    <w:rsid w:val="00F43D53"/>
    <w:rsid w:val="00F5202B"/>
    <w:rsid w:val="00F54200"/>
    <w:rsid w:val="00F607DA"/>
    <w:rsid w:val="00F623D9"/>
    <w:rsid w:val="00F6426A"/>
    <w:rsid w:val="00F67016"/>
    <w:rsid w:val="00F67FF5"/>
    <w:rsid w:val="00F71947"/>
    <w:rsid w:val="00F77527"/>
    <w:rsid w:val="00F82046"/>
    <w:rsid w:val="00F820CC"/>
    <w:rsid w:val="00F82A89"/>
    <w:rsid w:val="00F82A98"/>
    <w:rsid w:val="00F92EA9"/>
    <w:rsid w:val="00F93492"/>
    <w:rsid w:val="00F9588A"/>
    <w:rsid w:val="00F95F37"/>
    <w:rsid w:val="00FA0011"/>
    <w:rsid w:val="00FA7E2A"/>
    <w:rsid w:val="00FB0B21"/>
    <w:rsid w:val="00FB171B"/>
    <w:rsid w:val="00FB1868"/>
    <w:rsid w:val="00FB1B16"/>
    <w:rsid w:val="00FB586A"/>
    <w:rsid w:val="00FB77D7"/>
    <w:rsid w:val="00FC1C47"/>
    <w:rsid w:val="00FC1F11"/>
    <w:rsid w:val="00FC6AE8"/>
    <w:rsid w:val="00FD125B"/>
    <w:rsid w:val="00FD1D18"/>
    <w:rsid w:val="00FD2F02"/>
    <w:rsid w:val="00FD562E"/>
    <w:rsid w:val="00FD639F"/>
    <w:rsid w:val="00FE0864"/>
    <w:rsid w:val="00FE2A4F"/>
    <w:rsid w:val="00FE6FFF"/>
    <w:rsid w:val="00FF157F"/>
    <w:rsid w:val="00FF3CDA"/>
    <w:rsid w:val="00FF76F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4E3160"/>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4E3160"/>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unhideWhenUsed/>
    <w:qFormat/>
    <w:rsid w:val="004E3160"/>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4E3160"/>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4E3160"/>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4E3160"/>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4E3160"/>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4E3160"/>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4E3160"/>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4E3160"/>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4E3160"/>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4E3160"/>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4E3160"/>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4E3160"/>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4E3160"/>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4E3160"/>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4E3160"/>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4E3160"/>
    <w:rPr>
      <w:rFonts w:cstheme="majorBidi" w:eastAsiaTheme="majorEastAsia"/>
      <w:color w:themeColor="text1" w:themeTint="D8" w:val="272727"/>
    </w:rPr>
  </w:style>
  <w:style w:styleId="Title" w:type="paragraph">
    <w:name w:val="Title"/>
    <w:basedOn w:val="Normal"/>
    <w:next w:val="Normal"/>
    <w:link w:val="TitleChar"/>
    <w:uiPriority w:val="10"/>
    <w:qFormat/>
    <w:rsid w:val="004E3160"/>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4E3160"/>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4E3160"/>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4E3160"/>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4E3160"/>
    <w:pPr>
      <w:spacing w:before="160"/>
      <w:jc w:val="center"/>
    </w:pPr>
    <w:rPr>
      <w:i/>
      <w:iCs/>
      <w:color w:themeColor="text1" w:themeTint="BF" w:val="404040"/>
    </w:rPr>
  </w:style>
  <w:style w:customStyle="1" w:styleId="QuoteChar" w:type="character">
    <w:name w:val="Quote Char"/>
    <w:basedOn w:val="DefaultParagraphFont"/>
    <w:link w:val="Quote"/>
    <w:uiPriority w:val="29"/>
    <w:rsid w:val="004E3160"/>
    <w:rPr>
      <w:i/>
      <w:iCs/>
      <w:color w:themeColor="text1" w:themeTint="BF" w:val="404040"/>
    </w:rPr>
  </w:style>
  <w:style w:styleId="ListParagraph" w:type="paragraph">
    <w:name w:val="List Paragraph"/>
    <w:basedOn w:val="Normal"/>
    <w:uiPriority w:val="34"/>
    <w:qFormat/>
    <w:rsid w:val="004E3160"/>
    <w:pPr>
      <w:ind w:left="720"/>
      <w:contextualSpacing/>
    </w:pPr>
  </w:style>
  <w:style w:styleId="IntenseEmphasis" w:type="character">
    <w:name w:val="Intense Emphasis"/>
    <w:basedOn w:val="DefaultParagraphFont"/>
    <w:uiPriority w:val="21"/>
    <w:qFormat/>
    <w:rsid w:val="004E3160"/>
    <w:rPr>
      <w:i/>
      <w:iCs/>
      <w:color w:themeColor="accent1" w:themeShade="BF" w:val="0F4761"/>
    </w:rPr>
  </w:style>
  <w:style w:styleId="IntenseQuote" w:type="paragraph">
    <w:name w:val="Intense Quote"/>
    <w:basedOn w:val="Normal"/>
    <w:next w:val="Normal"/>
    <w:link w:val="IntenseQuoteChar"/>
    <w:uiPriority w:val="30"/>
    <w:qFormat/>
    <w:rsid w:val="004E3160"/>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4E3160"/>
    <w:rPr>
      <w:i/>
      <w:iCs/>
      <w:color w:themeColor="accent1" w:themeShade="BF" w:val="0F4761"/>
    </w:rPr>
  </w:style>
  <w:style w:styleId="IntenseReference" w:type="character">
    <w:name w:val="Intense Reference"/>
    <w:basedOn w:val="DefaultParagraphFont"/>
    <w:uiPriority w:val="32"/>
    <w:qFormat/>
    <w:rsid w:val="004E3160"/>
    <w:rPr>
      <w:b/>
      <w:bCs/>
      <w:smallCaps/>
      <w:color w:themeColor="accent1" w:themeShade="BF" w:val="0F4761"/>
      <w:spacing w:val="5"/>
    </w:rPr>
  </w:style>
  <w:style w:styleId="Hyperlink" w:type="character">
    <w:name w:val="Hyperlink"/>
    <w:basedOn w:val="DefaultParagraphFont"/>
    <w:uiPriority w:val="99"/>
    <w:unhideWhenUsed/>
    <w:rsid w:val="004E3160"/>
    <w:rPr>
      <w:color w:themeColor="hyperlink" w:val="467886"/>
      <w:u w:val="single"/>
    </w:rPr>
  </w:style>
  <w:style w:styleId="UnresolvedMention" w:type="character">
    <w:name w:val="Unresolved Mention"/>
    <w:basedOn w:val="DefaultParagraphFont"/>
    <w:uiPriority w:val="99"/>
    <w:semiHidden/>
    <w:unhideWhenUsed/>
    <w:rsid w:val="004E3160"/>
    <w:rPr>
      <w:color w:val="605E5C"/>
      <w:shd w:color="auto" w:fill="E1DFDD" w:val="clear"/>
    </w:rPr>
  </w:style>
  <w:style w:styleId="FootnoteText" w:type="paragraph">
    <w:name w:val="footnote text"/>
    <w:basedOn w:val="Normal"/>
    <w:link w:val="FootnoteTextChar"/>
    <w:uiPriority w:val="99"/>
    <w:unhideWhenUsed/>
    <w:rsid w:val="004E3160"/>
    <w:pPr>
      <w:spacing w:after="0" w:line="240" w:lineRule="auto"/>
    </w:pPr>
    <w:rPr>
      <w:sz w:val="20"/>
      <w:szCs w:val="20"/>
    </w:rPr>
  </w:style>
  <w:style w:customStyle="1" w:styleId="FootnoteTextChar" w:type="character">
    <w:name w:val="Footnote Text Char"/>
    <w:basedOn w:val="DefaultParagraphFont"/>
    <w:link w:val="FootnoteText"/>
    <w:uiPriority w:val="99"/>
    <w:rsid w:val="004E3160"/>
    <w:rPr>
      <w:sz w:val="20"/>
      <w:szCs w:val="20"/>
    </w:rPr>
  </w:style>
  <w:style w:styleId="FootnoteReference" w:type="character">
    <w:name w:val="footnote reference"/>
    <w:basedOn w:val="DefaultParagraphFont"/>
    <w:uiPriority w:val="99"/>
    <w:semiHidden/>
    <w:unhideWhenUsed/>
    <w:rsid w:val="004E3160"/>
    <w:rPr>
      <w:vertAlign w:val="superscript"/>
    </w:rPr>
  </w:style>
  <w:style w:styleId="FollowedHyperlink" w:type="character">
    <w:name w:val="FollowedHyperlink"/>
    <w:basedOn w:val="DefaultParagraphFont"/>
    <w:uiPriority w:val="99"/>
    <w:semiHidden/>
    <w:unhideWhenUsed/>
    <w:rsid w:val="008B4B9A"/>
    <w:rPr>
      <w:color w:themeColor="followedHyperlink" w:val="96607D"/>
      <w:u w:val="single"/>
    </w:rPr>
  </w:style>
  <w:style w:styleId="CommentReference" w:type="character">
    <w:name w:val="annotation reference"/>
    <w:basedOn w:val="DefaultParagraphFont"/>
    <w:uiPriority w:val="99"/>
    <w:semiHidden/>
    <w:unhideWhenUsed/>
    <w:rsid w:val="00AB2A26"/>
    <w:rPr>
      <w:sz w:val="16"/>
      <w:szCs w:val="16"/>
    </w:rPr>
  </w:style>
  <w:style w:styleId="CommentText" w:type="paragraph">
    <w:name w:val="annotation text"/>
    <w:basedOn w:val="Normal"/>
    <w:link w:val="CommentTextChar"/>
    <w:uiPriority w:val="99"/>
    <w:unhideWhenUsed/>
    <w:rsid w:val="00AB2A26"/>
    <w:pPr>
      <w:spacing w:line="240" w:lineRule="auto"/>
    </w:pPr>
    <w:rPr>
      <w:sz w:val="20"/>
      <w:szCs w:val="20"/>
    </w:rPr>
  </w:style>
  <w:style w:customStyle="1" w:styleId="CommentTextChar" w:type="character">
    <w:name w:val="Comment Text Char"/>
    <w:basedOn w:val="DefaultParagraphFont"/>
    <w:link w:val="CommentText"/>
    <w:uiPriority w:val="99"/>
    <w:rsid w:val="00AB2A26"/>
    <w:rPr>
      <w:sz w:val="20"/>
      <w:szCs w:val="20"/>
    </w:rPr>
  </w:style>
  <w:style w:styleId="CommentSubject" w:type="paragraph">
    <w:name w:val="annotation subject"/>
    <w:basedOn w:val="CommentText"/>
    <w:next w:val="CommentText"/>
    <w:link w:val="CommentSubjectChar"/>
    <w:uiPriority w:val="99"/>
    <w:semiHidden/>
    <w:unhideWhenUsed/>
    <w:rsid w:val="00AB2A26"/>
    <w:rPr>
      <w:b/>
      <w:bCs/>
    </w:rPr>
  </w:style>
  <w:style w:customStyle="1" w:styleId="CommentSubjectChar" w:type="character">
    <w:name w:val="Comment Subject Char"/>
    <w:basedOn w:val="CommentTextChar"/>
    <w:link w:val="CommentSubject"/>
    <w:uiPriority w:val="99"/>
    <w:semiHidden/>
    <w:rsid w:val="00AB2A26"/>
    <w:rPr>
      <w:b/>
      <w:bCs/>
      <w:sz w:val="20"/>
      <w:szCs w:val="20"/>
    </w:rPr>
  </w:style>
  <w:style w:styleId="Strong" w:type="character">
    <w:name w:val="Strong"/>
    <w:basedOn w:val="DefaultParagraphFont"/>
    <w:uiPriority w:val="22"/>
    <w:qFormat/>
    <w:rsid w:val="00B353A6"/>
    <w:rPr>
      <w:b/>
      <w:bCs/>
    </w:rPr>
  </w:style>
  <w:style w:styleId="NormalWeb" w:type="paragraph">
    <w:name w:val="Normal (Web)"/>
    <w:basedOn w:val="Normal"/>
    <w:uiPriority w:val="99"/>
    <w:unhideWhenUsed/>
    <w:rsid w:val="00B353A6"/>
    <w:pPr>
      <w:spacing w:after="100" w:afterAutospacing="1" w:before="100" w:beforeAutospacing="1" w:line="240" w:lineRule="auto"/>
    </w:pPr>
    <w:rPr>
      <w:rFonts w:ascii="Times New Roman" w:cs="Times New Roman" w:eastAsia="Times New Roman" w:hAnsi="Times New Roman"/>
      <w:kern w:val="0"/>
      <w:sz w:val="24"/>
      <w:szCs w:val="24"/>
    </w:rPr>
  </w:style>
  <w:style w:styleId="Emphasis" w:type="character">
    <w:name w:val="Emphasis"/>
    <w:basedOn w:val="DefaultParagraphFont"/>
    <w:uiPriority w:val="20"/>
    <w:qFormat/>
    <w:rsid w:val="00B353A6"/>
    <w:rPr>
      <w:i/>
      <w:iCs/>
    </w:rPr>
  </w:style>
  <w:style w:customStyle="1" w:styleId="ms-1" w:type="character">
    <w:name w:val="ms-1"/>
    <w:basedOn w:val="DefaultParagraphFont"/>
    <w:rsid w:val="004245D1"/>
  </w:style>
  <w:style w:customStyle="1" w:styleId="max-w-full" w:type="character">
    <w:name w:val="max-w-full"/>
    <w:basedOn w:val="DefaultParagraphFont"/>
    <w:rsid w:val="004245D1"/>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6951">
      <w:bodyDiv w:val="1"/>
      <w:marLeft w:val="0"/>
      <w:marRight w:val="0"/>
      <w:marTop w:val="0"/>
      <w:marBottom w:val="0"/>
      <w:divBdr>
        <w:top w:val="none" w:sz="0" w:space="0" w:color="auto"/>
        <w:left w:val="none" w:sz="0" w:space="0" w:color="auto"/>
        <w:bottom w:val="none" w:sz="0" w:space="0" w:color="auto"/>
        <w:right w:val="none" w:sz="0" w:space="0" w:color="auto"/>
      </w:divBdr>
    </w:div>
    <w:div w:id="27075835">
      <w:bodyDiv w:val="1"/>
      <w:marLeft w:val="0"/>
      <w:marRight w:val="0"/>
      <w:marTop w:val="0"/>
      <w:marBottom w:val="0"/>
      <w:divBdr>
        <w:top w:val="none" w:sz="0" w:space="0" w:color="auto"/>
        <w:left w:val="none" w:sz="0" w:space="0" w:color="auto"/>
        <w:bottom w:val="none" w:sz="0" w:space="0" w:color="auto"/>
        <w:right w:val="none" w:sz="0" w:space="0" w:color="auto"/>
      </w:divBdr>
    </w:div>
    <w:div w:id="40137269">
      <w:bodyDiv w:val="1"/>
      <w:marLeft w:val="0"/>
      <w:marRight w:val="0"/>
      <w:marTop w:val="0"/>
      <w:marBottom w:val="0"/>
      <w:divBdr>
        <w:top w:val="none" w:sz="0" w:space="0" w:color="auto"/>
        <w:left w:val="none" w:sz="0" w:space="0" w:color="auto"/>
        <w:bottom w:val="none" w:sz="0" w:space="0" w:color="auto"/>
        <w:right w:val="none" w:sz="0" w:space="0" w:color="auto"/>
      </w:divBdr>
    </w:div>
    <w:div w:id="53044526">
      <w:bodyDiv w:val="1"/>
      <w:marLeft w:val="0"/>
      <w:marRight w:val="0"/>
      <w:marTop w:val="0"/>
      <w:marBottom w:val="0"/>
      <w:divBdr>
        <w:top w:val="none" w:sz="0" w:space="0" w:color="auto"/>
        <w:left w:val="none" w:sz="0" w:space="0" w:color="auto"/>
        <w:bottom w:val="none" w:sz="0" w:space="0" w:color="auto"/>
        <w:right w:val="none" w:sz="0" w:space="0" w:color="auto"/>
      </w:divBdr>
    </w:div>
    <w:div w:id="74135187">
      <w:bodyDiv w:val="1"/>
      <w:marLeft w:val="0"/>
      <w:marRight w:val="0"/>
      <w:marTop w:val="0"/>
      <w:marBottom w:val="0"/>
      <w:divBdr>
        <w:top w:val="none" w:sz="0" w:space="0" w:color="auto"/>
        <w:left w:val="none" w:sz="0" w:space="0" w:color="auto"/>
        <w:bottom w:val="none" w:sz="0" w:space="0" w:color="auto"/>
        <w:right w:val="none" w:sz="0" w:space="0" w:color="auto"/>
      </w:divBdr>
    </w:div>
    <w:div w:id="91046768">
      <w:bodyDiv w:val="1"/>
      <w:marLeft w:val="0"/>
      <w:marRight w:val="0"/>
      <w:marTop w:val="0"/>
      <w:marBottom w:val="0"/>
      <w:divBdr>
        <w:top w:val="none" w:sz="0" w:space="0" w:color="auto"/>
        <w:left w:val="none" w:sz="0" w:space="0" w:color="auto"/>
        <w:bottom w:val="none" w:sz="0" w:space="0" w:color="auto"/>
        <w:right w:val="none" w:sz="0" w:space="0" w:color="auto"/>
      </w:divBdr>
    </w:div>
    <w:div w:id="92939633">
      <w:bodyDiv w:val="1"/>
      <w:marLeft w:val="0"/>
      <w:marRight w:val="0"/>
      <w:marTop w:val="0"/>
      <w:marBottom w:val="0"/>
      <w:divBdr>
        <w:top w:val="none" w:sz="0" w:space="0" w:color="auto"/>
        <w:left w:val="none" w:sz="0" w:space="0" w:color="auto"/>
        <w:bottom w:val="none" w:sz="0" w:space="0" w:color="auto"/>
        <w:right w:val="none" w:sz="0" w:space="0" w:color="auto"/>
      </w:divBdr>
    </w:div>
    <w:div w:id="97917714">
      <w:bodyDiv w:val="1"/>
      <w:marLeft w:val="0"/>
      <w:marRight w:val="0"/>
      <w:marTop w:val="0"/>
      <w:marBottom w:val="0"/>
      <w:divBdr>
        <w:top w:val="none" w:sz="0" w:space="0" w:color="auto"/>
        <w:left w:val="none" w:sz="0" w:space="0" w:color="auto"/>
        <w:bottom w:val="none" w:sz="0" w:space="0" w:color="auto"/>
        <w:right w:val="none" w:sz="0" w:space="0" w:color="auto"/>
      </w:divBdr>
      <w:divsChild>
        <w:div w:id="211118134">
          <w:marLeft w:val="0"/>
          <w:marRight w:val="0"/>
          <w:marTop w:val="0"/>
          <w:marBottom w:val="0"/>
          <w:divBdr>
            <w:top w:val="none" w:sz="0" w:space="0" w:color="auto"/>
            <w:left w:val="none" w:sz="0" w:space="0" w:color="auto"/>
            <w:bottom w:val="none" w:sz="0" w:space="0" w:color="auto"/>
            <w:right w:val="none" w:sz="0" w:space="0" w:color="auto"/>
          </w:divBdr>
          <w:divsChild>
            <w:div w:id="685014362">
              <w:marLeft w:val="0"/>
              <w:marRight w:val="0"/>
              <w:marTop w:val="0"/>
              <w:marBottom w:val="0"/>
              <w:divBdr>
                <w:top w:val="none" w:sz="0" w:space="0" w:color="auto"/>
                <w:left w:val="none" w:sz="0" w:space="0" w:color="auto"/>
                <w:bottom w:val="none" w:sz="0" w:space="0" w:color="auto"/>
                <w:right w:val="none" w:sz="0" w:space="0" w:color="auto"/>
              </w:divBdr>
              <w:divsChild>
                <w:div w:id="1883055733">
                  <w:marLeft w:val="0"/>
                  <w:marRight w:val="0"/>
                  <w:marTop w:val="0"/>
                  <w:marBottom w:val="0"/>
                  <w:divBdr>
                    <w:top w:val="none" w:sz="0" w:space="0" w:color="auto"/>
                    <w:left w:val="none" w:sz="0" w:space="0" w:color="auto"/>
                    <w:bottom w:val="none" w:sz="0" w:space="0" w:color="auto"/>
                    <w:right w:val="none" w:sz="0" w:space="0" w:color="auto"/>
                  </w:divBdr>
                  <w:divsChild>
                    <w:div w:id="16929677">
                      <w:marLeft w:val="0"/>
                      <w:marRight w:val="0"/>
                      <w:marTop w:val="0"/>
                      <w:marBottom w:val="0"/>
                      <w:divBdr>
                        <w:top w:val="none" w:sz="0" w:space="0" w:color="auto"/>
                        <w:left w:val="none" w:sz="0" w:space="0" w:color="auto"/>
                        <w:bottom w:val="none" w:sz="0" w:space="0" w:color="auto"/>
                        <w:right w:val="none" w:sz="0" w:space="0" w:color="auto"/>
                      </w:divBdr>
                      <w:divsChild>
                        <w:div w:id="559755688">
                          <w:marLeft w:val="0"/>
                          <w:marRight w:val="0"/>
                          <w:marTop w:val="0"/>
                          <w:marBottom w:val="0"/>
                          <w:divBdr>
                            <w:top w:val="none" w:sz="0" w:space="0" w:color="auto"/>
                            <w:left w:val="none" w:sz="0" w:space="0" w:color="auto"/>
                            <w:bottom w:val="none" w:sz="0" w:space="0" w:color="auto"/>
                            <w:right w:val="none" w:sz="0" w:space="0" w:color="auto"/>
                          </w:divBdr>
                          <w:divsChild>
                            <w:div w:id="7279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5000161">
                  <w:marLeft w:val="0"/>
                  <w:marRight w:val="0"/>
                  <w:marTop w:val="0"/>
                  <w:marBottom w:val="0"/>
                  <w:divBdr>
                    <w:top w:val="none" w:sz="0" w:space="0" w:color="auto"/>
                    <w:left w:val="none" w:sz="0" w:space="0" w:color="auto"/>
                    <w:bottom w:val="none" w:sz="0" w:space="0" w:color="auto"/>
                    <w:right w:val="none" w:sz="0" w:space="0" w:color="auto"/>
                  </w:divBdr>
                  <w:divsChild>
                    <w:div w:id="1391926422">
                      <w:marLeft w:val="0"/>
                      <w:marRight w:val="0"/>
                      <w:marTop w:val="0"/>
                      <w:marBottom w:val="0"/>
                      <w:divBdr>
                        <w:top w:val="none" w:sz="0" w:space="0" w:color="auto"/>
                        <w:left w:val="none" w:sz="0" w:space="0" w:color="auto"/>
                        <w:bottom w:val="none" w:sz="0" w:space="0" w:color="auto"/>
                        <w:right w:val="none" w:sz="0" w:space="0" w:color="auto"/>
                      </w:divBdr>
                      <w:divsChild>
                        <w:div w:id="943266560">
                          <w:marLeft w:val="0"/>
                          <w:marRight w:val="0"/>
                          <w:marTop w:val="0"/>
                          <w:marBottom w:val="0"/>
                          <w:divBdr>
                            <w:top w:val="none" w:sz="0" w:space="0" w:color="auto"/>
                            <w:left w:val="none" w:sz="0" w:space="0" w:color="auto"/>
                            <w:bottom w:val="none" w:sz="0" w:space="0" w:color="auto"/>
                            <w:right w:val="none" w:sz="0" w:space="0" w:color="auto"/>
                          </w:divBdr>
                          <w:divsChild>
                            <w:div w:id="552235384">
                              <w:marLeft w:val="0"/>
                              <w:marRight w:val="0"/>
                              <w:marTop w:val="0"/>
                              <w:marBottom w:val="0"/>
                              <w:divBdr>
                                <w:top w:val="none" w:sz="0" w:space="0" w:color="auto"/>
                                <w:left w:val="none" w:sz="0" w:space="0" w:color="auto"/>
                                <w:bottom w:val="none" w:sz="0" w:space="0" w:color="auto"/>
                                <w:right w:val="none" w:sz="0" w:space="0" w:color="auto"/>
                              </w:divBdr>
                              <w:divsChild>
                                <w:div w:id="321397650">
                                  <w:marLeft w:val="0"/>
                                  <w:marRight w:val="0"/>
                                  <w:marTop w:val="0"/>
                                  <w:marBottom w:val="0"/>
                                  <w:divBdr>
                                    <w:top w:val="none" w:sz="0" w:space="0" w:color="auto"/>
                                    <w:left w:val="none" w:sz="0" w:space="0" w:color="auto"/>
                                    <w:bottom w:val="none" w:sz="0" w:space="0" w:color="auto"/>
                                    <w:right w:val="none" w:sz="0" w:space="0" w:color="auto"/>
                                  </w:divBdr>
                                  <w:divsChild>
                                    <w:div w:id="1804493681">
                                      <w:marLeft w:val="0"/>
                                      <w:marRight w:val="0"/>
                                      <w:marTop w:val="0"/>
                                      <w:marBottom w:val="0"/>
                                      <w:divBdr>
                                        <w:top w:val="none" w:sz="0" w:space="0" w:color="auto"/>
                                        <w:left w:val="none" w:sz="0" w:space="0" w:color="auto"/>
                                        <w:bottom w:val="none" w:sz="0" w:space="0" w:color="auto"/>
                                        <w:right w:val="none" w:sz="0" w:space="0" w:color="auto"/>
                                      </w:divBdr>
                                    </w:div>
                                  </w:divsChild>
                                </w:div>
                                <w:div w:id="1083574202">
                                  <w:marLeft w:val="0"/>
                                  <w:marRight w:val="0"/>
                                  <w:marTop w:val="0"/>
                                  <w:marBottom w:val="0"/>
                                  <w:divBdr>
                                    <w:top w:val="none" w:sz="0" w:space="0" w:color="auto"/>
                                    <w:left w:val="none" w:sz="0" w:space="0" w:color="auto"/>
                                    <w:bottom w:val="none" w:sz="0" w:space="0" w:color="auto"/>
                                    <w:right w:val="none" w:sz="0" w:space="0" w:color="auto"/>
                                  </w:divBdr>
                                  <w:divsChild>
                                    <w:div w:id="527909347">
                                      <w:marLeft w:val="0"/>
                                      <w:marRight w:val="0"/>
                                      <w:marTop w:val="0"/>
                                      <w:marBottom w:val="0"/>
                                      <w:divBdr>
                                        <w:top w:val="none" w:sz="0" w:space="0" w:color="auto"/>
                                        <w:left w:val="none" w:sz="0" w:space="0" w:color="auto"/>
                                        <w:bottom w:val="none" w:sz="0" w:space="0" w:color="auto"/>
                                        <w:right w:val="none" w:sz="0" w:space="0" w:color="auto"/>
                                      </w:divBdr>
                                    </w:div>
                                  </w:divsChild>
                                </w:div>
                                <w:div w:id="1800102433">
                                  <w:marLeft w:val="0"/>
                                  <w:marRight w:val="0"/>
                                  <w:marTop w:val="0"/>
                                  <w:marBottom w:val="0"/>
                                  <w:divBdr>
                                    <w:top w:val="none" w:sz="0" w:space="0" w:color="auto"/>
                                    <w:left w:val="none" w:sz="0" w:space="0" w:color="auto"/>
                                    <w:bottom w:val="none" w:sz="0" w:space="0" w:color="auto"/>
                                    <w:right w:val="none" w:sz="0" w:space="0" w:color="auto"/>
                                  </w:divBdr>
                                  <w:divsChild>
                                    <w:div w:id="183502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65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848897">
                  <w:marLeft w:val="0"/>
                  <w:marRight w:val="0"/>
                  <w:marTop w:val="0"/>
                  <w:marBottom w:val="0"/>
                  <w:divBdr>
                    <w:top w:val="none" w:sz="0" w:space="0" w:color="auto"/>
                    <w:left w:val="none" w:sz="0" w:space="0" w:color="auto"/>
                    <w:bottom w:val="none" w:sz="0" w:space="0" w:color="auto"/>
                    <w:right w:val="none" w:sz="0" w:space="0" w:color="auto"/>
                  </w:divBdr>
                  <w:divsChild>
                    <w:div w:id="193489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46784">
      <w:bodyDiv w:val="1"/>
      <w:marLeft w:val="0"/>
      <w:marRight w:val="0"/>
      <w:marTop w:val="0"/>
      <w:marBottom w:val="0"/>
      <w:divBdr>
        <w:top w:val="none" w:sz="0" w:space="0" w:color="auto"/>
        <w:left w:val="none" w:sz="0" w:space="0" w:color="auto"/>
        <w:bottom w:val="none" w:sz="0" w:space="0" w:color="auto"/>
        <w:right w:val="none" w:sz="0" w:space="0" w:color="auto"/>
      </w:divBdr>
    </w:div>
    <w:div w:id="112670761">
      <w:bodyDiv w:val="1"/>
      <w:marLeft w:val="0"/>
      <w:marRight w:val="0"/>
      <w:marTop w:val="0"/>
      <w:marBottom w:val="0"/>
      <w:divBdr>
        <w:top w:val="none" w:sz="0" w:space="0" w:color="auto"/>
        <w:left w:val="none" w:sz="0" w:space="0" w:color="auto"/>
        <w:bottom w:val="none" w:sz="0" w:space="0" w:color="auto"/>
        <w:right w:val="none" w:sz="0" w:space="0" w:color="auto"/>
      </w:divBdr>
    </w:div>
    <w:div w:id="141624202">
      <w:bodyDiv w:val="1"/>
      <w:marLeft w:val="0"/>
      <w:marRight w:val="0"/>
      <w:marTop w:val="0"/>
      <w:marBottom w:val="0"/>
      <w:divBdr>
        <w:top w:val="none" w:sz="0" w:space="0" w:color="auto"/>
        <w:left w:val="none" w:sz="0" w:space="0" w:color="auto"/>
        <w:bottom w:val="none" w:sz="0" w:space="0" w:color="auto"/>
        <w:right w:val="none" w:sz="0" w:space="0" w:color="auto"/>
      </w:divBdr>
    </w:div>
    <w:div w:id="174003883">
      <w:bodyDiv w:val="1"/>
      <w:marLeft w:val="0"/>
      <w:marRight w:val="0"/>
      <w:marTop w:val="0"/>
      <w:marBottom w:val="0"/>
      <w:divBdr>
        <w:top w:val="none" w:sz="0" w:space="0" w:color="auto"/>
        <w:left w:val="none" w:sz="0" w:space="0" w:color="auto"/>
        <w:bottom w:val="none" w:sz="0" w:space="0" w:color="auto"/>
        <w:right w:val="none" w:sz="0" w:space="0" w:color="auto"/>
      </w:divBdr>
    </w:div>
    <w:div w:id="190190362">
      <w:bodyDiv w:val="1"/>
      <w:marLeft w:val="0"/>
      <w:marRight w:val="0"/>
      <w:marTop w:val="0"/>
      <w:marBottom w:val="0"/>
      <w:divBdr>
        <w:top w:val="none" w:sz="0" w:space="0" w:color="auto"/>
        <w:left w:val="none" w:sz="0" w:space="0" w:color="auto"/>
        <w:bottom w:val="none" w:sz="0" w:space="0" w:color="auto"/>
        <w:right w:val="none" w:sz="0" w:space="0" w:color="auto"/>
      </w:divBdr>
    </w:div>
    <w:div w:id="207840459">
      <w:bodyDiv w:val="1"/>
      <w:marLeft w:val="0"/>
      <w:marRight w:val="0"/>
      <w:marTop w:val="0"/>
      <w:marBottom w:val="0"/>
      <w:divBdr>
        <w:top w:val="none" w:sz="0" w:space="0" w:color="auto"/>
        <w:left w:val="none" w:sz="0" w:space="0" w:color="auto"/>
        <w:bottom w:val="none" w:sz="0" w:space="0" w:color="auto"/>
        <w:right w:val="none" w:sz="0" w:space="0" w:color="auto"/>
      </w:divBdr>
    </w:div>
    <w:div w:id="208998097">
      <w:bodyDiv w:val="1"/>
      <w:marLeft w:val="0"/>
      <w:marRight w:val="0"/>
      <w:marTop w:val="0"/>
      <w:marBottom w:val="0"/>
      <w:divBdr>
        <w:top w:val="none" w:sz="0" w:space="0" w:color="auto"/>
        <w:left w:val="none" w:sz="0" w:space="0" w:color="auto"/>
        <w:bottom w:val="none" w:sz="0" w:space="0" w:color="auto"/>
        <w:right w:val="none" w:sz="0" w:space="0" w:color="auto"/>
      </w:divBdr>
    </w:div>
    <w:div w:id="218899899">
      <w:bodyDiv w:val="1"/>
      <w:marLeft w:val="0"/>
      <w:marRight w:val="0"/>
      <w:marTop w:val="0"/>
      <w:marBottom w:val="0"/>
      <w:divBdr>
        <w:top w:val="none" w:sz="0" w:space="0" w:color="auto"/>
        <w:left w:val="none" w:sz="0" w:space="0" w:color="auto"/>
        <w:bottom w:val="none" w:sz="0" w:space="0" w:color="auto"/>
        <w:right w:val="none" w:sz="0" w:space="0" w:color="auto"/>
      </w:divBdr>
    </w:div>
    <w:div w:id="233318626">
      <w:bodyDiv w:val="1"/>
      <w:marLeft w:val="0"/>
      <w:marRight w:val="0"/>
      <w:marTop w:val="0"/>
      <w:marBottom w:val="0"/>
      <w:divBdr>
        <w:top w:val="none" w:sz="0" w:space="0" w:color="auto"/>
        <w:left w:val="none" w:sz="0" w:space="0" w:color="auto"/>
        <w:bottom w:val="none" w:sz="0" w:space="0" w:color="auto"/>
        <w:right w:val="none" w:sz="0" w:space="0" w:color="auto"/>
      </w:divBdr>
    </w:div>
    <w:div w:id="236593099">
      <w:bodyDiv w:val="1"/>
      <w:marLeft w:val="0"/>
      <w:marRight w:val="0"/>
      <w:marTop w:val="0"/>
      <w:marBottom w:val="0"/>
      <w:divBdr>
        <w:top w:val="none" w:sz="0" w:space="0" w:color="auto"/>
        <w:left w:val="none" w:sz="0" w:space="0" w:color="auto"/>
        <w:bottom w:val="none" w:sz="0" w:space="0" w:color="auto"/>
        <w:right w:val="none" w:sz="0" w:space="0" w:color="auto"/>
      </w:divBdr>
    </w:div>
    <w:div w:id="236791642">
      <w:bodyDiv w:val="1"/>
      <w:marLeft w:val="0"/>
      <w:marRight w:val="0"/>
      <w:marTop w:val="0"/>
      <w:marBottom w:val="0"/>
      <w:divBdr>
        <w:top w:val="none" w:sz="0" w:space="0" w:color="auto"/>
        <w:left w:val="none" w:sz="0" w:space="0" w:color="auto"/>
        <w:bottom w:val="none" w:sz="0" w:space="0" w:color="auto"/>
        <w:right w:val="none" w:sz="0" w:space="0" w:color="auto"/>
      </w:divBdr>
    </w:div>
    <w:div w:id="252010678">
      <w:bodyDiv w:val="1"/>
      <w:marLeft w:val="0"/>
      <w:marRight w:val="0"/>
      <w:marTop w:val="0"/>
      <w:marBottom w:val="0"/>
      <w:divBdr>
        <w:top w:val="none" w:sz="0" w:space="0" w:color="auto"/>
        <w:left w:val="none" w:sz="0" w:space="0" w:color="auto"/>
        <w:bottom w:val="none" w:sz="0" w:space="0" w:color="auto"/>
        <w:right w:val="none" w:sz="0" w:space="0" w:color="auto"/>
      </w:divBdr>
    </w:div>
    <w:div w:id="264384810">
      <w:bodyDiv w:val="1"/>
      <w:marLeft w:val="0"/>
      <w:marRight w:val="0"/>
      <w:marTop w:val="0"/>
      <w:marBottom w:val="0"/>
      <w:divBdr>
        <w:top w:val="none" w:sz="0" w:space="0" w:color="auto"/>
        <w:left w:val="none" w:sz="0" w:space="0" w:color="auto"/>
        <w:bottom w:val="none" w:sz="0" w:space="0" w:color="auto"/>
        <w:right w:val="none" w:sz="0" w:space="0" w:color="auto"/>
      </w:divBdr>
      <w:divsChild>
        <w:div w:id="815951890">
          <w:marLeft w:val="0"/>
          <w:marRight w:val="0"/>
          <w:marTop w:val="0"/>
          <w:marBottom w:val="0"/>
          <w:divBdr>
            <w:top w:val="none" w:sz="0" w:space="0" w:color="auto"/>
            <w:left w:val="none" w:sz="0" w:space="0" w:color="auto"/>
            <w:bottom w:val="none" w:sz="0" w:space="0" w:color="auto"/>
            <w:right w:val="none" w:sz="0" w:space="0" w:color="auto"/>
          </w:divBdr>
          <w:divsChild>
            <w:div w:id="1656058662">
              <w:marLeft w:val="0"/>
              <w:marRight w:val="0"/>
              <w:marTop w:val="0"/>
              <w:marBottom w:val="0"/>
              <w:divBdr>
                <w:top w:val="none" w:sz="0" w:space="0" w:color="auto"/>
                <w:left w:val="none" w:sz="0" w:space="0" w:color="auto"/>
                <w:bottom w:val="none" w:sz="0" w:space="0" w:color="auto"/>
                <w:right w:val="none" w:sz="0" w:space="0" w:color="auto"/>
              </w:divBdr>
              <w:divsChild>
                <w:div w:id="514611265">
                  <w:marLeft w:val="0"/>
                  <w:marRight w:val="0"/>
                  <w:marTop w:val="0"/>
                  <w:marBottom w:val="0"/>
                  <w:divBdr>
                    <w:top w:val="none" w:sz="0" w:space="0" w:color="auto"/>
                    <w:left w:val="none" w:sz="0" w:space="0" w:color="auto"/>
                    <w:bottom w:val="none" w:sz="0" w:space="0" w:color="auto"/>
                    <w:right w:val="none" w:sz="0" w:space="0" w:color="auto"/>
                  </w:divBdr>
                  <w:divsChild>
                    <w:div w:id="65109422">
                      <w:marLeft w:val="0"/>
                      <w:marRight w:val="0"/>
                      <w:marTop w:val="0"/>
                      <w:marBottom w:val="0"/>
                      <w:divBdr>
                        <w:top w:val="none" w:sz="0" w:space="0" w:color="auto"/>
                        <w:left w:val="none" w:sz="0" w:space="0" w:color="auto"/>
                        <w:bottom w:val="none" w:sz="0" w:space="0" w:color="auto"/>
                        <w:right w:val="none" w:sz="0" w:space="0" w:color="auto"/>
                      </w:divBdr>
                      <w:divsChild>
                        <w:div w:id="1724938068">
                          <w:marLeft w:val="0"/>
                          <w:marRight w:val="0"/>
                          <w:marTop w:val="0"/>
                          <w:marBottom w:val="0"/>
                          <w:divBdr>
                            <w:top w:val="none" w:sz="0" w:space="0" w:color="auto"/>
                            <w:left w:val="none" w:sz="0" w:space="0" w:color="auto"/>
                            <w:bottom w:val="none" w:sz="0" w:space="0" w:color="auto"/>
                            <w:right w:val="none" w:sz="0" w:space="0" w:color="auto"/>
                          </w:divBdr>
                          <w:divsChild>
                            <w:div w:id="1750810928">
                              <w:marLeft w:val="0"/>
                              <w:marRight w:val="0"/>
                              <w:marTop w:val="0"/>
                              <w:marBottom w:val="0"/>
                              <w:divBdr>
                                <w:top w:val="none" w:sz="0" w:space="0" w:color="auto"/>
                                <w:left w:val="none" w:sz="0" w:space="0" w:color="auto"/>
                                <w:bottom w:val="none" w:sz="0" w:space="0" w:color="auto"/>
                                <w:right w:val="none" w:sz="0" w:space="0" w:color="auto"/>
                              </w:divBdr>
                              <w:divsChild>
                                <w:div w:id="267781403">
                                  <w:marLeft w:val="0"/>
                                  <w:marRight w:val="0"/>
                                  <w:marTop w:val="0"/>
                                  <w:marBottom w:val="0"/>
                                  <w:divBdr>
                                    <w:top w:val="none" w:sz="0" w:space="0" w:color="auto"/>
                                    <w:left w:val="none" w:sz="0" w:space="0" w:color="auto"/>
                                    <w:bottom w:val="none" w:sz="0" w:space="0" w:color="auto"/>
                                    <w:right w:val="none" w:sz="0" w:space="0" w:color="auto"/>
                                  </w:divBdr>
                                  <w:divsChild>
                                    <w:div w:id="80662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1590572">
                      <w:marLeft w:val="0"/>
                      <w:marRight w:val="0"/>
                      <w:marTop w:val="0"/>
                      <w:marBottom w:val="0"/>
                      <w:divBdr>
                        <w:top w:val="none" w:sz="0" w:space="0" w:color="auto"/>
                        <w:left w:val="none" w:sz="0" w:space="0" w:color="auto"/>
                        <w:bottom w:val="none" w:sz="0" w:space="0" w:color="auto"/>
                        <w:right w:val="none" w:sz="0" w:space="0" w:color="auto"/>
                      </w:divBdr>
                      <w:divsChild>
                        <w:div w:id="101977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8216340">
      <w:bodyDiv w:val="1"/>
      <w:marLeft w:val="0"/>
      <w:marRight w:val="0"/>
      <w:marTop w:val="0"/>
      <w:marBottom w:val="0"/>
      <w:divBdr>
        <w:top w:val="none" w:sz="0" w:space="0" w:color="auto"/>
        <w:left w:val="none" w:sz="0" w:space="0" w:color="auto"/>
        <w:bottom w:val="none" w:sz="0" w:space="0" w:color="auto"/>
        <w:right w:val="none" w:sz="0" w:space="0" w:color="auto"/>
      </w:divBdr>
    </w:div>
    <w:div w:id="316613272">
      <w:bodyDiv w:val="1"/>
      <w:marLeft w:val="0"/>
      <w:marRight w:val="0"/>
      <w:marTop w:val="0"/>
      <w:marBottom w:val="0"/>
      <w:divBdr>
        <w:top w:val="none" w:sz="0" w:space="0" w:color="auto"/>
        <w:left w:val="none" w:sz="0" w:space="0" w:color="auto"/>
        <w:bottom w:val="none" w:sz="0" w:space="0" w:color="auto"/>
        <w:right w:val="none" w:sz="0" w:space="0" w:color="auto"/>
      </w:divBdr>
    </w:div>
    <w:div w:id="320158527">
      <w:bodyDiv w:val="1"/>
      <w:marLeft w:val="0"/>
      <w:marRight w:val="0"/>
      <w:marTop w:val="0"/>
      <w:marBottom w:val="0"/>
      <w:divBdr>
        <w:top w:val="none" w:sz="0" w:space="0" w:color="auto"/>
        <w:left w:val="none" w:sz="0" w:space="0" w:color="auto"/>
        <w:bottom w:val="none" w:sz="0" w:space="0" w:color="auto"/>
        <w:right w:val="none" w:sz="0" w:space="0" w:color="auto"/>
      </w:divBdr>
    </w:div>
    <w:div w:id="350570075">
      <w:bodyDiv w:val="1"/>
      <w:marLeft w:val="0"/>
      <w:marRight w:val="0"/>
      <w:marTop w:val="0"/>
      <w:marBottom w:val="0"/>
      <w:divBdr>
        <w:top w:val="none" w:sz="0" w:space="0" w:color="auto"/>
        <w:left w:val="none" w:sz="0" w:space="0" w:color="auto"/>
        <w:bottom w:val="none" w:sz="0" w:space="0" w:color="auto"/>
        <w:right w:val="none" w:sz="0" w:space="0" w:color="auto"/>
      </w:divBdr>
    </w:div>
    <w:div w:id="379088636">
      <w:bodyDiv w:val="1"/>
      <w:marLeft w:val="0"/>
      <w:marRight w:val="0"/>
      <w:marTop w:val="0"/>
      <w:marBottom w:val="0"/>
      <w:divBdr>
        <w:top w:val="none" w:sz="0" w:space="0" w:color="auto"/>
        <w:left w:val="none" w:sz="0" w:space="0" w:color="auto"/>
        <w:bottom w:val="none" w:sz="0" w:space="0" w:color="auto"/>
        <w:right w:val="none" w:sz="0" w:space="0" w:color="auto"/>
      </w:divBdr>
    </w:div>
    <w:div w:id="443962104">
      <w:bodyDiv w:val="1"/>
      <w:marLeft w:val="0"/>
      <w:marRight w:val="0"/>
      <w:marTop w:val="0"/>
      <w:marBottom w:val="0"/>
      <w:divBdr>
        <w:top w:val="none" w:sz="0" w:space="0" w:color="auto"/>
        <w:left w:val="none" w:sz="0" w:space="0" w:color="auto"/>
        <w:bottom w:val="none" w:sz="0" w:space="0" w:color="auto"/>
        <w:right w:val="none" w:sz="0" w:space="0" w:color="auto"/>
      </w:divBdr>
    </w:div>
    <w:div w:id="445152146">
      <w:bodyDiv w:val="1"/>
      <w:marLeft w:val="0"/>
      <w:marRight w:val="0"/>
      <w:marTop w:val="0"/>
      <w:marBottom w:val="0"/>
      <w:divBdr>
        <w:top w:val="none" w:sz="0" w:space="0" w:color="auto"/>
        <w:left w:val="none" w:sz="0" w:space="0" w:color="auto"/>
        <w:bottom w:val="none" w:sz="0" w:space="0" w:color="auto"/>
        <w:right w:val="none" w:sz="0" w:space="0" w:color="auto"/>
      </w:divBdr>
    </w:div>
    <w:div w:id="446975169">
      <w:bodyDiv w:val="1"/>
      <w:marLeft w:val="0"/>
      <w:marRight w:val="0"/>
      <w:marTop w:val="0"/>
      <w:marBottom w:val="0"/>
      <w:divBdr>
        <w:top w:val="none" w:sz="0" w:space="0" w:color="auto"/>
        <w:left w:val="none" w:sz="0" w:space="0" w:color="auto"/>
        <w:bottom w:val="none" w:sz="0" w:space="0" w:color="auto"/>
        <w:right w:val="none" w:sz="0" w:space="0" w:color="auto"/>
      </w:divBdr>
    </w:div>
    <w:div w:id="450782263">
      <w:bodyDiv w:val="1"/>
      <w:marLeft w:val="0"/>
      <w:marRight w:val="0"/>
      <w:marTop w:val="0"/>
      <w:marBottom w:val="0"/>
      <w:divBdr>
        <w:top w:val="none" w:sz="0" w:space="0" w:color="auto"/>
        <w:left w:val="none" w:sz="0" w:space="0" w:color="auto"/>
        <w:bottom w:val="none" w:sz="0" w:space="0" w:color="auto"/>
        <w:right w:val="none" w:sz="0" w:space="0" w:color="auto"/>
      </w:divBdr>
    </w:div>
    <w:div w:id="456293908">
      <w:bodyDiv w:val="1"/>
      <w:marLeft w:val="0"/>
      <w:marRight w:val="0"/>
      <w:marTop w:val="0"/>
      <w:marBottom w:val="0"/>
      <w:divBdr>
        <w:top w:val="none" w:sz="0" w:space="0" w:color="auto"/>
        <w:left w:val="none" w:sz="0" w:space="0" w:color="auto"/>
        <w:bottom w:val="none" w:sz="0" w:space="0" w:color="auto"/>
        <w:right w:val="none" w:sz="0" w:space="0" w:color="auto"/>
      </w:divBdr>
    </w:div>
    <w:div w:id="475726700">
      <w:bodyDiv w:val="1"/>
      <w:marLeft w:val="0"/>
      <w:marRight w:val="0"/>
      <w:marTop w:val="0"/>
      <w:marBottom w:val="0"/>
      <w:divBdr>
        <w:top w:val="none" w:sz="0" w:space="0" w:color="auto"/>
        <w:left w:val="none" w:sz="0" w:space="0" w:color="auto"/>
        <w:bottom w:val="none" w:sz="0" w:space="0" w:color="auto"/>
        <w:right w:val="none" w:sz="0" w:space="0" w:color="auto"/>
      </w:divBdr>
    </w:div>
    <w:div w:id="493759971">
      <w:bodyDiv w:val="1"/>
      <w:marLeft w:val="0"/>
      <w:marRight w:val="0"/>
      <w:marTop w:val="0"/>
      <w:marBottom w:val="0"/>
      <w:divBdr>
        <w:top w:val="none" w:sz="0" w:space="0" w:color="auto"/>
        <w:left w:val="none" w:sz="0" w:space="0" w:color="auto"/>
        <w:bottom w:val="none" w:sz="0" w:space="0" w:color="auto"/>
        <w:right w:val="none" w:sz="0" w:space="0" w:color="auto"/>
      </w:divBdr>
    </w:div>
    <w:div w:id="506676351">
      <w:bodyDiv w:val="1"/>
      <w:marLeft w:val="0"/>
      <w:marRight w:val="0"/>
      <w:marTop w:val="0"/>
      <w:marBottom w:val="0"/>
      <w:divBdr>
        <w:top w:val="none" w:sz="0" w:space="0" w:color="auto"/>
        <w:left w:val="none" w:sz="0" w:space="0" w:color="auto"/>
        <w:bottom w:val="none" w:sz="0" w:space="0" w:color="auto"/>
        <w:right w:val="none" w:sz="0" w:space="0" w:color="auto"/>
      </w:divBdr>
    </w:div>
    <w:div w:id="539784250">
      <w:bodyDiv w:val="1"/>
      <w:marLeft w:val="0"/>
      <w:marRight w:val="0"/>
      <w:marTop w:val="0"/>
      <w:marBottom w:val="0"/>
      <w:divBdr>
        <w:top w:val="none" w:sz="0" w:space="0" w:color="auto"/>
        <w:left w:val="none" w:sz="0" w:space="0" w:color="auto"/>
        <w:bottom w:val="none" w:sz="0" w:space="0" w:color="auto"/>
        <w:right w:val="none" w:sz="0" w:space="0" w:color="auto"/>
      </w:divBdr>
    </w:div>
    <w:div w:id="575479352">
      <w:bodyDiv w:val="1"/>
      <w:marLeft w:val="0"/>
      <w:marRight w:val="0"/>
      <w:marTop w:val="0"/>
      <w:marBottom w:val="0"/>
      <w:divBdr>
        <w:top w:val="none" w:sz="0" w:space="0" w:color="auto"/>
        <w:left w:val="none" w:sz="0" w:space="0" w:color="auto"/>
        <w:bottom w:val="none" w:sz="0" w:space="0" w:color="auto"/>
        <w:right w:val="none" w:sz="0" w:space="0" w:color="auto"/>
      </w:divBdr>
    </w:div>
    <w:div w:id="597062598">
      <w:bodyDiv w:val="1"/>
      <w:marLeft w:val="0"/>
      <w:marRight w:val="0"/>
      <w:marTop w:val="0"/>
      <w:marBottom w:val="0"/>
      <w:divBdr>
        <w:top w:val="none" w:sz="0" w:space="0" w:color="auto"/>
        <w:left w:val="none" w:sz="0" w:space="0" w:color="auto"/>
        <w:bottom w:val="none" w:sz="0" w:space="0" w:color="auto"/>
        <w:right w:val="none" w:sz="0" w:space="0" w:color="auto"/>
      </w:divBdr>
    </w:div>
    <w:div w:id="598372469">
      <w:bodyDiv w:val="1"/>
      <w:marLeft w:val="0"/>
      <w:marRight w:val="0"/>
      <w:marTop w:val="0"/>
      <w:marBottom w:val="0"/>
      <w:divBdr>
        <w:top w:val="none" w:sz="0" w:space="0" w:color="auto"/>
        <w:left w:val="none" w:sz="0" w:space="0" w:color="auto"/>
        <w:bottom w:val="none" w:sz="0" w:space="0" w:color="auto"/>
        <w:right w:val="none" w:sz="0" w:space="0" w:color="auto"/>
      </w:divBdr>
    </w:div>
    <w:div w:id="598877827">
      <w:bodyDiv w:val="1"/>
      <w:marLeft w:val="0"/>
      <w:marRight w:val="0"/>
      <w:marTop w:val="0"/>
      <w:marBottom w:val="0"/>
      <w:divBdr>
        <w:top w:val="none" w:sz="0" w:space="0" w:color="auto"/>
        <w:left w:val="none" w:sz="0" w:space="0" w:color="auto"/>
        <w:bottom w:val="none" w:sz="0" w:space="0" w:color="auto"/>
        <w:right w:val="none" w:sz="0" w:space="0" w:color="auto"/>
      </w:divBdr>
    </w:div>
    <w:div w:id="611743283">
      <w:bodyDiv w:val="1"/>
      <w:marLeft w:val="0"/>
      <w:marRight w:val="0"/>
      <w:marTop w:val="0"/>
      <w:marBottom w:val="0"/>
      <w:divBdr>
        <w:top w:val="none" w:sz="0" w:space="0" w:color="auto"/>
        <w:left w:val="none" w:sz="0" w:space="0" w:color="auto"/>
        <w:bottom w:val="none" w:sz="0" w:space="0" w:color="auto"/>
        <w:right w:val="none" w:sz="0" w:space="0" w:color="auto"/>
      </w:divBdr>
    </w:div>
    <w:div w:id="621495056">
      <w:bodyDiv w:val="1"/>
      <w:marLeft w:val="0"/>
      <w:marRight w:val="0"/>
      <w:marTop w:val="0"/>
      <w:marBottom w:val="0"/>
      <w:divBdr>
        <w:top w:val="none" w:sz="0" w:space="0" w:color="auto"/>
        <w:left w:val="none" w:sz="0" w:space="0" w:color="auto"/>
        <w:bottom w:val="none" w:sz="0" w:space="0" w:color="auto"/>
        <w:right w:val="none" w:sz="0" w:space="0" w:color="auto"/>
      </w:divBdr>
    </w:div>
    <w:div w:id="623535719">
      <w:bodyDiv w:val="1"/>
      <w:marLeft w:val="0"/>
      <w:marRight w:val="0"/>
      <w:marTop w:val="0"/>
      <w:marBottom w:val="0"/>
      <w:divBdr>
        <w:top w:val="none" w:sz="0" w:space="0" w:color="auto"/>
        <w:left w:val="none" w:sz="0" w:space="0" w:color="auto"/>
        <w:bottom w:val="none" w:sz="0" w:space="0" w:color="auto"/>
        <w:right w:val="none" w:sz="0" w:space="0" w:color="auto"/>
      </w:divBdr>
    </w:div>
    <w:div w:id="628975781">
      <w:bodyDiv w:val="1"/>
      <w:marLeft w:val="0"/>
      <w:marRight w:val="0"/>
      <w:marTop w:val="0"/>
      <w:marBottom w:val="0"/>
      <w:divBdr>
        <w:top w:val="none" w:sz="0" w:space="0" w:color="auto"/>
        <w:left w:val="none" w:sz="0" w:space="0" w:color="auto"/>
        <w:bottom w:val="none" w:sz="0" w:space="0" w:color="auto"/>
        <w:right w:val="none" w:sz="0" w:space="0" w:color="auto"/>
      </w:divBdr>
    </w:div>
    <w:div w:id="631060420">
      <w:bodyDiv w:val="1"/>
      <w:marLeft w:val="0"/>
      <w:marRight w:val="0"/>
      <w:marTop w:val="0"/>
      <w:marBottom w:val="0"/>
      <w:divBdr>
        <w:top w:val="none" w:sz="0" w:space="0" w:color="auto"/>
        <w:left w:val="none" w:sz="0" w:space="0" w:color="auto"/>
        <w:bottom w:val="none" w:sz="0" w:space="0" w:color="auto"/>
        <w:right w:val="none" w:sz="0" w:space="0" w:color="auto"/>
      </w:divBdr>
    </w:div>
    <w:div w:id="638532150">
      <w:bodyDiv w:val="1"/>
      <w:marLeft w:val="0"/>
      <w:marRight w:val="0"/>
      <w:marTop w:val="0"/>
      <w:marBottom w:val="0"/>
      <w:divBdr>
        <w:top w:val="none" w:sz="0" w:space="0" w:color="auto"/>
        <w:left w:val="none" w:sz="0" w:space="0" w:color="auto"/>
        <w:bottom w:val="none" w:sz="0" w:space="0" w:color="auto"/>
        <w:right w:val="none" w:sz="0" w:space="0" w:color="auto"/>
      </w:divBdr>
    </w:div>
    <w:div w:id="657198585">
      <w:bodyDiv w:val="1"/>
      <w:marLeft w:val="0"/>
      <w:marRight w:val="0"/>
      <w:marTop w:val="0"/>
      <w:marBottom w:val="0"/>
      <w:divBdr>
        <w:top w:val="none" w:sz="0" w:space="0" w:color="auto"/>
        <w:left w:val="none" w:sz="0" w:space="0" w:color="auto"/>
        <w:bottom w:val="none" w:sz="0" w:space="0" w:color="auto"/>
        <w:right w:val="none" w:sz="0" w:space="0" w:color="auto"/>
      </w:divBdr>
    </w:div>
    <w:div w:id="661349730">
      <w:bodyDiv w:val="1"/>
      <w:marLeft w:val="0"/>
      <w:marRight w:val="0"/>
      <w:marTop w:val="0"/>
      <w:marBottom w:val="0"/>
      <w:divBdr>
        <w:top w:val="none" w:sz="0" w:space="0" w:color="auto"/>
        <w:left w:val="none" w:sz="0" w:space="0" w:color="auto"/>
        <w:bottom w:val="none" w:sz="0" w:space="0" w:color="auto"/>
        <w:right w:val="none" w:sz="0" w:space="0" w:color="auto"/>
      </w:divBdr>
      <w:divsChild>
        <w:div w:id="947663022">
          <w:marLeft w:val="0"/>
          <w:marRight w:val="0"/>
          <w:marTop w:val="0"/>
          <w:marBottom w:val="0"/>
          <w:divBdr>
            <w:top w:val="none" w:sz="0" w:space="0" w:color="auto"/>
            <w:left w:val="none" w:sz="0" w:space="0" w:color="auto"/>
            <w:bottom w:val="none" w:sz="0" w:space="0" w:color="auto"/>
            <w:right w:val="none" w:sz="0" w:space="0" w:color="auto"/>
          </w:divBdr>
          <w:divsChild>
            <w:div w:id="1595088012">
              <w:marLeft w:val="0"/>
              <w:marRight w:val="0"/>
              <w:marTop w:val="0"/>
              <w:marBottom w:val="0"/>
              <w:divBdr>
                <w:top w:val="none" w:sz="0" w:space="0" w:color="auto"/>
                <w:left w:val="none" w:sz="0" w:space="0" w:color="auto"/>
                <w:bottom w:val="none" w:sz="0" w:space="0" w:color="auto"/>
                <w:right w:val="none" w:sz="0" w:space="0" w:color="auto"/>
              </w:divBdr>
              <w:divsChild>
                <w:div w:id="526792363">
                  <w:marLeft w:val="0"/>
                  <w:marRight w:val="0"/>
                  <w:marTop w:val="0"/>
                  <w:marBottom w:val="0"/>
                  <w:divBdr>
                    <w:top w:val="none" w:sz="0" w:space="0" w:color="auto"/>
                    <w:left w:val="none" w:sz="0" w:space="0" w:color="auto"/>
                    <w:bottom w:val="none" w:sz="0" w:space="0" w:color="auto"/>
                    <w:right w:val="none" w:sz="0" w:space="0" w:color="auto"/>
                  </w:divBdr>
                  <w:divsChild>
                    <w:div w:id="1154030398">
                      <w:marLeft w:val="0"/>
                      <w:marRight w:val="0"/>
                      <w:marTop w:val="0"/>
                      <w:marBottom w:val="0"/>
                      <w:divBdr>
                        <w:top w:val="none" w:sz="0" w:space="0" w:color="auto"/>
                        <w:left w:val="none" w:sz="0" w:space="0" w:color="auto"/>
                        <w:bottom w:val="none" w:sz="0" w:space="0" w:color="auto"/>
                        <w:right w:val="none" w:sz="0" w:space="0" w:color="auto"/>
                      </w:divBdr>
                      <w:divsChild>
                        <w:div w:id="1451850846">
                          <w:marLeft w:val="0"/>
                          <w:marRight w:val="0"/>
                          <w:marTop w:val="0"/>
                          <w:marBottom w:val="0"/>
                          <w:divBdr>
                            <w:top w:val="none" w:sz="0" w:space="0" w:color="auto"/>
                            <w:left w:val="none" w:sz="0" w:space="0" w:color="auto"/>
                            <w:bottom w:val="none" w:sz="0" w:space="0" w:color="auto"/>
                            <w:right w:val="none" w:sz="0" w:space="0" w:color="auto"/>
                          </w:divBdr>
                          <w:divsChild>
                            <w:div w:id="78854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2042">
                  <w:marLeft w:val="0"/>
                  <w:marRight w:val="0"/>
                  <w:marTop w:val="0"/>
                  <w:marBottom w:val="0"/>
                  <w:divBdr>
                    <w:top w:val="none" w:sz="0" w:space="0" w:color="auto"/>
                    <w:left w:val="none" w:sz="0" w:space="0" w:color="auto"/>
                    <w:bottom w:val="none" w:sz="0" w:space="0" w:color="auto"/>
                    <w:right w:val="none" w:sz="0" w:space="0" w:color="auto"/>
                  </w:divBdr>
                  <w:divsChild>
                    <w:div w:id="2712571">
                      <w:marLeft w:val="0"/>
                      <w:marRight w:val="0"/>
                      <w:marTop w:val="0"/>
                      <w:marBottom w:val="0"/>
                      <w:divBdr>
                        <w:top w:val="none" w:sz="0" w:space="0" w:color="auto"/>
                        <w:left w:val="none" w:sz="0" w:space="0" w:color="auto"/>
                        <w:bottom w:val="none" w:sz="0" w:space="0" w:color="auto"/>
                        <w:right w:val="none" w:sz="0" w:space="0" w:color="auto"/>
                      </w:divBdr>
                      <w:divsChild>
                        <w:div w:id="252475267">
                          <w:marLeft w:val="0"/>
                          <w:marRight w:val="0"/>
                          <w:marTop w:val="0"/>
                          <w:marBottom w:val="0"/>
                          <w:divBdr>
                            <w:top w:val="none" w:sz="0" w:space="0" w:color="auto"/>
                            <w:left w:val="none" w:sz="0" w:space="0" w:color="auto"/>
                            <w:bottom w:val="none" w:sz="0" w:space="0" w:color="auto"/>
                            <w:right w:val="none" w:sz="0" w:space="0" w:color="auto"/>
                          </w:divBdr>
                          <w:divsChild>
                            <w:div w:id="1065108294">
                              <w:marLeft w:val="0"/>
                              <w:marRight w:val="0"/>
                              <w:marTop w:val="0"/>
                              <w:marBottom w:val="0"/>
                              <w:divBdr>
                                <w:top w:val="none" w:sz="0" w:space="0" w:color="auto"/>
                                <w:left w:val="none" w:sz="0" w:space="0" w:color="auto"/>
                                <w:bottom w:val="none" w:sz="0" w:space="0" w:color="auto"/>
                                <w:right w:val="none" w:sz="0" w:space="0" w:color="auto"/>
                              </w:divBdr>
                              <w:divsChild>
                                <w:div w:id="1842088031">
                                  <w:marLeft w:val="0"/>
                                  <w:marRight w:val="0"/>
                                  <w:marTop w:val="0"/>
                                  <w:marBottom w:val="0"/>
                                  <w:divBdr>
                                    <w:top w:val="none" w:sz="0" w:space="0" w:color="auto"/>
                                    <w:left w:val="none" w:sz="0" w:space="0" w:color="auto"/>
                                    <w:bottom w:val="none" w:sz="0" w:space="0" w:color="auto"/>
                                    <w:right w:val="none" w:sz="0" w:space="0" w:color="auto"/>
                                  </w:divBdr>
                                  <w:divsChild>
                                    <w:div w:id="1758749506">
                                      <w:marLeft w:val="0"/>
                                      <w:marRight w:val="0"/>
                                      <w:marTop w:val="0"/>
                                      <w:marBottom w:val="0"/>
                                      <w:divBdr>
                                        <w:top w:val="none" w:sz="0" w:space="0" w:color="auto"/>
                                        <w:left w:val="none" w:sz="0" w:space="0" w:color="auto"/>
                                        <w:bottom w:val="none" w:sz="0" w:space="0" w:color="auto"/>
                                        <w:right w:val="none" w:sz="0" w:space="0" w:color="auto"/>
                                      </w:divBdr>
                                    </w:div>
                                  </w:divsChild>
                                </w:div>
                                <w:div w:id="1950621444">
                                  <w:marLeft w:val="0"/>
                                  <w:marRight w:val="0"/>
                                  <w:marTop w:val="0"/>
                                  <w:marBottom w:val="0"/>
                                  <w:divBdr>
                                    <w:top w:val="none" w:sz="0" w:space="0" w:color="auto"/>
                                    <w:left w:val="none" w:sz="0" w:space="0" w:color="auto"/>
                                    <w:bottom w:val="none" w:sz="0" w:space="0" w:color="auto"/>
                                    <w:right w:val="none" w:sz="0" w:space="0" w:color="auto"/>
                                  </w:divBdr>
                                  <w:divsChild>
                                    <w:div w:id="861167762">
                                      <w:marLeft w:val="0"/>
                                      <w:marRight w:val="0"/>
                                      <w:marTop w:val="0"/>
                                      <w:marBottom w:val="0"/>
                                      <w:divBdr>
                                        <w:top w:val="none" w:sz="0" w:space="0" w:color="auto"/>
                                        <w:left w:val="none" w:sz="0" w:space="0" w:color="auto"/>
                                        <w:bottom w:val="none" w:sz="0" w:space="0" w:color="auto"/>
                                        <w:right w:val="none" w:sz="0" w:space="0" w:color="auto"/>
                                      </w:divBdr>
                                    </w:div>
                                  </w:divsChild>
                                </w:div>
                                <w:div w:id="772675127">
                                  <w:marLeft w:val="0"/>
                                  <w:marRight w:val="0"/>
                                  <w:marTop w:val="0"/>
                                  <w:marBottom w:val="0"/>
                                  <w:divBdr>
                                    <w:top w:val="none" w:sz="0" w:space="0" w:color="auto"/>
                                    <w:left w:val="none" w:sz="0" w:space="0" w:color="auto"/>
                                    <w:bottom w:val="none" w:sz="0" w:space="0" w:color="auto"/>
                                    <w:right w:val="none" w:sz="0" w:space="0" w:color="auto"/>
                                  </w:divBdr>
                                  <w:divsChild>
                                    <w:div w:id="203803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26413">
                  <w:marLeft w:val="0"/>
                  <w:marRight w:val="0"/>
                  <w:marTop w:val="0"/>
                  <w:marBottom w:val="0"/>
                  <w:divBdr>
                    <w:top w:val="none" w:sz="0" w:space="0" w:color="auto"/>
                    <w:left w:val="none" w:sz="0" w:space="0" w:color="auto"/>
                    <w:bottom w:val="none" w:sz="0" w:space="0" w:color="auto"/>
                    <w:right w:val="none" w:sz="0" w:space="0" w:color="auto"/>
                  </w:divBdr>
                  <w:divsChild>
                    <w:div w:id="166562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402261">
      <w:bodyDiv w:val="1"/>
      <w:marLeft w:val="0"/>
      <w:marRight w:val="0"/>
      <w:marTop w:val="0"/>
      <w:marBottom w:val="0"/>
      <w:divBdr>
        <w:top w:val="none" w:sz="0" w:space="0" w:color="auto"/>
        <w:left w:val="none" w:sz="0" w:space="0" w:color="auto"/>
        <w:bottom w:val="none" w:sz="0" w:space="0" w:color="auto"/>
        <w:right w:val="none" w:sz="0" w:space="0" w:color="auto"/>
      </w:divBdr>
    </w:div>
    <w:div w:id="704447094">
      <w:bodyDiv w:val="1"/>
      <w:marLeft w:val="0"/>
      <w:marRight w:val="0"/>
      <w:marTop w:val="0"/>
      <w:marBottom w:val="0"/>
      <w:divBdr>
        <w:top w:val="none" w:sz="0" w:space="0" w:color="auto"/>
        <w:left w:val="none" w:sz="0" w:space="0" w:color="auto"/>
        <w:bottom w:val="none" w:sz="0" w:space="0" w:color="auto"/>
        <w:right w:val="none" w:sz="0" w:space="0" w:color="auto"/>
      </w:divBdr>
    </w:div>
    <w:div w:id="716858641">
      <w:bodyDiv w:val="1"/>
      <w:marLeft w:val="0"/>
      <w:marRight w:val="0"/>
      <w:marTop w:val="0"/>
      <w:marBottom w:val="0"/>
      <w:divBdr>
        <w:top w:val="none" w:sz="0" w:space="0" w:color="auto"/>
        <w:left w:val="none" w:sz="0" w:space="0" w:color="auto"/>
        <w:bottom w:val="none" w:sz="0" w:space="0" w:color="auto"/>
        <w:right w:val="none" w:sz="0" w:space="0" w:color="auto"/>
      </w:divBdr>
    </w:div>
    <w:div w:id="727143099">
      <w:bodyDiv w:val="1"/>
      <w:marLeft w:val="0"/>
      <w:marRight w:val="0"/>
      <w:marTop w:val="0"/>
      <w:marBottom w:val="0"/>
      <w:divBdr>
        <w:top w:val="none" w:sz="0" w:space="0" w:color="auto"/>
        <w:left w:val="none" w:sz="0" w:space="0" w:color="auto"/>
        <w:bottom w:val="none" w:sz="0" w:space="0" w:color="auto"/>
        <w:right w:val="none" w:sz="0" w:space="0" w:color="auto"/>
      </w:divBdr>
    </w:div>
    <w:div w:id="731346836">
      <w:bodyDiv w:val="1"/>
      <w:marLeft w:val="0"/>
      <w:marRight w:val="0"/>
      <w:marTop w:val="0"/>
      <w:marBottom w:val="0"/>
      <w:divBdr>
        <w:top w:val="none" w:sz="0" w:space="0" w:color="auto"/>
        <w:left w:val="none" w:sz="0" w:space="0" w:color="auto"/>
        <w:bottom w:val="none" w:sz="0" w:space="0" w:color="auto"/>
        <w:right w:val="none" w:sz="0" w:space="0" w:color="auto"/>
      </w:divBdr>
    </w:div>
    <w:div w:id="744377622">
      <w:bodyDiv w:val="1"/>
      <w:marLeft w:val="0"/>
      <w:marRight w:val="0"/>
      <w:marTop w:val="0"/>
      <w:marBottom w:val="0"/>
      <w:divBdr>
        <w:top w:val="none" w:sz="0" w:space="0" w:color="auto"/>
        <w:left w:val="none" w:sz="0" w:space="0" w:color="auto"/>
        <w:bottom w:val="none" w:sz="0" w:space="0" w:color="auto"/>
        <w:right w:val="none" w:sz="0" w:space="0" w:color="auto"/>
      </w:divBdr>
    </w:div>
    <w:div w:id="753822225">
      <w:bodyDiv w:val="1"/>
      <w:marLeft w:val="0"/>
      <w:marRight w:val="0"/>
      <w:marTop w:val="0"/>
      <w:marBottom w:val="0"/>
      <w:divBdr>
        <w:top w:val="none" w:sz="0" w:space="0" w:color="auto"/>
        <w:left w:val="none" w:sz="0" w:space="0" w:color="auto"/>
        <w:bottom w:val="none" w:sz="0" w:space="0" w:color="auto"/>
        <w:right w:val="none" w:sz="0" w:space="0" w:color="auto"/>
      </w:divBdr>
    </w:div>
    <w:div w:id="770008699">
      <w:bodyDiv w:val="1"/>
      <w:marLeft w:val="0"/>
      <w:marRight w:val="0"/>
      <w:marTop w:val="0"/>
      <w:marBottom w:val="0"/>
      <w:divBdr>
        <w:top w:val="none" w:sz="0" w:space="0" w:color="auto"/>
        <w:left w:val="none" w:sz="0" w:space="0" w:color="auto"/>
        <w:bottom w:val="none" w:sz="0" w:space="0" w:color="auto"/>
        <w:right w:val="none" w:sz="0" w:space="0" w:color="auto"/>
      </w:divBdr>
    </w:div>
    <w:div w:id="783112265">
      <w:bodyDiv w:val="1"/>
      <w:marLeft w:val="0"/>
      <w:marRight w:val="0"/>
      <w:marTop w:val="0"/>
      <w:marBottom w:val="0"/>
      <w:divBdr>
        <w:top w:val="none" w:sz="0" w:space="0" w:color="auto"/>
        <w:left w:val="none" w:sz="0" w:space="0" w:color="auto"/>
        <w:bottom w:val="none" w:sz="0" w:space="0" w:color="auto"/>
        <w:right w:val="none" w:sz="0" w:space="0" w:color="auto"/>
      </w:divBdr>
    </w:div>
    <w:div w:id="813329107">
      <w:bodyDiv w:val="1"/>
      <w:marLeft w:val="0"/>
      <w:marRight w:val="0"/>
      <w:marTop w:val="0"/>
      <w:marBottom w:val="0"/>
      <w:divBdr>
        <w:top w:val="none" w:sz="0" w:space="0" w:color="auto"/>
        <w:left w:val="none" w:sz="0" w:space="0" w:color="auto"/>
        <w:bottom w:val="none" w:sz="0" w:space="0" w:color="auto"/>
        <w:right w:val="none" w:sz="0" w:space="0" w:color="auto"/>
      </w:divBdr>
    </w:div>
    <w:div w:id="882986978">
      <w:bodyDiv w:val="1"/>
      <w:marLeft w:val="0"/>
      <w:marRight w:val="0"/>
      <w:marTop w:val="0"/>
      <w:marBottom w:val="0"/>
      <w:divBdr>
        <w:top w:val="none" w:sz="0" w:space="0" w:color="auto"/>
        <w:left w:val="none" w:sz="0" w:space="0" w:color="auto"/>
        <w:bottom w:val="none" w:sz="0" w:space="0" w:color="auto"/>
        <w:right w:val="none" w:sz="0" w:space="0" w:color="auto"/>
      </w:divBdr>
    </w:div>
    <w:div w:id="892541590">
      <w:bodyDiv w:val="1"/>
      <w:marLeft w:val="0"/>
      <w:marRight w:val="0"/>
      <w:marTop w:val="0"/>
      <w:marBottom w:val="0"/>
      <w:divBdr>
        <w:top w:val="none" w:sz="0" w:space="0" w:color="auto"/>
        <w:left w:val="none" w:sz="0" w:space="0" w:color="auto"/>
        <w:bottom w:val="none" w:sz="0" w:space="0" w:color="auto"/>
        <w:right w:val="none" w:sz="0" w:space="0" w:color="auto"/>
      </w:divBdr>
    </w:div>
    <w:div w:id="899436045">
      <w:bodyDiv w:val="1"/>
      <w:marLeft w:val="0"/>
      <w:marRight w:val="0"/>
      <w:marTop w:val="0"/>
      <w:marBottom w:val="0"/>
      <w:divBdr>
        <w:top w:val="none" w:sz="0" w:space="0" w:color="auto"/>
        <w:left w:val="none" w:sz="0" w:space="0" w:color="auto"/>
        <w:bottom w:val="none" w:sz="0" w:space="0" w:color="auto"/>
        <w:right w:val="none" w:sz="0" w:space="0" w:color="auto"/>
      </w:divBdr>
    </w:div>
    <w:div w:id="909585391">
      <w:bodyDiv w:val="1"/>
      <w:marLeft w:val="0"/>
      <w:marRight w:val="0"/>
      <w:marTop w:val="0"/>
      <w:marBottom w:val="0"/>
      <w:divBdr>
        <w:top w:val="none" w:sz="0" w:space="0" w:color="auto"/>
        <w:left w:val="none" w:sz="0" w:space="0" w:color="auto"/>
        <w:bottom w:val="none" w:sz="0" w:space="0" w:color="auto"/>
        <w:right w:val="none" w:sz="0" w:space="0" w:color="auto"/>
      </w:divBdr>
    </w:div>
    <w:div w:id="940643467">
      <w:bodyDiv w:val="1"/>
      <w:marLeft w:val="0"/>
      <w:marRight w:val="0"/>
      <w:marTop w:val="0"/>
      <w:marBottom w:val="0"/>
      <w:divBdr>
        <w:top w:val="none" w:sz="0" w:space="0" w:color="auto"/>
        <w:left w:val="none" w:sz="0" w:space="0" w:color="auto"/>
        <w:bottom w:val="none" w:sz="0" w:space="0" w:color="auto"/>
        <w:right w:val="none" w:sz="0" w:space="0" w:color="auto"/>
      </w:divBdr>
    </w:div>
    <w:div w:id="943000407">
      <w:bodyDiv w:val="1"/>
      <w:marLeft w:val="0"/>
      <w:marRight w:val="0"/>
      <w:marTop w:val="0"/>
      <w:marBottom w:val="0"/>
      <w:divBdr>
        <w:top w:val="none" w:sz="0" w:space="0" w:color="auto"/>
        <w:left w:val="none" w:sz="0" w:space="0" w:color="auto"/>
        <w:bottom w:val="none" w:sz="0" w:space="0" w:color="auto"/>
        <w:right w:val="none" w:sz="0" w:space="0" w:color="auto"/>
      </w:divBdr>
    </w:div>
    <w:div w:id="943343738">
      <w:bodyDiv w:val="1"/>
      <w:marLeft w:val="0"/>
      <w:marRight w:val="0"/>
      <w:marTop w:val="0"/>
      <w:marBottom w:val="0"/>
      <w:divBdr>
        <w:top w:val="none" w:sz="0" w:space="0" w:color="auto"/>
        <w:left w:val="none" w:sz="0" w:space="0" w:color="auto"/>
        <w:bottom w:val="none" w:sz="0" w:space="0" w:color="auto"/>
        <w:right w:val="none" w:sz="0" w:space="0" w:color="auto"/>
      </w:divBdr>
    </w:div>
    <w:div w:id="943877202">
      <w:bodyDiv w:val="1"/>
      <w:marLeft w:val="0"/>
      <w:marRight w:val="0"/>
      <w:marTop w:val="0"/>
      <w:marBottom w:val="0"/>
      <w:divBdr>
        <w:top w:val="none" w:sz="0" w:space="0" w:color="auto"/>
        <w:left w:val="none" w:sz="0" w:space="0" w:color="auto"/>
        <w:bottom w:val="none" w:sz="0" w:space="0" w:color="auto"/>
        <w:right w:val="none" w:sz="0" w:space="0" w:color="auto"/>
      </w:divBdr>
    </w:div>
    <w:div w:id="994452436">
      <w:bodyDiv w:val="1"/>
      <w:marLeft w:val="0"/>
      <w:marRight w:val="0"/>
      <w:marTop w:val="0"/>
      <w:marBottom w:val="0"/>
      <w:divBdr>
        <w:top w:val="none" w:sz="0" w:space="0" w:color="auto"/>
        <w:left w:val="none" w:sz="0" w:space="0" w:color="auto"/>
        <w:bottom w:val="none" w:sz="0" w:space="0" w:color="auto"/>
        <w:right w:val="none" w:sz="0" w:space="0" w:color="auto"/>
      </w:divBdr>
    </w:div>
    <w:div w:id="1003750340">
      <w:bodyDiv w:val="1"/>
      <w:marLeft w:val="0"/>
      <w:marRight w:val="0"/>
      <w:marTop w:val="0"/>
      <w:marBottom w:val="0"/>
      <w:divBdr>
        <w:top w:val="none" w:sz="0" w:space="0" w:color="auto"/>
        <w:left w:val="none" w:sz="0" w:space="0" w:color="auto"/>
        <w:bottom w:val="none" w:sz="0" w:space="0" w:color="auto"/>
        <w:right w:val="none" w:sz="0" w:space="0" w:color="auto"/>
      </w:divBdr>
    </w:div>
    <w:div w:id="1005473897">
      <w:bodyDiv w:val="1"/>
      <w:marLeft w:val="0"/>
      <w:marRight w:val="0"/>
      <w:marTop w:val="0"/>
      <w:marBottom w:val="0"/>
      <w:divBdr>
        <w:top w:val="none" w:sz="0" w:space="0" w:color="auto"/>
        <w:left w:val="none" w:sz="0" w:space="0" w:color="auto"/>
        <w:bottom w:val="none" w:sz="0" w:space="0" w:color="auto"/>
        <w:right w:val="none" w:sz="0" w:space="0" w:color="auto"/>
      </w:divBdr>
    </w:div>
    <w:div w:id="1019818197">
      <w:bodyDiv w:val="1"/>
      <w:marLeft w:val="0"/>
      <w:marRight w:val="0"/>
      <w:marTop w:val="0"/>
      <w:marBottom w:val="0"/>
      <w:divBdr>
        <w:top w:val="none" w:sz="0" w:space="0" w:color="auto"/>
        <w:left w:val="none" w:sz="0" w:space="0" w:color="auto"/>
        <w:bottom w:val="none" w:sz="0" w:space="0" w:color="auto"/>
        <w:right w:val="none" w:sz="0" w:space="0" w:color="auto"/>
      </w:divBdr>
    </w:div>
    <w:div w:id="1024675385">
      <w:bodyDiv w:val="1"/>
      <w:marLeft w:val="0"/>
      <w:marRight w:val="0"/>
      <w:marTop w:val="0"/>
      <w:marBottom w:val="0"/>
      <w:divBdr>
        <w:top w:val="none" w:sz="0" w:space="0" w:color="auto"/>
        <w:left w:val="none" w:sz="0" w:space="0" w:color="auto"/>
        <w:bottom w:val="none" w:sz="0" w:space="0" w:color="auto"/>
        <w:right w:val="none" w:sz="0" w:space="0" w:color="auto"/>
      </w:divBdr>
    </w:div>
    <w:div w:id="1028337385">
      <w:bodyDiv w:val="1"/>
      <w:marLeft w:val="0"/>
      <w:marRight w:val="0"/>
      <w:marTop w:val="0"/>
      <w:marBottom w:val="0"/>
      <w:divBdr>
        <w:top w:val="none" w:sz="0" w:space="0" w:color="auto"/>
        <w:left w:val="none" w:sz="0" w:space="0" w:color="auto"/>
        <w:bottom w:val="none" w:sz="0" w:space="0" w:color="auto"/>
        <w:right w:val="none" w:sz="0" w:space="0" w:color="auto"/>
      </w:divBdr>
    </w:div>
    <w:div w:id="1032733002">
      <w:bodyDiv w:val="1"/>
      <w:marLeft w:val="0"/>
      <w:marRight w:val="0"/>
      <w:marTop w:val="0"/>
      <w:marBottom w:val="0"/>
      <w:divBdr>
        <w:top w:val="none" w:sz="0" w:space="0" w:color="auto"/>
        <w:left w:val="none" w:sz="0" w:space="0" w:color="auto"/>
        <w:bottom w:val="none" w:sz="0" w:space="0" w:color="auto"/>
        <w:right w:val="none" w:sz="0" w:space="0" w:color="auto"/>
      </w:divBdr>
    </w:div>
    <w:div w:id="1058355115">
      <w:bodyDiv w:val="1"/>
      <w:marLeft w:val="0"/>
      <w:marRight w:val="0"/>
      <w:marTop w:val="0"/>
      <w:marBottom w:val="0"/>
      <w:divBdr>
        <w:top w:val="none" w:sz="0" w:space="0" w:color="auto"/>
        <w:left w:val="none" w:sz="0" w:space="0" w:color="auto"/>
        <w:bottom w:val="none" w:sz="0" w:space="0" w:color="auto"/>
        <w:right w:val="none" w:sz="0" w:space="0" w:color="auto"/>
      </w:divBdr>
    </w:div>
    <w:div w:id="1059934326">
      <w:bodyDiv w:val="1"/>
      <w:marLeft w:val="0"/>
      <w:marRight w:val="0"/>
      <w:marTop w:val="0"/>
      <w:marBottom w:val="0"/>
      <w:divBdr>
        <w:top w:val="none" w:sz="0" w:space="0" w:color="auto"/>
        <w:left w:val="none" w:sz="0" w:space="0" w:color="auto"/>
        <w:bottom w:val="none" w:sz="0" w:space="0" w:color="auto"/>
        <w:right w:val="none" w:sz="0" w:space="0" w:color="auto"/>
      </w:divBdr>
    </w:div>
    <w:div w:id="1065638468">
      <w:bodyDiv w:val="1"/>
      <w:marLeft w:val="0"/>
      <w:marRight w:val="0"/>
      <w:marTop w:val="0"/>
      <w:marBottom w:val="0"/>
      <w:divBdr>
        <w:top w:val="none" w:sz="0" w:space="0" w:color="auto"/>
        <w:left w:val="none" w:sz="0" w:space="0" w:color="auto"/>
        <w:bottom w:val="none" w:sz="0" w:space="0" w:color="auto"/>
        <w:right w:val="none" w:sz="0" w:space="0" w:color="auto"/>
      </w:divBdr>
    </w:div>
    <w:div w:id="1071082917">
      <w:bodyDiv w:val="1"/>
      <w:marLeft w:val="0"/>
      <w:marRight w:val="0"/>
      <w:marTop w:val="0"/>
      <w:marBottom w:val="0"/>
      <w:divBdr>
        <w:top w:val="none" w:sz="0" w:space="0" w:color="auto"/>
        <w:left w:val="none" w:sz="0" w:space="0" w:color="auto"/>
        <w:bottom w:val="none" w:sz="0" w:space="0" w:color="auto"/>
        <w:right w:val="none" w:sz="0" w:space="0" w:color="auto"/>
      </w:divBdr>
    </w:div>
    <w:div w:id="1098989164">
      <w:bodyDiv w:val="1"/>
      <w:marLeft w:val="0"/>
      <w:marRight w:val="0"/>
      <w:marTop w:val="0"/>
      <w:marBottom w:val="0"/>
      <w:divBdr>
        <w:top w:val="none" w:sz="0" w:space="0" w:color="auto"/>
        <w:left w:val="none" w:sz="0" w:space="0" w:color="auto"/>
        <w:bottom w:val="none" w:sz="0" w:space="0" w:color="auto"/>
        <w:right w:val="none" w:sz="0" w:space="0" w:color="auto"/>
      </w:divBdr>
    </w:div>
    <w:div w:id="1102266959">
      <w:bodyDiv w:val="1"/>
      <w:marLeft w:val="0"/>
      <w:marRight w:val="0"/>
      <w:marTop w:val="0"/>
      <w:marBottom w:val="0"/>
      <w:divBdr>
        <w:top w:val="none" w:sz="0" w:space="0" w:color="auto"/>
        <w:left w:val="none" w:sz="0" w:space="0" w:color="auto"/>
        <w:bottom w:val="none" w:sz="0" w:space="0" w:color="auto"/>
        <w:right w:val="none" w:sz="0" w:space="0" w:color="auto"/>
      </w:divBdr>
    </w:div>
    <w:div w:id="1138959739">
      <w:bodyDiv w:val="1"/>
      <w:marLeft w:val="0"/>
      <w:marRight w:val="0"/>
      <w:marTop w:val="0"/>
      <w:marBottom w:val="0"/>
      <w:divBdr>
        <w:top w:val="none" w:sz="0" w:space="0" w:color="auto"/>
        <w:left w:val="none" w:sz="0" w:space="0" w:color="auto"/>
        <w:bottom w:val="none" w:sz="0" w:space="0" w:color="auto"/>
        <w:right w:val="none" w:sz="0" w:space="0" w:color="auto"/>
      </w:divBdr>
    </w:div>
    <w:div w:id="1169252839">
      <w:bodyDiv w:val="1"/>
      <w:marLeft w:val="0"/>
      <w:marRight w:val="0"/>
      <w:marTop w:val="0"/>
      <w:marBottom w:val="0"/>
      <w:divBdr>
        <w:top w:val="none" w:sz="0" w:space="0" w:color="auto"/>
        <w:left w:val="none" w:sz="0" w:space="0" w:color="auto"/>
        <w:bottom w:val="none" w:sz="0" w:space="0" w:color="auto"/>
        <w:right w:val="none" w:sz="0" w:space="0" w:color="auto"/>
      </w:divBdr>
    </w:div>
    <w:div w:id="1189223911">
      <w:bodyDiv w:val="1"/>
      <w:marLeft w:val="0"/>
      <w:marRight w:val="0"/>
      <w:marTop w:val="0"/>
      <w:marBottom w:val="0"/>
      <w:divBdr>
        <w:top w:val="none" w:sz="0" w:space="0" w:color="auto"/>
        <w:left w:val="none" w:sz="0" w:space="0" w:color="auto"/>
        <w:bottom w:val="none" w:sz="0" w:space="0" w:color="auto"/>
        <w:right w:val="none" w:sz="0" w:space="0" w:color="auto"/>
      </w:divBdr>
    </w:div>
    <w:div w:id="1211455923">
      <w:bodyDiv w:val="1"/>
      <w:marLeft w:val="0"/>
      <w:marRight w:val="0"/>
      <w:marTop w:val="0"/>
      <w:marBottom w:val="0"/>
      <w:divBdr>
        <w:top w:val="none" w:sz="0" w:space="0" w:color="auto"/>
        <w:left w:val="none" w:sz="0" w:space="0" w:color="auto"/>
        <w:bottom w:val="none" w:sz="0" w:space="0" w:color="auto"/>
        <w:right w:val="none" w:sz="0" w:space="0" w:color="auto"/>
      </w:divBdr>
    </w:div>
    <w:div w:id="1218471694">
      <w:bodyDiv w:val="1"/>
      <w:marLeft w:val="0"/>
      <w:marRight w:val="0"/>
      <w:marTop w:val="0"/>
      <w:marBottom w:val="0"/>
      <w:divBdr>
        <w:top w:val="none" w:sz="0" w:space="0" w:color="auto"/>
        <w:left w:val="none" w:sz="0" w:space="0" w:color="auto"/>
        <w:bottom w:val="none" w:sz="0" w:space="0" w:color="auto"/>
        <w:right w:val="none" w:sz="0" w:space="0" w:color="auto"/>
      </w:divBdr>
    </w:div>
    <w:div w:id="1264992398">
      <w:bodyDiv w:val="1"/>
      <w:marLeft w:val="0"/>
      <w:marRight w:val="0"/>
      <w:marTop w:val="0"/>
      <w:marBottom w:val="0"/>
      <w:divBdr>
        <w:top w:val="none" w:sz="0" w:space="0" w:color="auto"/>
        <w:left w:val="none" w:sz="0" w:space="0" w:color="auto"/>
        <w:bottom w:val="none" w:sz="0" w:space="0" w:color="auto"/>
        <w:right w:val="none" w:sz="0" w:space="0" w:color="auto"/>
      </w:divBdr>
    </w:div>
    <w:div w:id="1280333511">
      <w:bodyDiv w:val="1"/>
      <w:marLeft w:val="0"/>
      <w:marRight w:val="0"/>
      <w:marTop w:val="0"/>
      <w:marBottom w:val="0"/>
      <w:divBdr>
        <w:top w:val="none" w:sz="0" w:space="0" w:color="auto"/>
        <w:left w:val="none" w:sz="0" w:space="0" w:color="auto"/>
        <w:bottom w:val="none" w:sz="0" w:space="0" w:color="auto"/>
        <w:right w:val="none" w:sz="0" w:space="0" w:color="auto"/>
      </w:divBdr>
    </w:div>
    <w:div w:id="1297491411">
      <w:bodyDiv w:val="1"/>
      <w:marLeft w:val="0"/>
      <w:marRight w:val="0"/>
      <w:marTop w:val="0"/>
      <w:marBottom w:val="0"/>
      <w:divBdr>
        <w:top w:val="none" w:sz="0" w:space="0" w:color="auto"/>
        <w:left w:val="none" w:sz="0" w:space="0" w:color="auto"/>
        <w:bottom w:val="none" w:sz="0" w:space="0" w:color="auto"/>
        <w:right w:val="none" w:sz="0" w:space="0" w:color="auto"/>
      </w:divBdr>
    </w:div>
    <w:div w:id="1308896544">
      <w:bodyDiv w:val="1"/>
      <w:marLeft w:val="0"/>
      <w:marRight w:val="0"/>
      <w:marTop w:val="0"/>
      <w:marBottom w:val="0"/>
      <w:divBdr>
        <w:top w:val="none" w:sz="0" w:space="0" w:color="auto"/>
        <w:left w:val="none" w:sz="0" w:space="0" w:color="auto"/>
        <w:bottom w:val="none" w:sz="0" w:space="0" w:color="auto"/>
        <w:right w:val="none" w:sz="0" w:space="0" w:color="auto"/>
      </w:divBdr>
    </w:div>
    <w:div w:id="1314023303">
      <w:bodyDiv w:val="1"/>
      <w:marLeft w:val="0"/>
      <w:marRight w:val="0"/>
      <w:marTop w:val="0"/>
      <w:marBottom w:val="0"/>
      <w:divBdr>
        <w:top w:val="none" w:sz="0" w:space="0" w:color="auto"/>
        <w:left w:val="none" w:sz="0" w:space="0" w:color="auto"/>
        <w:bottom w:val="none" w:sz="0" w:space="0" w:color="auto"/>
        <w:right w:val="none" w:sz="0" w:space="0" w:color="auto"/>
      </w:divBdr>
    </w:div>
    <w:div w:id="1327828046">
      <w:bodyDiv w:val="1"/>
      <w:marLeft w:val="0"/>
      <w:marRight w:val="0"/>
      <w:marTop w:val="0"/>
      <w:marBottom w:val="0"/>
      <w:divBdr>
        <w:top w:val="none" w:sz="0" w:space="0" w:color="auto"/>
        <w:left w:val="none" w:sz="0" w:space="0" w:color="auto"/>
        <w:bottom w:val="none" w:sz="0" w:space="0" w:color="auto"/>
        <w:right w:val="none" w:sz="0" w:space="0" w:color="auto"/>
      </w:divBdr>
    </w:div>
    <w:div w:id="1337659880">
      <w:bodyDiv w:val="1"/>
      <w:marLeft w:val="0"/>
      <w:marRight w:val="0"/>
      <w:marTop w:val="0"/>
      <w:marBottom w:val="0"/>
      <w:divBdr>
        <w:top w:val="none" w:sz="0" w:space="0" w:color="auto"/>
        <w:left w:val="none" w:sz="0" w:space="0" w:color="auto"/>
        <w:bottom w:val="none" w:sz="0" w:space="0" w:color="auto"/>
        <w:right w:val="none" w:sz="0" w:space="0" w:color="auto"/>
      </w:divBdr>
    </w:div>
    <w:div w:id="1404139868">
      <w:bodyDiv w:val="1"/>
      <w:marLeft w:val="0"/>
      <w:marRight w:val="0"/>
      <w:marTop w:val="0"/>
      <w:marBottom w:val="0"/>
      <w:divBdr>
        <w:top w:val="none" w:sz="0" w:space="0" w:color="auto"/>
        <w:left w:val="none" w:sz="0" w:space="0" w:color="auto"/>
        <w:bottom w:val="none" w:sz="0" w:space="0" w:color="auto"/>
        <w:right w:val="none" w:sz="0" w:space="0" w:color="auto"/>
      </w:divBdr>
    </w:div>
    <w:div w:id="1409956999">
      <w:bodyDiv w:val="1"/>
      <w:marLeft w:val="0"/>
      <w:marRight w:val="0"/>
      <w:marTop w:val="0"/>
      <w:marBottom w:val="0"/>
      <w:divBdr>
        <w:top w:val="none" w:sz="0" w:space="0" w:color="auto"/>
        <w:left w:val="none" w:sz="0" w:space="0" w:color="auto"/>
        <w:bottom w:val="none" w:sz="0" w:space="0" w:color="auto"/>
        <w:right w:val="none" w:sz="0" w:space="0" w:color="auto"/>
      </w:divBdr>
    </w:div>
    <w:div w:id="1423600791">
      <w:bodyDiv w:val="1"/>
      <w:marLeft w:val="0"/>
      <w:marRight w:val="0"/>
      <w:marTop w:val="0"/>
      <w:marBottom w:val="0"/>
      <w:divBdr>
        <w:top w:val="none" w:sz="0" w:space="0" w:color="auto"/>
        <w:left w:val="none" w:sz="0" w:space="0" w:color="auto"/>
        <w:bottom w:val="none" w:sz="0" w:space="0" w:color="auto"/>
        <w:right w:val="none" w:sz="0" w:space="0" w:color="auto"/>
      </w:divBdr>
    </w:div>
    <w:div w:id="1434741275">
      <w:bodyDiv w:val="1"/>
      <w:marLeft w:val="0"/>
      <w:marRight w:val="0"/>
      <w:marTop w:val="0"/>
      <w:marBottom w:val="0"/>
      <w:divBdr>
        <w:top w:val="none" w:sz="0" w:space="0" w:color="auto"/>
        <w:left w:val="none" w:sz="0" w:space="0" w:color="auto"/>
        <w:bottom w:val="none" w:sz="0" w:space="0" w:color="auto"/>
        <w:right w:val="none" w:sz="0" w:space="0" w:color="auto"/>
      </w:divBdr>
    </w:div>
    <w:div w:id="1448739823">
      <w:bodyDiv w:val="1"/>
      <w:marLeft w:val="0"/>
      <w:marRight w:val="0"/>
      <w:marTop w:val="0"/>
      <w:marBottom w:val="0"/>
      <w:divBdr>
        <w:top w:val="none" w:sz="0" w:space="0" w:color="auto"/>
        <w:left w:val="none" w:sz="0" w:space="0" w:color="auto"/>
        <w:bottom w:val="none" w:sz="0" w:space="0" w:color="auto"/>
        <w:right w:val="none" w:sz="0" w:space="0" w:color="auto"/>
      </w:divBdr>
    </w:div>
    <w:div w:id="1450273742">
      <w:bodyDiv w:val="1"/>
      <w:marLeft w:val="0"/>
      <w:marRight w:val="0"/>
      <w:marTop w:val="0"/>
      <w:marBottom w:val="0"/>
      <w:divBdr>
        <w:top w:val="none" w:sz="0" w:space="0" w:color="auto"/>
        <w:left w:val="none" w:sz="0" w:space="0" w:color="auto"/>
        <w:bottom w:val="none" w:sz="0" w:space="0" w:color="auto"/>
        <w:right w:val="none" w:sz="0" w:space="0" w:color="auto"/>
      </w:divBdr>
    </w:div>
    <w:div w:id="1463961976">
      <w:bodyDiv w:val="1"/>
      <w:marLeft w:val="0"/>
      <w:marRight w:val="0"/>
      <w:marTop w:val="0"/>
      <w:marBottom w:val="0"/>
      <w:divBdr>
        <w:top w:val="none" w:sz="0" w:space="0" w:color="auto"/>
        <w:left w:val="none" w:sz="0" w:space="0" w:color="auto"/>
        <w:bottom w:val="none" w:sz="0" w:space="0" w:color="auto"/>
        <w:right w:val="none" w:sz="0" w:space="0" w:color="auto"/>
      </w:divBdr>
    </w:div>
    <w:div w:id="1481116027">
      <w:bodyDiv w:val="1"/>
      <w:marLeft w:val="0"/>
      <w:marRight w:val="0"/>
      <w:marTop w:val="0"/>
      <w:marBottom w:val="0"/>
      <w:divBdr>
        <w:top w:val="none" w:sz="0" w:space="0" w:color="auto"/>
        <w:left w:val="none" w:sz="0" w:space="0" w:color="auto"/>
        <w:bottom w:val="none" w:sz="0" w:space="0" w:color="auto"/>
        <w:right w:val="none" w:sz="0" w:space="0" w:color="auto"/>
      </w:divBdr>
    </w:div>
    <w:div w:id="1483422022">
      <w:bodyDiv w:val="1"/>
      <w:marLeft w:val="0"/>
      <w:marRight w:val="0"/>
      <w:marTop w:val="0"/>
      <w:marBottom w:val="0"/>
      <w:divBdr>
        <w:top w:val="none" w:sz="0" w:space="0" w:color="auto"/>
        <w:left w:val="none" w:sz="0" w:space="0" w:color="auto"/>
        <w:bottom w:val="none" w:sz="0" w:space="0" w:color="auto"/>
        <w:right w:val="none" w:sz="0" w:space="0" w:color="auto"/>
      </w:divBdr>
    </w:div>
    <w:div w:id="1521314473">
      <w:bodyDiv w:val="1"/>
      <w:marLeft w:val="0"/>
      <w:marRight w:val="0"/>
      <w:marTop w:val="0"/>
      <w:marBottom w:val="0"/>
      <w:divBdr>
        <w:top w:val="none" w:sz="0" w:space="0" w:color="auto"/>
        <w:left w:val="none" w:sz="0" w:space="0" w:color="auto"/>
        <w:bottom w:val="none" w:sz="0" w:space="0" w:color="auto"/>
        <w:right w:val="none" w:sz="0" w:space="0" w:color="auto"/>
      </w:divBdr>
    </w:div>
    <w:div w:id="1537346847">
      <w:bodyDiv w:val="1"/>
      <w:marLeft w:val="0"/>
      <w:marRight w:val="0"/>
      <w:marTop w:val="0"/>
      <w:marBottom w:val="0"/>
      <w:divBdr>
        <w:top w:val="none" w:sz="0" w:space="0" w:color="auto"/>
        <w:left w:val="none" w:sz="0" w:space="0" w:color="auto"/>
        <w:bottom w:val="none" w:sz="0" w:space="0" w:color="auto"/>
        <w:right w:val="none" w:sz="0" w:space="0" w:color="auto"/>
      </w:divBdr>
    </w:div>
    <w:div w:id="1547138813">
      <w:bodyDiv w:val="1"/>
      <w:marLeft w:val="0"/>
      <w:marRight w:val="0"/>
      <w:marTop w:val="0"/>
      <w:marBottom w:val="0"/>
      <w:divBdr>
        <w:top w:val="none" w:sz="0" w:space="0" w:color="auto"/>
        <w:left w:val="none" w:sz="0" w:space="0" w:color="auto"/>
        <w:bottom w:val="none" w:sz="0" w:space="0" w:color="auto"/>
        <w:right w:val="none" w:sz="0" w:space="0" w:color="auto"/>
      </w:divBdr>
    </w:div>
    <w:div w:id="1555194867">
      <w:bodyDiv w:val="1"/>
      <w:marLeft w:val="0"/>
      <w:marRight w:val="0"/>
      <w:marTop w:val="0"/>
      <w:marBottom w:val="0"/>
      <w:divBdr>
        <w:top w:val="none" w:sz="0" w:space="0" w:color="auto"/>
        <w:left w:val="none" w:sz="0" w:space="0" w:color="auto"/>
        <w:bottom w:val="none" w:sz="0" w:space="0" w:color="auto"/>
        <w:right w:val="none" w:sz="0" w:space="0" w:color="auto"/>
      </w:divBdr>
    </w:div>
    <w:div w:id="1559516218">
      <w:bodyDiv w:val="1"/>
      <w:marLeft w:val="0"/>
      <w:marRight w:val="0"/>
      <w:marTop w:val="0"/>
      <w:marBottom w:val="0"/>
      <w:divBdr>
        <w:top w:val="none" w:sz="0" w:space="0" w:color="auto"/>
        <w:left w:val="none" w:sz="0" w:space="0" w:color="auto"/>
        <w:bottom w:val="none" w:sz="0" w:space="0" w:color="auto"/>
        <w:right w:val="none" w:sz="0" w:space="0" w:color="auto"/>
      </w:divBdr>
    </w:div>
    <w:div w:id="1583224754">
      <w:bodyDiv w:val="1"/>
      <w:marLeft w:val="0"/>
      <w:marRight w:val="0"/>
      <w:marTop w:val="0"/>
      <w:marBottom w:val="0"/>
      <w:divBdr>
        <w:top w:val="none" w:sz="0" w:space="0" w:color="auto"/>
        <w:left w:val="none" w:sz="0" w:space="0" w:color="auto"/>
        <w:bottom w:val="none" w:sz="0" w:space="0" w:color="auto"/>
        <w:right w:val="none" w:sz="0" w:space="0" w:color="auto"/>
      </w:divBdr>
    </w:div>
    <w:div w:id="1585609682">
      <w:bodyDiv w:val="1"/>
      <w:marLeft w:val="0"/>
      <w:marRight w:val="0"/>
      <w:marTop w:val="0"/>
      <w:marBottom w:val="0"/>
      <w:divBdr>
        <w:top w:val="none" w:sz="0" w:space="0" w:color="auto"/>
        <w:left w:val="none" w:sz="0" w:space="0" w:color="auto"/>
        <w:bottom w:val="none" w:sz="0" w:space="0" w:color="auto"/>
        <w:right w:val="none" w:sz="0" w:space="0" w:color="auto"/>
      </w:divBdr>
    </w:div>
    <w:div w:id="1606422004">
      <w:bodyDiv w:val="1"/>
      <w:marLeft w:val="0"/>
      <w:marRight w:val="0"/>
      <w:marTop w:val="0"/>
      <w:marBottom w:val="0"/>
      <w:divBdr>
        <w:top w:val="none" w:sz="0" w:space="0" w:color="auto"/>
        <w:left w:val="none" w:sz="0" w:space="0" w:color="auto"/>
        <w:bottom w:val="none" w:sz="0" w:space="0" w:color="auto"/>
        <w:right w:val="none" w:sz="0" w:space="0" w:color="auto"/>
      </w:divBdr>
    </w:div>
    <w:div w:id="1609311769">
      <w:bodyDiv w:val="1"/>
      <w:marLeft w:val="0"/>
      <w:marRight w:val="0"/>
      <w:marTop w:val="0"/>
      <w:marBottom w:val="0"/>
      <w:divBdr>
        <w:top w:val="none" w:sz="0" w:space="0" w:color="auto"/>
        <w:left w:val="none" w:sz="0" w:space="0" w:color="auto"/>
        <w:bottom w:val="none" w:sz="0" w:space="0" w:color="auto"/>
        <w:right w:val="none" w:sz="0" w:space="0" w:color="auto"/>
      </w:divBdr>
    </w:div>
    <w:div w:id="1630625063">
      <w:bodyDiv w:val="1"/>
      <w:marLeft w:val="0"/>
      <w:marRight w:val="0"/>
      <w:marTop w:val="0"/>
      <w:marBottom w:val="0"/>
      <w:divBdr>
        <w:top w:val="none" w:sz="0" w:space="0" w:color="auto"/>
        <w:left w:val="none" w:sz="0" w:space="0" w:color="auto"/>
        <w:bottom w:val="none" w:sz="0" w:space="0" w:color="auto"/>
        <w:right w:val="none" w:sz="0" w:space="0" w:color="auto"/>
      </w:divBdr>
    </w:div>
    <w:div w:id="1641030737">
      <w:bodyDiv w:val="1"/>
      <w:marLeft w:val="0"/>
      <w:marRight w:val="0"/>
      <w:marTop w:val="0"/>
      <w:marBottom w:val="0"/>
      <w:divBdr>
        <w:top w:val="none" w:sz="0" w:space="0" w:color="auto"/>
        <w:left w:val="none" w:sz="0" w:space="0" w:color="auto"/>
        <w:bottom w:val="none" w:sz="0" w:space="0" w:color="auto"/>
        <w:right w:val="none" w:sz="0" w:space="0" w:color="auto"/>
      </w:divBdr>
    </w:div>
    <w:div w:id="1673146160">
      <w:bodyDiv w:val="1"/>
      <w:marLeft w:val="0"/>
      <w:marRight w:val="0"/>
      <w:marTop w:val="0"/>
      <w:marBottom w:val="0"/>
      <w:divBdr>
        <w:top w:val="none" w:sz="0" w:space="0" w:color="auto"/>
        <w:left w:val="none" w:sz="0" w:space="0" w:color="auto"/>
        <w:bottom w:val="none" w:sz="0" w:space="0" w:color="auto"/>
        <w:right w:val="none" w:sz="0" w:space="0" w:color="auto"/>
      </w:divBdr>
    </w:div>
    <w:div w:id="1674335360">
      <w:bodyDiv w:val="1"/>
      <w:marLeft w:val="0"/>
      <w:marRight w:val="0"/>
      <w:marTop w:val="0"/>
      <w:marBottom w:val="0"/>
      <w:divBdr>
        <w:top w:val="none" w:sz="0" w:space="0" w:color="auto"/>
        <w:left w:val="none" w:sz="0" w:space="0" w:color="auto"/>
        <w:bottom w:val="none" w:sz="0" w:space="0" w:color="auto"/>
        <w:right w:val="none" w:sz="0" w:space="0" w:color="auto"/>
      </w:divBdr>
    </w:div>
    <w:div w:id="1684015426">
      <w:bodyDiv w:val="1"/>
      <w:marLeft w:val="0"/>
      <w:marRight w:val="0"/>
      <w:marTop w:val="0"/>
      <w:marBottom w:val="0"/>
      <w:divBdr>
        <w:top w:val="none" w:sz="0" w:space="0" w:color="auto"/>
        <w:left w:val="none" w:sz="0" w:space="0" w:color="auto"/>
        <w:bottom w:val="none" w:sz="0" w:space="0" w:color="auto"/>
        <w:right w:val="none" w:sz="0" w:space="0" w:color="auto"/>
      </w:divBdr>
    </w:div>
    <w:div w:id="1690251493">
      <w:bodyDiv w:val="1"/>
      <w:marLeft w:val="0"/>
      <w:marRight w:val="0"/>
      <w:marTop w:val="0"/>
      <w:marBottom w:val="0"/>
      <w:divBdr>
        <w:top w:val="none" w:sz="0" w:space="0" w:color="auto"/>
        <w:left w:val="none" w:sz="0" w:space="0" w:color="auto"/>
        <w:bottom w:val="none" w:sz="0" w:space="0" w:color="auto"/>
        <w:right w:val="none" w:sz="0" w:space="0" w:color="auto"/>
      </w:divBdr>
    </w:div>
    <w:div w:id="1698655550">
      <w:bodyDiv w:val="1"/>
      <w:marLeft w:val="0"/>
      <w:marRight w:val="0"/>
      <w:marTop w:val="0"/>
      <w:marBottom w:val="0"/>
      <w:divBdr>
        <w:top w:val="none" w:sz="0" w:space="0" w:color="auto"/>
        <w:left w:val="none" w:sz="0" w:space="0" w:color="auto"/>
        <w:bottom w:val="none" w:sz="0" w:space="0" w:color="auto"/>
        <w:right w:val="none" w:sz="0" w:space="0" w:color="auto"/>
      </w:divBdr>
    </w:div>
    <w:div w:id="1711762517">
      <w:bodyDiv w:val="1"/>
      <w:marLeft w:val="0"/>
      <w:marRight w:val="0"/>
      <w:marTop w:val="0"/>
      <w:marBottom w:val="0"/>
      <w:divBdr>
        <w:top w:val="none" w:sz="0" w:space="0" w:color="auto"/>
        <w:left w:val="none" w:sz="0" w:space="0" w:color="auto"/>
        <w:bottom w:val="none" w:sz="0" w:space="0" w:color="auto"/>
        <w:right w:val="none" w:sz="0" w:space="0" w:color="auto"/>
      </w:divBdr>
    </w:div>
    <w:div w:id="1732382248">
      <w:bodyDiv w:val="1"/>
      <w:marLeft w:val="0"/>
      <w:marRight w:val="0"/>
      <w:marTop w:val="0"/>
      <w:marBottom w:val="0"/>
      <w:divBdr>
        <w:top w:val="none" w:sz="0" w:space="0" w:color="auto"/>
        <w:left w:val="none" w:sz="0" w:space="0" w:color="auto"/>
        <w:bottom w:val="none" w:sz="0" w:space="0" w:color="auto"/>
        <w:right w:val="none" w:sz="0" w:space="0" w:color="auto"/>
      </w:divBdr>
    </w:div>
    <w:div w:id="1742941155">
      <w:bodyDiv w:val="1"/>
      <w:marLeft w:val="0"/>
      <w:marRight w:val="0"/>
      <w:marTop w:val="0"/>
      <w:marBottom w:val="0"/>
      <w:divBdr>
        <w:top w:val="none" w:sz="0" w:space="0" w:color="auto"/>
        <w:left w:val="none" w:sz="0" w:space="0" w:color="auto"/>
        <w:bottom w:val="none" w:sz="0" w:space="0" w:color="auto"/>
        <w:right w:val="none" w:sz="0" w:space="0" w:color="auto"/>
      </w:divBdr>
    </w:div>
    <w:div w:id="1775785114">
      <w:bodyDiv w:val="1"/>
      <w:marLeft w:val="0"/>
      <w:marRight w:val="0"/>
      <w:marTop w:val="0"/>
      <w:marBottom w:val="0"/>
      <w:divBdr>
        <w:top w:val="none" w:sz="0" w:space="0" w:color="auto"/>
        <w:left w:val="none" w:sz="0" w:space="0" w:color="auto"/>
        <w:bottom w:val="none" w:sz="0" w:space="0" w:color="auto"/>
        <w:right w:val="none" w:sz="0" w:space="0" w:color="auto"/>
      </w:divBdr>
    </w:div>
    <w:div w:id="1815678927">
      <w:bodyDiv w:val="1"/>
      <w:marLeft w:val="0"/>
      <w:marRight w:val="0"/>
      <w:marTop w:val="0"/>
      <w:marBottom w:val="0"/>
      <w:divBdr>
        <w:top w:val="none" w:sz="0" w:space="0" w:color="auto"/>
        <w:left w:val="none" w:sz="0" w:space="0" w:color="auto"/>
        <w:bottom w:val="none" w:sz="0" w:space="0" w:color="auto"/>
        <w:right w:val="none" w:sz="0" w:space="0" w:color="auto"/>
      </w:divBdr>
    </w:div>
    <w:div w:id="1825076987">
      <w:bodyDiv w:val="1"/>
      <w:marLeft w:val="0"/>
      <w:marRight w:val="0"/>
      <w:marTop w:val="0"/>
      <w:marBottom w:val="0"/>
      <w:divBdr>
        <w:top w:val="none" w:sz="0" w:space="0" w:color="auto"/>
        <w:left w:val="none" w:sz="0" w:space="0" w:color="auto"/>
        <w:bottom w:val="none" w:sz="0" w:space="0" w:color="auto"/>
        <w:right w:val="none" w:sz="0" w:space="0" w:color="auto"/>
      </w:divBdr>
    </w:div>
    <w:div w:id="1835223428">
      <w:bodyDiv w:val="1"/>
      <w:marLeft w:val="0"/>
      <w:marRight w:val="0"/>
      <w:marTop w:val="0"/>
      <w:marBottom w:val="0"/>
      <w:divBdr>
        <w:top w:val="none" w:sz="0" w:space="0" w:color="auto"/>
        <w:left w:val="none" w:sz="0" w:space="0" w:color="auto"/>
        <w:bottom w:val="none" w:sz="0" w:space="0" w:color="auto"/>
        <w:right w:val="none" w:sz="0" w:space="0" w:color="auto"/>
      </w:divBdr>
    </w:div>
    <w:div w:id="1856070607">
      <w:bodyDiv w:val="1"/>
      <w:marLeft w:val="0"/>
      <w:marRight w:val="0"/>
      <w:marTop w:val="0"/>
      <w:marBottom w:val="0"/>
      <w:divBdr>
        <w:top w:val="none" w:sz="0" w:space="0" w:color="auto"/>
        <w:left w:val="none" w:sz="0" w:space="0" w:color="auto"/>
        <w:bottom w:val="none" w:sz="0" w:space="0" w:color="auto"/>
        <w:right w:val="none" w:sz="0" w:space="0" w:color="auto"/>
      </w:divBdr>
    </w:div>
    <w:div w:id="1865628311">
      <w:bodyDiv w:val="1"/>
      <w:marLeft w:val="0"/>
      <w:marRight w:val="0"/>
      <w:marTop w:val="0"/>
      <w:marBottom w:val="0"/>
      <w:divBdr>
        <w:top w:val="none" w:sz="0" w:space="0" w:color="auto"/>
        <w:left w:val="none" w:sz="0" w:space="0" w:color="auto"/>
        <w:bottom w:val="none" w:sz="0" w:space="0" w:color="auto"/>
        <w:right w:val="none" w:sz="0" w:space="0" w:color="auto"/>
      </w:divBdr>
    </w:div>
    <w:div w:id="1866749382">
      <w:bodyDiv w:val="1"/>
      <w:marLeft w:val="0"/>
      <w:marRight w:val="0"/>
      <w:marTop w:val="0"/>
      <w:marBottom w:val="0"/>
      <w:divBdr>
        <w:top w:val="none" w:sz="0" w:space="0" w:color="auto"/>
        <w:left w:val="none" w:sz="0" w:space="0" w:color="auto"/>
        <w:bottom w:val="none" w:sz="0" w:space="0" w:color="auto"/>
        <w:right w:val="none" w:sz="0" w:space="0" w:color="auto"/>
      </w:divBdr>
    </w:div>
    <w:div w:id="1873691235">
      <w:bodyDiv w:val="1"/>
      <w:marLeft w:val="0"/>
      <w:marRight w:val="0"/>
      <w:marTop w:val="0"/>
      <w:marBottom w:val="0"/>
      <w:divBdr>
        <w:top w:val="none" w:sz="0" w:space="0" w:color="auto"/>
        <w:left w:val="none" w:sz="0" w:space="0" w:color="auto"/>
        <w:bottom w:val="none" w:sz="0" w:space="0" w:color="auto"/>
        <w:right w:val="none" w:sz="0" w:space="0" w:color="auto"/>
      </w:divBdr>
    </w:div>
    <w:div w:id="1878158786">
      <w:bodyDiv w:val="1"/>
      <w:marLeft w:val="0"/>
      <w:marRight w:val="0"/>
      <w:marTop w:val="0"/>
      <w:marBottom w:val="0"/>
      <w:divBdr>
        <w:top w:val="none" w:sz="0" w:space="0" w:color="auto"/>
        <w:left w:val="none" w:sz="0" w:space="0" w:color="auto"/>
        <w:bottom w:val="none" w:sz="0" w:space="0" w:color="auto"/>
        <w:right w:val="none" w:sz="0" w:space="0" w:color="auto"/>
      </w:divBdr>
    </w:div>
    <w:div w:id="1879315369">
      <w:bodyDiv w:val="1"/>
      <w:marLeft w:val="0"/>
      <w:marRight w:val="0"/>
      <w:marTop w:val="0"/>
      <w:marBottom w:val="0"/>
      <w:divBdr>
        <w:top w:val="none" w:sz="0" w:space="0" w:color="auto"/>
        <w:left w:val="none" w:sz="0" w:space="0" w:color="auto"/>
        <w:bottom w:val="none" w:sz="0" w:space="0" w:color="auto"/>
        <w:right w:val="none" w:sz="0" w:space="0" w:color="auto"/>
      </w:divBdr>
    </w:div>
    <w:div w:id="1893074450">
      <w:bodyDiv w:val="1"/>
      <w:marLeft w:val="0"/>
      <w:marRight w:val="0"/>
      <w:marTop w:val="0"/>
      <w:marBottom w:val="0"/>
      <w:divBdr>
        <w:top w:val="none" w:sz="0" w:space="0" w:color="auto"/>
        <w:left w:val="none" w:sz="0" w:space="0" w:color="auto"/>
        <w:bottom w:val="none" w:sz="0" w:space="0" w:color="auto"/>
        <w:right w:val="none" w:sz="0" w:space="0" w:color="auto"/>
      </w:divBdr>
    </w:div>
    <w:div w:id="1904635579">
      <w:bodyDiv w:val="1"/>
      <w:marLeft w:val="0"/>
      <w:marRight w:val="0"/>
      <w:marTop w:val="0"/>
      <w:marBottom w:val="0"/>
      <w:divBdr>
        <w:top w:val="none" w:sz="0" w:space="0" w:color="auto"/>
        <w:left w:val="none" w:sz="0" w:space="0" w:color="auto"/>
        <w:bottom w:val="none" w:sz="0" w:space="0" w:color="auto"/>
        <w:right w:val="none" w:sz="0" w:space="0" w:color="auto"/>
      </w:divBdr>
    </w:div>
    <w:div w:id="1915968760">
      <w:bodyDiv w:val="1"/>
      <w:marLeft w:val="0"/>
      <w:marRight w:val="0"/>
      <w:marTop w:val="0"/>
      <w:marBottom w:val="0"/>
      <w:divBdr>
        <w:top w:val="none" w:sz="0" w:space="0" w:color="auto"/>
        <w:left w:val="none" w:sz="0" w:space="0" w:color="auto"/>
        <w:bottom w:val="none" w:sz="0" w:space="0" w:color="auto"/>
        <w:right w:val="none" w:sz="0" w:space="0" w:color="auto"/>
      </w:divBdr>
    </w:div>
    <w:div w:id="1935166326">
      <w:bodyDiv w:val="1"/>
      <w:marLeft w:val="0"/>
      <w:marRight w:val="0"/>
      <w:marTop w:val="0"/>
      <w:marBottom w:val="0"/>
      <w:divBdr>
        <w:top w:val="none" w:sz="0" w:space="0" w:color="auto"/>
        <w:left w:val="none" w:sz="0" w:space="0" w:color="auto"/>
        <w:bottom w:val="none" w:sz="0" w:space="0" w:color="auto"/>
        <w:right w:val="none" w:sz="0" w:space="0" w:color="auto"/>
      </w:divBdr>
    </w:div>
    <w:div w:id="1949896470">
      <w:bodyDiv w:val="1"/>
      <w:marLeft w:val="0"/>
      <w:marRight w:val="0"/>
      <w:marTop w:val="0"/>
      <w:marBottom w:val="0"/>
      <w:divBdr>
        <w:top w:val="none" w:sz="0" w:space="0" w:color="auto"/>
        <w:left w:val="none" w:sz="0" w:space="0" w:color="auto"/>
        <w:bottom w:val="none" w:sz="0" w:space="0" w:color="auto"/>
        <w:right w:val="none" w:sz="0" w:space="0" w:color="auto"/>
      </w:divBdr>
    </w:div>
    <w:div w:id="1980331723">
      <w:bodyDiv w:val="1"/>
      <w:marLeft w:val="0"/>
      <w:marRight w:val="0"/>
      <w:marTop w:val="0"/>
      <w:marBottom w:val="0"/>
      <w:divBdr>
        <w:top w:val="none" w:sz="0" w:space="0" w:color="auto"/>
        <w:left w:val="none" w:sz="0" w:space="0" w:color="auto"/>
        <w:bottom w:val="none" w:sz="0" w:space="0" w:color="auto"/>
        <w:right w:val="none" w:sz="0" w:space="0" w:color="auto"/>
      </w:divBdr>
    </w:div>
    <w:div w:id="1980451498">
      <w:bodyDiv w:val="1"/>
      <w:marLeft w:val="0"/>
      <w:marRight w:val="0"/>
      <w:marTop w:val="0"/>
      <w:marBottom w:val="0"/>
      <w:divBdr>
        <w:top w:val="none" w:sz="0" w:space="0" w:color="auto"/>
        <w:left w:val="none" w:sz="0" w:space="0" w:color="auto"/>
        <w:bottom w:val="none" w:sz="0" w:space="0" w:color="auto"/>
        <w:right w:val="none" w:sz="0" w:space="0" w:color="auto"/>
      </w:divBdr>
    </w:div>
    <w:div w:id="1990398204">
      <w:bodyDiv w:val="1"/>
      <w:marLeft w:val="0"/>
      <w:marRight w:val="0"/>
      <w:marTop w:val="0"/>
      <w:marBottom w:val="0"/>
      <w:divBdr>
        <w:top w:val="none" w:sz="0" w:space="0" w:color="auto"/>
        <w:left w:val="none" w:sz="0" w:space="0" w:color="auto"/>
        <w:bottom w:val="none" w:sz="0" w:space="0" w:color="auto"/>
        <w:right w:val="none" w:sz="0" w:space="0" w:color="auto"/>
      </w:divBdr>
    </w:div>
    <w:div w:id="2015721558">
      <w:bodyDiv w:val="1"/>
      <w:marLeft w:val="0"/>
      <w:marRight w:val="0"/>
      <w:marTop w:val="0"/>
      <w:marBottom w:val="0"/>
      <w:divBdr>
        <w:top w:val="none" w:sz="0" w:space="0" w:color="auto"/>
        <w:left w:val="none" w:sz="0" w:space="0" w:color="auto"/>
        <w:bottom w:val="none" w:sz="0" w:space="0" w:color="auto"/>
        <w:right w:val="none" w:sz="0" w:space="0" w:color="auto"/>
      </w:divBdr>
    </w:div>
    <w:div w:id="2016105477">
      <w:bodyDiv w:val="1"/>
      <w:marLeft w:val="0"/>
      <w:marRight w:val="0"/>
      <w:marTop w:val="0"/>
      <w:marBottom w:val="0"/>
      <w:divBdr>
        <w:top w:val="none" w:sz="0" w:space="0" w:color="auto"/>
        <w:left w:val="none" w:sz="0" w:space="0" w:color="auto"/>
        <w:bottom w:val="none" w:sz="0" w:space="0" w:color="auto"/>
        <w:right w:val="none" w:sz="0" w:space="0" w:color="auto"/>
      </w:divBdr>
    </w:div>
    <w:div w:id="2021855424">
      <w:bodyDiv w:val="1"/>
      <w:marLeft w:val="0"/>
      <w:marRight w:val="0"/>
      <w:marTop w:val="0"/>
      <w:marBottom w:val="0"/>
      <w:divBdr>
        <w:top w:val="none" w:sz="0" w:space="0" w:color="auto"/>
        <w:left w:val="none" w:sz="0" w:space="0" w:color="auto"/>
        <w:bottom w:val="none" w:sz="0" w:space="0" w:color="auto"/>
        <w:right w:val="none" w:sz="0" w:space="0" w:color="auto"/>
      </w:divBdr>
      <w:divsChild>
        <w:div w:id="1693648689">
          <w:marLeft w:val="0"/>
          <w:marRight w:val="0"/>
          <w:marTop w:val="0"/>
          <w:marBottom w:val="0"/>
          <w:divBdr>
            <w:top w:val="none" w:sz="0" w:space="0" w:color="auto"/>
            <w:left w:val="none" w:sz="0" w:space="0" w:color="auto"/>
            <w:bottom w:val="none" w:sz="0" w:space="0" w:color="auto"/>
            <w:right w:val="none" w:sz="0" w:space="0" w:color="auto"/>
          </w:divBdr>
          <w:divsChild>
            <w:div w:id="408617907">
              <w:marLeft w:val="0"/>
              <w:marRight w:val="0"/>
              <w:marTop w:val="0"/>
              <w:marBottom w:val="0"/>
              <w:divBdr>
                <w:top w:val="none" w:sz="0" w:space="0" w:color="auto"/>
                <w:left w:val="none" w:sz="0" w:space="0" w:color="auto"/>
                <w:bottom w:val="none" w:sz="0" w:space="0" w:color="auto"/>
                <w:right w:val="none" w:sz="0" w:space="0" w:color="auto"/>
              </w:divBdr>
              <w:divsChild>
                <w:div w:id="994336371">
                  <w:marLeft w:val="0"/>
                  <w:marRight w:val="0"/>
                  <w:marTop w:val="0"/>
                  <w:marBottom w:val="0"/>
                  <w:divBdr>
                    <w:top w:val="none" w:sz="0" w:space="0" w:color="auto"/>
                    <w:left w:val="none" w:sz="0" w:space="0" w:color="auto"/>
                    <w:bottom w:val="none" w:sz="0" w:space="0" w:color="auto"/>
                    <w:right w:val="none" w:sz="0" w:space="0" w:color="auto"/>
                  </w:divBdr>
                  <w:divsChild>
                    <w:div w:id="1873378209">
                      <w:marLeft w:val="0"/>
                      <w:marRight w:val="0"/>
                      <w:marTop w:val="0"/>
                      <w:marBottom w:val="0"/>
                      <w:divBdr>
                        <w:top w:val="none" w:sz="0" w:space="0" w:color="auto"/>
                        <w:left w:val="none" w:sz="0" w:space="0" w:color="auto"/>
                        <w:bottom w:val="none" w:sz="0" w:space="0" w:color="auto"/>
                        <w:right w:val="none" w:sz="0" w:space="0" w:color="auto"/>
                      </w:divBdr>
                      <w:divsChild>
                        <w:div w:id="895509087">
                          <w:marLeft w:val="0"/>
                          <w:marRight w:val="0"/>
                          <w:marTop w:val="0"/>
                          <w:marBottom w:val="0"/>
                          <w:divBdr>
                            <w:top w:val="none" w:sz="0" w:space="0" w:color="auto"/>
                            <w:left w:val="none" w:sz="0" w:space="0" w:color="auto"/>
                            <w:bottom w:val="none" w:sz="0" w:space="0" w:color="auto"/>
                            <w:right w:val="none" w:sz="0" w:space="0" w:color="auto"/>
                          </w:divBdr>
                          <w:divsChild>
                            <w:div w:id="816147328">
                              <w:marLeft w:val="0"/>
                              <w:marRight w:val="0"/>
                              <w:marTop w:val="0"/>
                              <w:marBottom w:val="0"/>
                              <w:divBdr>
                                <w:top w:val="none" w:sz="0" w:space="0" w:color="auto"/>
                                <w:left w:val="none" w:sz="0" w:space="0" w:color="auto"/>
                                <w:bottom w:val="none" w:sz="0" w:space="0" w:color="auto"/>
                                <w:right w:val="none" w:sz="0" w:space="0" w:color="auto"/>
                              </w:divBdr>
                              <w:divsChild>
                                <w:div w:id="312224459">
                                  <w:marLeft w:val="0"/>
                                  <w:marRight w:val="0"/>
                                  <w:marTop w:val="0"/>
                                  <w:marBottom w:val="0"/>
                                  <w:divBdr>
                                    <w:top w:val="none" w:sz="0" w:space="0" w:color="auto"/>
                                    <w:left w:val="none" w:sz="0" w:space="0" w:color="auto"/>
                                    <w:bottom w:val="none" w:sz="0" w:space="0" w:color="auto"/>
                                    <w:right w:val="none" w:sz="0" w:space="0" w:color="auto"/>
                                  </w:divBdr>
                                  <w:divsChild>
                                    <w:div w:id="9541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5554067">
                      <w:marLeft w:val="0"/>
                      <w:marRight w:val="0"/>
                      <w:marTop w:val="0"/>
                      <w:marBottom w:val="0"/>
                      <w:divBdr>
                        <w:top w:val="none" w:sz="0" w:space="0" w:color="auto"/>
                        <w:left w:val="none" w:sz="0" w:space="0" w:color="auto"/>
                        <w:bottom w:val="none" w:sz="0" w:space="0" w:color="auto"/>
                        <w:right w:val="none" w:sz="0" w:space="0" w:color="auto"/>
                      </w:divBdr>
                      <w:divsChild>
                        <w:div w:id="7741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446468">
      <w:bodyDiv w:val="1"/>
      <w:marLeft w:val="0"/>
      <w:marRight w:val="0"/>
      <w:marTop w:val="0"/>
      <w:marBottom w:val="0"/>
      <w:divBdr>
        <w:top w:val="none" w:sz="0" w:space="0" w:color="auto"/>
        <w:left w:val="none" w:sz="0" w:space="0" w:color="auto"/>
        <w:bottom w:val="none" w:sz="0" w:space="0" w:color="auto"/>
        <w:right w:val="none" w:sz="0" w:space="0" w:color="auto"/>
      </w:divBdr>
    </w:div>
    <w:div w:id="2035031262">
      <w:bodyDiv w:val="1"/>
      <w:marLeft w:val="0"/>
      <w:marRight w:val="0"/>
      <w:marTop w:val="0"/>
      <w:marBottom w:val="0"/>
      <w:divBdr>
        <w:top w:val="none" w:sz="0" w:space="0" w:color="auto"/>
        <w:left w:val="none" w:sz="0" w:space="0" w:color="auto"/>
        <w:bottom w:val="none" w:sz="0" w:space="0" w:color="auto"/>
        <w:right w:val="none" w:sz="0" w:space="0" w:color="auto"/>
      </w:divBdr>
    </w:div>
    <w:div w:id="2048019018">
      <w:bodyDiv w:val="1"/>
      <w:marLeft w:val="0"/>
      <w:marRight w:val="0"/>
      <w:marTop w:val="0"/>
      <w:marBottom w:val="0"/>
      <w:divBdr>
        <w:top w:val="none" w:sz="0" w:space="0" w:color="auto"/>
        <w:left w:val="none" w:sz="0" w:space="0" w:color="auto"/>
        <w:bottom w:val="none" w:sz="0" w:space="0" w:color="auto"/>
        <w:right w:val="none" w:sz="0" w:space="0" w:color="auto"/>
      </w:divBdr>
    </w:div>
    <w:div w:id="2062708516">
      <w:bodyDiv w:val="1"/>
      <w:marLeft w:val="0"/>
      <w:marRight w:val="0"/>
      <w:marTop w:val="0"/>
      <w:marBottom w:val="0"/>
      <w:divBdr>
        <w:top w:val="none" w:sz="0" w:space="0" w:color="auto"/>
        <w:left w:val="none" w:sz="0" w:space="0" w:color="auto"/>
        <w:bottom w:val="none" w:sz="0" w:space="0" w:color="auto"/>
        <w:right w:val="none" w:sz="0" w:space="0" w:color="auto"/>
      </w:divBdr>
    </w:div>
    <w:div w:id="2069568292">
      <w:bodyDiv w:val="1"/>
      <w:marLeft w:val="0"/>
      <w:marRight w:val="0"/>
      <w:marTop w:val="0"/>
      <w:marBottom w:val="0"/>
      <w:divBdr>
        <w:top w:val="none" w:sz="0" w:space="0" w:color="auto"/>
        <w:left w:val="none" w:sz="0" w:space="0" w:color="auto"/>
        <w:bottom w:val="none" w:sz="0" w:space="0" w:color="auto"/>
        <w:right w:val="none" w:sz="0" w:space="0" w:color="auto"/>
      </w:divBdr>
    </w:div>
    <w:div w:id="2076972273">
      <w:bodyDiv w:val="1"/>
      <w:marLeft w:val="0"/>
      <w:marRight w:val="0"/>
      <w:marTop w:val="0"/>
      <w:marBottom w:val="0"/>
      <w:divBdr>
        <w:top w:val="none" w:sz="0" w:space="0" w:color="auto"/>
        <w:left w:val="none" w:sz="0" w:space="0" w:color="auto"/>
        <w:bottom w:val="none" w:sz="0" w:space="0" w:color="auto"/>
        <w:right w:val="none" w:sz="0" w:space="0" w:color="auto"/>
      </w:divBdr>
    </w:div>
    <w:div w:id="2099448971">
      <w:bodyDiv w:val="1"/>
      <w:marLeft w:val="0"/>
      <w:marRight w:val="0"/>
      <w:marTop w:val="0"/>
      <w:marBottom w:val="0"/>
      <w:divBdr>
        <w:top w:val="none" w:sz="0" w:space="0" w:color="auto"/>
        <w:left w:val="none" w:sz="0" w:space="0" w:color="auto"/>
        <w:bottom w:val="none" w:sz="0" w:space="0" w:color="auto"/>
        <w:right w:val="none" w:sz="0" w:space="0" w:color="auto"/>
      </w:divBdr>
    </w:div>
    <w:div w:id="2125925517">
      <w:bodyDiv w:val="1"/>
      <w:marLeft w:val="0"/>
      <w:marRight w:val="0"/>
      <w:marTop w:val="0"/>
      <w:marBottom w:val="0"/>
      <w:divBdr>
        <w:top w:val="none" w:sz="0" w:space="0" w:color="auto"/>
        <w:left w:val="none" w:sz="0" w:space="0" w:color="auto"/>
        <w:bottom w:val="none" w:sz="0" w:space="0" w:color="auto"/>
        <w:right w:val="none" w:sz="0" w:space="0" w:color="auto"/>
      </w:divBdr>
    </w:div>
    <w:div w:id="2142765384">
      <w:bodyDiv w:val="1"/>
      <w:marLeft w:val="0"/>
      <w:marRight w:val="0"/>
      <w:marTop w:val="0"/>
      <w:marBottom w:val="0"/>
      <w:divBdr>
        <w:top w:val="none" w:sz="0" w:space="0" w:color="auto"/>
        <w:left w:val="none" w:sz="0" w:space="0" w:color="auto"/>
        <w:bottom w:val="none" w:sz="0" w:space="0" w:color="auto"/>
        <w:right w:val="none" w:sz="0" w:space="0" w:color="auto"/>
      </w:divBdr>
    </w:div>
    <w:div w:id="2144469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clinicaltrials.gov/study/NCT06625775" TargetMode="External" /><Relationship Type="http://schemas.openxmlformats.org/officeDocument/2006/relationships/hyperlink" Id="rId28" Target="https://datacommons.cancer.gov/cloud-resources" TargetMode="External" /><Relationship Type="http://schemas.openxmlformats.org/officeDocument/2006/relationships/hyperlink" Id="rId57" Target="https://dpcpsi.nih.gov/thro/tribal-consultations/national-institute-minority-health-and-health-disparities-nimhd-initiative-improving-american" TargetMode="External" /><Relationship Type="http://schemas.openxmlformats.org/officeDocument/2006/relationships/hyperlink" Id="rId59" Target="https://grants.nih.gov/grants/guide/notice-files/NOT-MD-24-015.html" TargetMode="External" /><Relationship Type="http://schemas.openxmlformats.org/officeDocument/2006/relationships/hyperlink" Id="rId52" Target="https://onlinelibrary.wiley.com/doi/10.1002/em.22534" TargetMode="External" /><Relationship Type="http://schemas.openxmlformats.org/officeDocument/2006/relationships/hyperlink" Id="rId40" Target="https://prevention.cancer.gov/major-programs/cancer-screening-research-network-csrn" TargetMode="External" /><Relationship Type="http://schemas.openxmlformats.org/officeDocument/2006/relationships/hyperlink" Id="rId30" Target="https://progressreport.cancer.gov" TargetMode="External" /><Relationship Type="http://schemas.openxmlformats.org/officeDocument/2006/relationships/hyperlink" Id="rId89" Target="https://pubmed.ncbi.nlm.nih.gov/37289928" TargetMode="External" /><Relationship Type="http://schemas.openxmlformats.org/officeDocument/2006/relationships/hyperlink" Id="rId32" Target="https://www.cancer.gov/research/infrastructure/clinical-trials/ctiu" TargetMode="External" /><Relationship Type="http://schemas.openxmlformats.org/officeDocument/2006/relationships/hyperlink" Id="rId35" Target="https://www.cancer.gov/research/leading-progress/stories/cytalux" TargetMode="External" /><Relationship Type="http://schemas.openxmlformats.org/officeDocument/2006/relationships/hyperlink" Id="rId61" Target="https://www.midrc.org" TargetMode="External" /><Relationship Type="http://schemas.openxmlformats.org/officeDocument/2006/relationships/hyperlink" Id="rId97" Target="https://www.nidcr.nih.gov/grants-funding/research-funded-by-nidcr-extramural/ahead" TargetMode="External" /></Relationships>
</file>

<file path=word/_rels/footnotes.xml.rels><?xml version="1.0" encoding="UTF-8"?><Relationships xmlns="http://schemas.openxmlformats.org/package/2006/relationships"><Relationship Type="http://schemas.openxmlformats.org/officeDocument/2006/relationships/hyperlink" Id="rId45" Target="https://clinicaltrials.gov/study/NCT06625775" TargetMode="External" /><Relationship Type="http://schemas.openxmlformats.org/officeDocument/2006/relationships/hyperlink" Id="rId28" Target="https://datacommons.cancer.gov/cloud-resources" TargetMode="External" /><Relationship Type="http://schemas.openxmlformats.org/officeDocument/2006/relationships/hyperlink" Id="rId57" Target="https://dpcpsi.nih.gov/thro/tribal-consultations/national-institute-minority-health-and-health-disparities-nimhd-initiative-improving-american" TargetMode="External" /><Relationship Type="http://schemas.openxmlformats.org/officeDocument/2006/relationships/hyperlink" Id="rId59" Target="https://grants.nih.gov/grants/guide/notice-files/NOT-MD-24-015.html" TargetMode="External" /><Relationship Type="http://schemas.openxmlformats.org/officeDocument/2006/relationships/hyperlink" Id="rId52" Target="https://onlinelibrary.wiley.com/doi/10.1002/em.22534" TargetMode="External" /><Relationship Type="http://schemas.openxmlformats.org/officeDocument/2006/relationships/hyperlink" Id="rId40" Target="https://prevention.cancer.gov/major-programs/cancer-screening-research-network-csrn" TargetMode="External" /><Relationship Type="http://schemas.openxmlformats.org/officeDocument/2006/relationships/hyperlink" Id="rId30" Target="https://progressreport.cancer.gov" TargetMode="External" /><Relationship Type="http://schemas.openxmlformats.org/officeDocument/2006/relationships/hyperlink" Id="rId89" Target="https://pubmed.ncbi.nlm.nih.gov/37289928" TargetMode="External" /><Relationship Type="http://schemas.openxmlformats.org/officeDocument/2006/relationships/hyperlink" Id="rId32" Target="https://www.cancer.gov/research/infrastructure/clinical-trials/ctiu" TargetMode="External" /><Relationship Type="http://schemas.openxmlformats.org/officeDocument/2006/relationships/hyperlink" Id="rId35" Target="https://www.cancer.gov/research/leading-progress/stories/cytalux" TargetMode="External" /><Relationship Type="http://schemas.openxmlformats.org/officeDocument/2006/relationships/hyperlink" Id="rId61" Target="https://www.midrc.org" TargetMode="External" /><Relationship Type="http://schemas.openxmlformats.org/officeDocument/2006/relationships/hyperlink" Id="rId97" Target="https://www.nidcr.nih.gov/grants-funding/research-funded-by-nidcr-extramural/ah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282</TotalTime>
  <Pages>25</Pages>
  <Words>7981</Words>
  <Characters>45494</Characters>
  <Application>Microsoft Office Word</Application>
  <DocSecurity>0</DocSecurity>
  <Lines>379</Lines>
  <Paragraphs>106</Paragraphs>
  <ScaleCrop>false</ScaleCrop>
  <Company/>
  <LinksUpToDate>false</LinksUpToDate>
  <CharactersWithSpaces>53369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2026-02-10T17:02:44Z</dcterms:created>
  <dcterms:modified xsi:type="dcterms:W3CDTF">2026-02-10T17:02:44Z</dcterms:modified>
</cp:coreProperties>
</file>

<file path=docProps/custom.xml><?xml version="1.0" encoding="utf-8"?>
<Properties xmlns="http://schemas.openxmlformats.org/officeDocument/2006/custom-properties" xmlns:vt="http://schemas.openxmlformats.org/officeDocument/2006/docPropsVTypes"/>
</file>