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GLPI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CVE-2026-23624</w:t>
            </w:r>
            <w:r>
              <w:br/>
            </w:r>
            <w:r>
              <w:rPr>
                <w:b/>
                <w:color w:val="FFFFFF"/>
                <w:sz w:val="32"/>
              </w:rPr>
              <w:t>CVE-2026-22044</w:t>
            </w:r>
            <w:r>
              <w:br/>
            </w:r>
            <w:r>
              <w:rPr>
                <w:b/>
                <w:color w:val="FFFFFF"/>
                <w:sz w:val="32"/>
              </w:rPr>
              <w:t>CVE-2026-22247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05/02/2026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CVE-2026-23624</w:t>
              <w:br/>
              <w:t>CVE-2026-22044</w:t>
              <w:br/>
              <w:t>CVE-2026-22247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GLPI. Certaines d'entre elles permettent à un attaquant de provoquer une atteinte à la confidentialité des données, une injection SQL (SQLi) et une falsification de requêtes côté serveur (SSRF).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4.1 - 6.5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la confidentialité des données</w:t>
              <w:br/>
              <w:t>-</w:t>
              <w:br/>
              <w:t>Contournement de la politique de sécurité</w:t>
              <w:br/>
              <w:t>-</w:t>
              <w:br/>
              <w:t>Falsification de requêtes côté serveur (SSRF)</w:t>
              <w:br/>
              <w:t>-</w:t>
              <w:br/>
              <w:t>Injection SQL (SQLi)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GLPI versions </w:t>
            </w:r>
            <w:r>
              <w:rPr>
                <w:rFonts w:ascii="Arial" w:hAnsi="Arial"/>
                <w:b/>
                <w:sz w:val="20"/>
              </w:rPr>
              <w:t>11.0.x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11.0.5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GLPI versions postérieures ou égales à </w:t>
            </w:r>
            <w:r>
              <w:rPr>
                <w:rFonts w:ascii="Arial" w:hAnsi="Arial"/>
                <w:b/>
                <w:sz w:val="20"/>
              </w:rPr>
              <w:t>0.71</w:t>
            </w:r>
            <w:r>
              <w:rPr>
                <w:rFonts w:ascii="Arial" w:hAnsi="Arial"/>
                <w:b w:val="0"/>
                <w:sz w:val="20"/>
              </w:rPr>
              <w:t xml:space="preserve"> et antérieures à </w:t>
            </w:r>
            <w:r>
              <w:rPr>
                <w:rFonts w:ascii="Arial" w:hAnsi="Arial"/>
                <w:b/>
                <w:sz w:val="20"/>
              </w:rPr>
              <w:t>10.0.23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GLPI vers les versions sécurisées GLPI 11.0.5 ou ultérieure GLPI 10.0.23 ou ultérieure</w:t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https://github.com/glpi-project/glpi/security/advisories/GHSA-569q-j526-w385</w:t>
              <w:br/>
              <w:t>https://github.com/glpi-project/glpi/security/advisories/GHSA-5j4j-vx46-r477</w:t>
              <w:br/>
              <w:t>https://github.com/glpi-project/glpi/security/advisories/GHSA-f6f6-v3qr-9p5x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