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Multiple Vulnérabilités dans des produits de Fortinet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60" w:lineRule="auto" w:before="10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0"/>
              </w:rPr>
              <w:t>CVE-2025-52436</w:t>
            </w:r>
            <w:r>
              <w:br/>
            </w:r>
            <w:r>
              <w:rPr>
                <w:b/>
                <w:color w:val="FFFFFF"/>
                <w:sz w:val="30"/>
              </w:rPr>
              <w:t>CVE-2025-55018</w:t>
            </w:r>
            <w:r>
              <w:br/>
            </w:r>
            <w:r>
              <w:rPr>
                <w:b/>
                <w:color w:val="FFFFFF"/>
                <w:sz w:val="30"/>
              </w:rPr>
              <w:t>CVE-2025-62439</w:t>
            </w:r>
            <w:r>
              <w:br/>
            </w:r>
            <w:r>
              <w:rPr>
                <w:b/>
                <w:color w:val="FFFFFF"/>
                <w:sz w:val="30"/>
              </w:rPr>
              <w:t>CVE-2025-62676</w:t>
            </w:r>
            <w:r>
              <w:br/>
            </w:r>
            <w:r>
              <w:rPr>
                <w:b/>
                <w:color w:val="FFFFFF"/>
                <w:sz w:val="30"/>
              </w:rPr>
              <w:t>CVE-2025-64157</w:t>
            </w:r>
            <w:r>
              <w:br/>
            </w:r>
            <w:r>
              <w:rPr>
                <w:b/>
                <w:color w:val="FFFFFF"/>
                <w:sz w:val="30"/>
              </w:rPr>
              <w:t>CVE-2025-68686</w:t>
            </w:r>
            <w:r>
              <w:br/>
            </w:r>
            <w:r>
              <w:rPr>
                <w:b/>
                <w:color w:val="FFFFFF"/>
                <w:sz w:val="30"/>
              </w:rPr>
              <w:t>CVE-2026-21743</w:t>
            </w:r>
            <w:r>
              <w:br/>
            </w:r>
            <w:r>
              <w:rPr>
                <w:b/>
                <w:color w:val="FFFFFF"/>
                <w:sz w:val="30"/>
              </w:rPr>
              <w:t>CVE-2026-22153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11/02/2026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CVE-2025-52436</w:t>
              <w:br/>
              <w:t>CVE-2025-55018</w:t>
              <w:br/>
              <w:t>CVE-2025-62439</w:t>
              <w:br/>
              <w:t>CVE-2025-62676</w:t>
              <w:br/>
              <w:t>CVE-2025-64157</w:t>
              <w:br/>
              <w:t>CVE-2025-68686</w:t>
              <w:br/>
              <w:t>CVE-2026-21743</w:t>
              <w:br/>
              <w:t>CVE-2026-22153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De multiples vulnérabilités ont été découvertes dans les produits Fortinet FortiSandbox et FortiOS. Elles permettent à un attaquant d'exécuter du code à distance, de contourner des mesures de sécurité, d'accéder à des informations confidentielles ou d'injecter du contenu dans une page.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3.8 - 7.9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Contournement de mesures de sécurité</w:t>
              <w:br/>
              <w:t>-</w:t>
              <w:br/>
              <w:t>Exécution de code à distance</w:t>
              <w:br/>
              <w:t>-</w:t>
              <w:br/>
              <w:t>Accès à des informations confidentielles</w:t>
              <w:br/>
              <w:t>-</w:t>
              <w:br/>
              <w:t>Injection de contenu dans une page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6.4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7.0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7.2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7.4.0</w:t>
            </w:r>
            <w:r>
              <w:rPr>
                <w:rFonts w:ascii="Arial" w:hAnsi="Arial"/>
                <w:b w:val="0"/>
                <w:sz w:val="20"/>
              </w:rPr>
              <w:t xml:space="preserve"> jusqu'à la version </w:t>
            </w:r>
            <w:r>
              <w:rPr>
                <w:rFonts w:ascii="Arial" w:hAnsi="Arial"/>
                <w:b/>
                <w:sz w:val="20"/>
              </w:rPr>
              <w:t>7.4.9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7.6.0</w:t>
            </w:r>
            <w:r>
              <w:rPr>
                <w:rFonts w:ascii="Arial" w:hAnsi="Arial"/>
                <w:b w:val="0"/>
                <w:sz w:val="20"/>
              </w:rPr>
              <w:t xml:space="preserve"> jusqu'à la version </w:t>
            </w:r>
            <w:r>
              <w:rPr>
                <w:rFonts w:ascii="Arial" w:hAnsi="Arial"/>
                <w:b/>
                <w:sz w:val="20"/>
              </w:rPr>
              <w:t>7.6.4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5.0</w:t>
            </w:r>
            <w:r>
              <w:rPr>
                <w:rFonts w:ascii="Arial" w:hAnsi="Arial"/>
                <w:b w:val="0"/>
                <w:sz w:val="20"/>
              </w:rPr>
              <w:t xml:space="preserve"> de </w:t>
            </w:r>
            <w:r>
              <w:rPr>
                <w:rFonts w:ascii="Arial" w:hAnsi="Arial"/>
                <w:b/>
                <w:sz w:val="20"/>
              </w:rPr>
              <w:t>5.0.0</w:t>
            </w:r>
            <w:r>
              <w:rPr>
                <w:rFonts w:ascii="Arial" w:hAnsi="Arial"/>
                <w:b w:val="0"/>
                <w:sz w:val="20"/>
              </w:rPr>
              <w:t xml:space="preserve"> jusqu'à </w:t>
            </w:r>
            <w:r>
              <w:rPr>
                <w:rFonts w:ascii="Arial" w:hAnsi="Arial"/>
                <w:b/>
                <w:sz w:val="20"/>
              </w:rPr>
              <w:t>5.0.1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4.4</w:t>
            </w:r>
            <w:r>
              <w:rPr>
                <w:rFonts w:ascii="Arial" w:hAnsi="Arial"/>
                <w:b w:val="0"/>
                <w:sz w:val="20"/>
              </w:rPr>
              <w:t xml:space="preserve"> de </w:t>
            </w:r>
            <w:r>
              <w:rPr>
                <w:rFonts w:ascii="Arial" w:hAnsi="Arial"/>
                <w:b/>
                <w:sz w:val="20"/>
              </w:rPr>
              <w:t>4.4.0</w:t>
            </w:r>
            <w:r>
              <w:rPr>
                <w:rFonts w:ascii="Arial" w:hAnsi="Arial"/>
                <w:b w:val="0"/>
                <w:sz w:val="20"/>
              </w:rPr>
              <w:t xml:space="preserve"> jusqu'à</w:t>
            </w:r>
            <w:r>
              <w:rPr>
                <w:rFonts w:ascii="Arial" w:hAnsi="Arial"/>
                <w:b/>
                <w:sz w:val="20"/>
              </w:rPr>
              <w:t>4.4.7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4.2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4.0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de </w:t>
            </w:r>
            <w:r>
              <w:rPr>
                <w:rFonts w:ascii="Arial" w:hAnsi="Arial"/>
                <w:b/>
                <w:sz w:val="20"/>
              </w:rPr>
              <w:t>6.6.0</w:t>
            </w:r>
            <w:r>
              <w:rPr>
                <w:rFonts w:ascii="Arial" w:hAnsi="Arial"/>
                <w:b w:val="0"/>
                <w:sz w:val="20"/>
              </w:rPr>
              <w:t xml:space="preserve"> jusqu'à </w:t>
            </w:r>
            <w:r>
              <w:rPr>
                <w:rFonts w:ascii="Arial" w:hAnsi="Arial"/>
                <w:b/>
                <w:sz w:val="20"/>
              </w:rPr>
              <w:t>6.6.6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</w:t>
            </w:r>
            <w:r>
              <w:rPr>
                <w:rFonts w:ascii="Arial" w:hAnsi="Arial"/>
                <w:b/>
                <w:sz w:val="20"/>
              </w:rPr>
              <w:t>6.5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</w:t>
            </w:r>
            <w:r>
              <w:rPr>
                <w:rFonts w:ascii="Arial" w:hAnsi="Arial"/>
                <w:b/>
                <w:sz w:val="20"/>
              </w:rPr>
              <w:t>6.4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</w:t>
            </w:r>
            <w:r>
              <w:rPr>
                <w:rFonts w:ascii="Arial" w:hAnsi="Arial"/>
                <w:b/>
                <w:sz w:val="20"/>
              </w:rPr>
              <w:t>6.3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FortiClientWindows </w:t>
            </w:r>
            <w:r>
              <w:rPr>
                <w:rFonts w:ascii="Arial" w:hAnsi="Arial"/>
                <w:b/>
                <w:sz w:val="20"/>
              </w:rPr>
              <w:t>7.4</w:t>
            </w:r>
            <w:r>
              <w:rPr>
                <w:rFonts w:ascii="Arial" w:hAnsi="Arial"/>
                <w:b w:val="0"/>
                <w:sz w:val="20"/>
              </w:rPr>
              <w:t xml:space="preserve"> de </w:t>
            </w:r>
            <w:r>
              <w:rPr>
                <w:rFonts w:ascii="Arial" w:hAnsi="Arial"/>
                <w:b/>
                <w:sz w:val="20"/>
              </w:rPr>
              <w:t>7.4.0</w:t>
            </w:r>
            <w:r>
              <w:rPr>
                <w:rFonts w:ascii="Arial" w:hAnsi="Arial"/>
                <w:b w:val="0"/>
                <w:sz w:val="20"/>
              </w:rPr>
              <w:t xml:space="preserve"> jusqu'à </w:t>
            </w:r>
            <w:r>
              <w:rPr>
                <w:rFonts w:ascii="Arial" w:hAnsi="Arial"/>
                <w:b/>
                <w:sz w:val="20"/>
              </w:rPr>
              <w:t>7.4.4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FortiClientWindows </w:t>
            </w:r>
            <w:r>
              <w:rPr>
                <w:rFonts w:ascii="Arial" w:hAnsi="Arial"/>
                <w:b/>
                <w:sz w:val="20"/>
              </w:rPr>
              <w:t>7.2</w:t>
            </w:r>
            <w:r>
              <w:rPr>
                <w:rFonts w:ascii="Arial" w:hAnsi="Arial"/>
                <w:b w:val="0"/>
                <w:sz w:val="20"/>
              </w:rPr>
              <w:t xml:space="preserve"> de </w:t>
            </w:r>
            <w:r>
              <w:rPr>
                <w:rFonts w:ascii="Arial" w:hAnsi="Arial"/>
                <w:b/>
                <w:sz w:val="20"/>
              </w:rPr>
              <w:t>7.2.0</w:t>
            </w:r>
            <w:r>
              <w:rPr>
                <w:rFonts w:ascii="Arial" w:hAnsi="Arial"/>
                <w:b w:val="0"/>
                <w:sz w:val="20"/>
              </w:rPr>
              <w:t xml:space="preserve"> jusqu'à </w:t>
            </w:r>
            <w:r>
              <w:rPr>
                <w:rFonts w:ascii="Arial" w:hAnsi="Arial"/>
                <w:b/>
                <w:sz w:val="20"/>
              </w:rPr>
              <w:t>7.2.12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FortiClientWindows </w:t>
            </w:r>
            <w:r>
              <w:rPr>
                <w:rFonts w:ascii="Arial" w:hAnsi="Arial"/>
                <w:b/>
                <w:sz w:val="20"/>
              </w:rPr>
              <w:t>7.0</w:t>
            </w:r>
            <w:r>
              <w:rPr>
                <w:rFonts w:ascii="Arial" w:hAnsi="Arial"/>
                <w:b w:val="0"/>
                <w:sz w:val="20"/>
              </w:rPr>
              <w:t xml:space="preserve"> toutes les versions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les versions sécurisées: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6.4.10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7.0.12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7.2.7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7.4.10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FortiOS </w:t>
            </w:r>
            <w:r>
              <w:rPr>
                <w:rFonts w:ascii="Arial" w:hAnsi="Arial"/>
                <w:b/>
                <w:sz w:val="20"/>
              </w:rPr>
              <w:t>7.6.5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5.0.2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4.4.8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4.2.8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FortiSandbox </w:t>
            </w:r>
            <w:r>
              <w:rPr>
                <w:rFonts w:ascii="Arial" w:hAnsi="Arial"/>
                <w:b/>
                <w:sz w:val="20"/>
              </w:rPr>
              <w:t>4.0.12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</w:t>
            </w:r>
            <w:r>
              <w:rPr>
                <w:rFonts w:ascii="Arial" w:hAnsi="Arial"/>
                <w:b/>
                <w:sz w:val="20"/>
              </w:rPr>
              <w:t>6.6.7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</w:t>
            </w:r>
            <w:r>
              <w:rPr>
                <w:rFonts w:ascii="Arial" w:hAnsi="Arial"/>
                <w:b/>
                <w:sz w:val="20"/>
              </w:rPr>
              <w:t>6.5.8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</w:t>
            </w:r>
            <w:r>
              <w:rPr>
                <w:rFonts w:ascii="Arial" w:hAnsi="Arial"/>
                <w:b/>
                <w:sz w:val="20"/>
              </w:rPr>
              <w:t>6.4.10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FortiAuthenticator </w:t>
            </w:r>
            <w:r>
              <w:rPr>
                <w:rFonts w:ascii="Arial" w:hAnsi="Arial"/>
                <w:b/>
                <w:sz w:val="20"/>
              </w:rPr>
              <w:t>6.3.12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FortiClientWindows </w:t>
            </w:r>
            <w:r>
              <w:rPr>
                <w:rFonts w:ascii="Arial" w:hAnsi="Arial"/>
                <w:b/>
                <w:sz w:val="20"/>
              </w:rPr>
              <w:t>7.4.5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FortiClientWindows </w:t>
            </w:r>
            <w:r>
              <w:rPr>
                <w:rFonts w:ascii="Arial" w:hAnsi="Arial"/>
                <w:b/>
                <w:sz w:val="20"/>
              </w:rPr>
              <w:t>7.2.13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FortiClientWindows </w:t>
            </w:r>
            <w:r>
              <w:rPr>
                <w:rFonts w:ascii="Arial" w:hAnsi="Arial"/>
                <w:b/>
                <w:sz w:val="20"/>
              </w:rPr>
              <w:t>7.0.10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https://www.fortiguard.com/psirt/FG-IR-25-384</w:t>
              <w:br/>
              <w:t>https://www.fortiguard.com/psirt/FG-IR-25-795</w:t>
              <w:br/>
              <w:t>https://www.fortiguard.com/psirt/FG-IR-25-1052</w:t>
              <w:br/>
              <w:t>https://www.fortiguard.com/psirt/FG-IR-25-667</w:t>
              <w:br/>
              <w:t>https://www.fortiguard.com/psirt/FG-IR-25-934</w:t>
              <w:br/>
              <w:t>https://www.fortiguard.com/psirt/FG-IR-25-093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