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PostgreSQL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CVE-2026-2003</w:t>
            </w:r>
            <w:r>
              <w:br/>
            </w:r>
            <w:r>
              <w:rPr>
                <w:b/>
                <w:color w:val="FFFFFF"/>
                <w:sz w:val="32"/>
              </w:rPr>
              <w:t>CVE-2026-2004</w:t>
            </w:r>
            <w:r>
              <w:br/>
            </w:r>
            <w:r>
              <w:rPr>
                <w:b/>
                <w:color w:val="FFFFFF"/>
                <w:sz w:val="32"/>
              </w:rPr>
              <w:t>CVE-2026-2005</w:t>
            </w:r>
            <w:r>
              <w:br/>
            </w:r>
            <w:r>
              <w:rPr>
                <w:b/>
                <w:color w:val="FFFFFF"/>
                <w:sz w:val="32"/>
              </w:rPr>
              <w:t>CVE-2026-2006</w:t>
            </w:r>
            <w:r>
              <w:br/>
            </w:r>
            <w:r>
              <w:rPr>
                <w:b/>
                <w:color w:val="FFFFFF"/>
                <w:sz w:val="32"/>
              </w:rPr>
              <w:t>CVE-2026-2007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13/02/2026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CVE-2026-2003</w:t>
              <w:br/>
              <w:t>CVE-2026-2004</w:t>
              <w:br/>
              <w:t>CVE-2026-2005</w:t>
              <w:br/>
              <w:t>CVE-2026-2006</w:t>
              <w:br/>
              <w:t>CVE-2026-2007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PostgreSQL. Elles permettent à un attaquant authentifié d'exécuter du code arbitraire, d'altérer des données ou d'accéder à des informations confidentielles.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4.3 - 8.8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sécurité,</w:t>
              <w:br/>
              <w:t>-</w:t>
              <w:br/>
              <w:t>Atteinte à la confidentialité des données,</w:t>
              <w:br/>
              <w:t>-</w:t>
              <w:br/>
              <w:t>Atteinte à l’intégrité des données,</w:t>
              <w:br/>
              <w:t>-</w:t>
              <w:br/>
              <w:t>Exécution du code arbitraire,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versions antérieures à </w:t>
            </w:r>
            <w:r>
              <w:rPr>
                <w:rFonts w:ascii="Arial" w:hAnsi="Arial"/>
                <w:b/>
                <w:sz w:val="20"/>
              </w:rPr>
              <w:t>18.2</w:t>
            </w:r>
            <w:r>
              <w:rPr>
                <w:rFonts w:ascii="Arial" w:hAnsi="Arial"/>
                <w:b w:val="0"/>
                <w:sz w:val="20"/>
              </w:rPr>
              <w:t>,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versions antérieures à </w:t>
            </w:r>
            <w:r>
              <w:rPr>
                <w:rFonts w:ascii="Arial" w:hAnsi="Arial"/>
                <w:b/>
                <w:sz w:val="20"/>
              </w:rPr>
              <w:t>17.8</w:t>
            </w:r>
            <w:r>
              <w:rPr>
                <w:rFonts w:ascii="Arial" w:hAnsi="Arial"/>
                <w:b w:val="0"/>
                <w:sz w:val="20"/>
              </w:rPr>
              <w:t>,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versions antérieures à </w:t>
            </w:r>
            <w:r>
              <w:rPr>
                <w:rFonts w:ascii="Arial" w:hAnsi="Arial"/>
                <w:b/>
                <w:sz w:val="20"/>
              </w:rPr>
              <w:t>16.12</w:t>
            </w:r>
            <w:r>
              <w:rPr>
                <w:rFonts w:ascii="Arial" w:hAnsi="Arial"/>
                <w:b w:val="0"/>
                <w:sz w:val="20"/>
              </w:rPr>
              <w:t>,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versions antérieures à </w:t>
            </w:r>
            <w:r>
              <w:rPr>
                <w:rFonts w:ascii="Arial" w:hAnsi="Arial"/>
                <w:b/>
                <w:sz w:val="20"/>
              </w:rPr>
              <w:t>15.16</w:t>
            </w:r>
            <w:r>
              <w:rPr>
                <w:rFonts w:ascii="Arial" w:hAnsi="Arial"/>
                <w:b w:val="0"/>
                <w:sz w:val="20"/>
              </w:rPr>
              <w:t>,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versions antérieures à </w:t>
            </w:r>
            <w:r>
              <w:rPr>
                <w:rFonts w:ascii="Arial" w:hAnsi="Arial"/>
                <w:b/>
                <w:sz w:val="20"/>
              </w:rPr>
              <w:t>14.21</w:t>
            </w:r>
            <w:r>
              <w:rPr>
                <w:rFonts w:ascii="Arial" w:hAnsi="Arial"/>
                <w:b w:val="0"/>
                <w:sz w:val="20"/>
              </w:rPr>
              <w:t>,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PostgreSQL vers les versions sécurisées suivantes: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</w:t>
            </w:r>
            <w:r>
              <w:rPr>
                <w:rFonts w:ascii="Arial" w:hAnsi="Arial"/>
                <w:b/>
                <w:sz w:val="20"/>
              </w:rPr>
              <w:t>18.2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</w:t>
            </w:r>
            <w:r>
              <w:rPr>
                <w:rFonts w:ascii="Arial" w:hAnsi="Arial"/>
                <w:b/>
                <w:sz w:val="20"/>
              </w:rPr>
              <w:t>17.8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</w:t>
            </w:r>
            <w:r>
              <w:rPr>
                <w:rFonts w:ascii="Arial" w:hAnsi="Arial"/>
                <w:b/>
                <w:sz w:val="20"/>
              </w:rPr>
              <w:t>16.12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</w:t>
            </w:r>
            <w:r>
              <w:rPr>
                <w:rFonts w:ascii="Arial" w:hAnsi="Arial"/>
                <w:b/>
                <w:sz w:val="20"/>
              </w:rPr>
              <w:t>15.16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PostgreSQL </w:t>
            </w:r>
            <w:r>
              <w:rPr>
                <w:rFonts w:ascii="Arial" w:hAnsi="Arial"/>
                <w:b/>
                <w:sz w:val="20"/>
              </w:rPr>
              <w:t>14.21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https://www.postgresql.org/about/news/postgresql-182-178-1612-1516-and-1421-released-3235/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