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 Vulnérabilités dans produits d’Adobe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264" w:lineRule="auto" w:before="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4"/>
              </w:rPr>
              <w:t>CVE-2026-21267</w:t>
            </w:r>
            <w:r>
              <w:br/>
            </w:r>
            <w:r>
              <w:rPr>
                <w:b/>
                <w:color w:val="FFFFFF"/>
                <w:sz w:val="24"/>
              </w:rPr>
              <w:t>CVE-2026-21268</w:t>
            </w:r>
            <w:r>
              <w:br/>
            </w:r>
            <w:r>
              <w:rPr>
                <w:b/>
                <w:color w:val="FFFFFF"/>
                <w:sz w:val="24"/>
              </w:rPr>
              <w:t>CVE-2026-21271</w:t>
            </w:r>
            <w:r>
              <w:br/>
            </w:r>
            <w:r>
              <w:rPr>
                <w:b/>
                <w:color w:val="FFFFFF"/>
                <w:sz w:val="24"/>
              </w:rPr>
              <w:t>CVE-2026-21272</w:t>
            </w:r>
            <w:r>
              <w:br/>
            </w:r>
            <w:r>
              <w:rPr>
                <w:b/>
                <w:color w:val="FFFFFF"/>
                <w:sz w:val="24"/>
              </w:rPr>
              <w:t>CVE-2026-21274</w:t>
            </w:r>
            <w:r>
              <w:br/>
            </w:r>
            <w:r>
              <w:rPr>
                <w:b/>
                <w:color w:val="FFFFFF"/>
                <w:sz w:val="24"/>
              </w:rPr>
              <w:t>CVE-2026-21275</w:t>
            </w:r>
            <w:r>
              <w:br/>
            </w:r>
            <w:r>
              <w:rPr>
                <w:b/>
                <w:color w:val="FFFFFF"/>
                <w:sz w:val="24"/>
              </w:rPr>
              <w:t>CVE-2026-21276</w:t>
            </w:r>
            <w:r>
              <w:br/>
            </w:r>
            <w:r>
              <w:rPr>
                <w:b/>
                <w:color w:val="FFFFFF"/>
                <w:sz w:val="24"/>
              </w:rPr>
              <w:t>CVE-2026-21277</w:t>
            </w:r>
            <w:r>
              <w:br/>
            </w:r>
            <w:r>
              <w:rPr>
                <w:b/>
                <w:color w:val="FFFFFF"/>
                <w:sz w:val="24"/>
              </w:rPr>
              <w:t>CVE-2026-21278</w:t>
            </w:r>
            <w:r>
              <w:br/>
            </w:r>
            <w:r>
              <w:rPr>
                <w:b/>
                <w:color w:val="FFFFFF"/>
                <w:sz w:val="24"/>
              </w:rPr>
              <w:t>CVE-2026-21280</w:t>
            </w:r>
            <w:r>
              <w:br/>
            </w:r>
            <w:r>
              <w:rPr>
                <w:b/>
                <w:color w:val="FFFFFF"/>
                <w:sz w:val="24"/>
              </w:rPr>
              <w:t>CVE-2026-21281</w:t>
            </w:r>
            <w:r>
              <w:br/>
            </w:r>
            <w:r>
              <w:rPr>
                <w:b/>
                <w:color w:val="FFFFFF"/>
                <w:sz w:val="24"/>
              </w:rPr>
              <w:t>CVE-2026-21283</w:t>
            </w:r>
            <w:r>
              <w:br/>
            </w:r>
            <w:r>
              <w:rPr>
                <w:b/>
                <w:color w:val="FFFFFF"/>
                <w:sz w:val="24"/>
              </w:rPr>
              <w:t>CVE-2026-21287</w:t>
            </w:r>
            <w:r>
              <w:br/>
            </w:r>
            <w:r>
              <w:rPr>
                <w:b/>
                <w:color w:val="FFFFFF"/>
                <w:sz w:val="24"/>
              </w:rPr>
              <w:t>CVE-2026-21288</w:t>
            </w:r>
            <w:r>
              <w:br/>
            </w:r>
            <w:r>
              <w:rPr>
                <w:b/>
                <w:color w:val="FFFFFF"/>
                <w:sz w:val="24"/>
              </w:rPr>
              <w:t>CVE-2026-21298</w:t>
            </w:r>
            <w:r>
              <w:br/>
            </w:r>
            <w:r>
              <w:rPr>
                <w:b/>
                <w:color w:val="FFFFFF"/>
                <w:sz w:val="24"/>
              </w:rPr>
              <w:t>CVE-2026-21299</w:t>
            </w:r>
            <w:r>
              <w:br/>
            </w:r>
            <w:r>
              <w:rPr>
                <w:b/>
                <w:color w:val="FFFFFF"/>
                <w:sz w:val="24"/>
              </w:rPr>
              <w:t>CVE-2026-21300</w:t>
            </w:r>
            <w:r>
              <w:br/>
            </w:r>
            <w:r>
              <w:rPr>
                <w:b/>
                <w:color w:val="FFFFFF"/>
                <w:sz w:val="24"/>
              </w:rPr>
              <w:t>CVE-2026-21301</w:t>
            </w:r>
            <w:r>
              <w:br/>
            </w:r>
            <w:r>
              <w:rPr>
                <w:b/>
                <w:color w:val="FFFFFF"/>
                <w:sz w:val="24"/>
              </w:rPr>
              <w:t>CVE-2026-21302</w:t>
            </w:r>
            <w:r>
              <w:br/>
            </w:r>
            <w:r>
              <w:rPr>
                <w:b/>
                <w:color w:val="FFFFFF"/>
                <w:sz w:val="24"/>
              </w:rPr>
              <w:t>CVE-2026-21303</w:t>
            </w:r>
            <w:r>
              <w:br/>
            </w:r>
            <w:r>
              <w:rPr>
                <w:b/>
                <w:color w:val="FFFFFF"/>
                <w:sz w:val="24"/>
              </w:rPr>
              <w:t>CVE-2026-21304</w:t>
            </w:r>
            <w:r>
              <w:br/>
            </w:r>
            <w:r>
              <w:rPr>
                <w:b/>
                <w:color w:val="FFFFFF"/>
                <w:sz w:val="24"/>
              </w:rPr>
              <w:t>CVE-2026-21305</w:t>
            </w:r>
            <w:r>
              <w:br/>
            </w:r>
            <w:r>
              <w:rPr>
                <w:b/>
                <w:color w:val="FFFFFF"/>
                <w:sz w:val="24"/>
              </w:rPr>
              <w:t>CVE-2026-21306</w:t>
            </w:r>
            <w:r>
              <w:br/>
            </w:r>
            <w:r>
              <w:rPr>
                <w:b/>
                <w:color w:val="FFFFFF"/>
                <w:sz w:val="24"/>
              </w:rPr>
              <w:t>CVE-2026-21307</w:t>
            </w:r>
            <w:r>
              <w:br/>
            </w:r>
            <w:r>
              <w:rPr>
                <w:b/>
                <w:color w:val="FFFFFF"/>
                <w:sz w:val="24"/>
              </w:rPr>
              <w:t>CVE-2026-21308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15/01/2026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CVE-2026-21267</w:t>
              <w:br/>
              <w:t>CVE-2026-21268</w:t>
              <w:br/>
              <w:t>CVE-2026-21271</w:t>
              <w:br/>
              <w:t>CVE-2026-21272</w:t>
              <w:br/>
              <w:t>CVE-2026-21274</w:t>
              <w:br/>
              <w:t>CVE-2026-21275</w:t>
              <w:br/>
              <w:t>CVE-2026-21276</w:t>
              <w:br/>
              <w:t>CVE-2026-21277</w:t>
              <w:br/>
              <w:t>CVE-2026-21278</w:t>
              <w:br/>
              <w:t>CVE-2026-21280</w:t>
              <w:br/>
              <w:t>CVE-2026-21281</w:t>
              <w:br/>
              <w:t>CVE-2026-21283</w:t>
              <w:br/>
              <w:t>CVE-2026-21287</w:t>
              <w:br/>
              <w:t>CVE-2026-21288</w:t>
              <w:br/>
              <w:t>CVE-2026-21298</w:t>
              <w:br/>
              <w:t>CVE-2026-21299</w:t>
              <w:br/>
              <w:t>CVE-2026-21300</w:t>
              <w:br/>
              <w:t>CVE-2026-21301</w:t>
              <w:br/>
              <w:t>CVE-2026-21302</w:t>
              <w:br/>
              <w:t>CVE-2026-21303</w:t>
              <w:br/>
              <w:t>CVE-2026-21304</w:t>
              <w:br/>
              <w:t>CVE-2026-21305</w:t>
              <w:br/>
              <w:t>CVE-2026-21306</w:t>
              <w:br/>
              <w:t>CVE-2026-21307</w:t>
              <w:br/>
              <w:t>CVE-2026-21308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Adobe. Elles permettent à un attaquant de provoquer une exécution de code arbitraire, un contournement des mesures de sécurité, un accès à des données confidentielles et un déni de service.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5.5 - 8.6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code arbitraire</w:t>
              <w:br/>
              <w:t>-</w:t>
              <w:br/>
              <w:t>Accès à des informations confidentielles</w:t>
              <w:br/>
              <w:t>-</w:t>
              <w:br/>
              <w:t>Contournement de mesures de sécurité</w:t>
              <w:br/>
              <w:t>-</w:t>
              <w:br/>
              <w:t>Déni de service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Dreamweaver </w:t>
            </w:r>
            <w:r>
              <w:rPr>
                <w:rFonts w:ascii="Arial" w:hAnsi="Arial"/>
                <w:b/>
                <w:sz w:val="20"/>
              </w:rPr>
              <w:t>21.6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InDesign ID</w:t>
            </w:r>
            <w:r>
              <w:rPr>
                <w:rFonts w:ascii="Arial" w:hAnsi="Arial"/>
                <w:b/>
                <w:sz w:val="20"/>
              </w:rPr>
              <w:t>21.0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InDesign ID</w:t>
            </w:r>
            <w:r>
              <w:rPr>
                <w:rFonts w:ascii="Arial" w:hAnsi="Arial"/>
                <w:b/>
                <w:sz w:val="20"/>
              </w:rPr>
              <w:t>19.5.5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Illustrator 2025 </w:t>
            </w:r>
            <w:r>
              <w:rPr>
                <w:rFonts w:ascii="Arial" w:hAnsi="Arial"/>
                <w:b/>
                <w:sz w:val="20"/>
              </w:rPr>
              <w:t>29.8.3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Illustrator 2026 </w:t>
            </w:r>
            <w:r>
              <w:rPr>
                <w:rFonts w:ascii="Arial" w:hAnsi="Arial"/>
                <w:b/>
                <w:sz w:val="20"/>
              </w:rPr>
              <w:t>30.0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InCopy</w:t>
            </w:r>
            <w:r>
              <w:rPr>
                <w:rFonts w:ascii="Arial" w:hAnsi="Arial"/>
                <w:b/>
                <w:sz w:val="20"/>
              </w:rPr>
              <w:t>21.0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InCopy</w:t>
            </w:r>
            <w:r>
              <w:rPr>
                <w:rFonts w:ascii="Arial" w:hAnsi="Arial"/>
                <w:b/>
                <w:sz w:val="20"/>
              </w:rPr>
              <w:t>19.5.5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Bridge </w:t>
            </w:r>
            <w:r>
              <w:rPr>
                <w:rFonts w:ascii="Arial" w:hAnsi="Arial"/>
                <w:b/>
                <w:sz w:val="20"/>
              </w:rPr>
              <w:t>15.1.2</w:t>
            </w:r>
            <w:r>
              <w:rPr>
                <w:rFonts w:ascii="Arial" w:hAnsi="Arial"/>
                <w:b w:val="0"/>
                <w:sz w:val="20"/>
              </w:rPr>
              <w:t xml:space="preserve"> (LTS)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Bridge </w:t>
            </w:r>
            <w:r>
              <w:rPr>
                <w:rFonts w:ascii="Arial" w:hAnsi="Arial"/>
                <w:b/>
                <w:sz w:val="20"/>
              </w:rPr>
              <w:t>16.0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Modeler </w:t>
            </w:r>
            <w:r>
              <w:rPr>
                <w:rFonts w:ascii="Arial" w:hAnsi="Arial"/>
                <w:b/>
                <w:sz w:val="20"/>
              </w:rPr>
              <w:t>1.22.4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Stager </w:t>
            </w:r>
            <w:r>
              <w:rPr>
                <w:rFonts w:ascii="Arial" w:hAnsi="Arial"/>
                <w:b/>
                <w:sz w:val="20"/>
              </w:rPr>
              <w:t>3.1.5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Painter </w:t>
            </w:r>
            <w:r>
              <w:rPr>
                <w:rFonts w:ascii="Arial" w:hAnsi="Arial"/>
                <w:b/>
                <w:sz w:val="20"/>
              </w:rPr>
              <w:t>11.0.3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Sampler </w:t>
            </w:r>
            <w:r>
              <w:rPr>
                <w:rFonts w:ascii="Arial" w:hAnsi="Arial"/>
                <w:b/>
                <w:sz w:val="20"/>
              </w:rPr>
              <w:t>5.1.0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ColdFusion 2025 Update 5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ColdFusion 2023 Update 17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Designer </w:t>
            </w:r>
            <w:r>
              <w:rPr>
                <w:rFonts w:ascii="Arial" w:hAnsi="Arial"/>
                <w:b/>
                <w:sz w:val="20"/>
              </w:rPr>
              <w:t>15.0.3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des produits Adobe vers les versions suivantes: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Dreamweaver </w:t>
            </w:r>
            <w:r>
              <w:rPr>
                <w:rFonts w:ascii="Arial" w:hAnsi="Arial"/>
                <w:b/>
                <w:sz w:val="20"/>
              </w:rPr>
              <w:t>21.7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InDesign ID</w:t>
            </w:r>
            <w:r>
              <w:rPr>
                <w:rFonts w:ascii="Arial" w:hAnsi="Arial"/>
                <w:b/>
                <w:sz w:val="20"/>
              </w:rPr>
              <w:t>21.1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InDesign ID</w:t>
            </w:r>
            <w:r>
              <w:rPr>
                <w:rFonts w:ascii="Arial" w:hAnsi="Arial"/>
                <w:b/>
                <w:sz w:val="20"/>
              </w:rPr>
              <w:t>19.5.6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Illustrator 2025 </w:t>
            </w:r>
            <w:r>
              <w:rPr>
                <w:rFonts w:ascii="Arial" w:hAnsi="Arial"/>
                <w:b/>
                <w:sz w:val="20"/>
              </w:rPr>
              <w:t>29.8.4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Illustrator 2026 </w:t>
            </w:r>
            <w:r>
              <w:rPr>
                <w:rFonts w:ascii="Arial" w:hAnsi="Arial"/>
                <w:b/>
                <w:sz w:val="20"/>
              </w:rPr>
              <w:t>30.1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InCopy </w:t>
            </w:r>
            <w:r>
              <w:rPr>
                <w:rFonts w:ascii="Arial" w:hAnsi="Arial"/>
                <w:b/>
                <w:sz w:val="20"/>
              </w:rPr>
              <w:t>21.1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InCopy </w:t>
            </w:r>
            <w:r>
              <w:rPr>
                <w:rFonts w:ascii="Arial" w:hAnsi="Arial"/>
                <w:b/>
                <w:sz w:val="20"/>
              </w:rPr>
              <w:t>19.5.6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Bridge </w:t>
            </w:r>
            <w:r>
              <w:rPr>
                <w:rFonts w:ascii="Arial" w:hAnsi="Arial"/>
                <w:b/>
                <w:sz w:val="20"/>
              </w:rPr>
              <w:t>15.1.3</w:t>
            </w:r>
            <w:r>
              <w:rPr>
                <w:rFonts w:ascii="Arial" w:hAnsi="Arial"/>
                <w:b w:val="0"/>
                <w:sz w:val="20"/>
              </w:rPr>
              <w:t xml:space="preserve"> (LTS)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Bridge </w:t>
            </w:r>
            <w:r>
              <w:rPr>
                <w:rFonts w:ascii="Arial" w:hAnsi="Arial"/>
                <w:b/>
                <w:sz w:val="20"/>
              </w:rPr>
              <w:t>16.1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Modeler </w:t>
            </w:r>
            <w:r>
              <w:rPr>
                <w:rFonts w:ascii="Arial" w:hAnsi="Arial"/>
                <w:b/>
                <w:sz w:val="20"/>
              </w:rPr>
              <w:t>1.22.5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Stager </w:t>
            </w:r>
            <w:r>
              <w:rPr>
                <w:rFonts w:ascii="Arial" w:hAnsi="Arial"/>
                <w:b/>
                <w:sz w:val="20"/>
              </w:rPr>
              <w:t>3.1.6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Painter </w:t>
            </w:r>
            <w:r>
              <w:rPr>
                <w:rFonts w:ascii="Arial" w:hAnsi="Arial"/>
                <w:b/>
                <w:sz w:val="20"/>
              </w:rPr>
              <w:t>11.0.4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Sampler </w:t>
            </w:r>
            <w:r>
              <w:rPr>
                <w:rFonts w:ascii="Arial" w:hAnsi="Arial"/>
                <w:b/>
                <w:sz w:val="20"/>
              </w:rPr>
              <w:t>5.1.1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ColdFusion 2025 Update 6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ColdFusion 2023 Update 18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Designer </w:t>
            </w:r>
            <w:r>
              <w:rPr>
                <w:rFonts w:ascii="Arial" w:hAnsi="Arial"/>
                <w:b/>
                <w:sz w:val="20"/>
              </w:rPr>
              <w:t>15.0.4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https://helpx.adobe.com/security/products/dreamweaver/apsb26-01.html</w:t>
              <w:br/>
              <w:t>https://helpx.adobe.com/security/products/indesign/apsb26-02.html</w:t>
              <w:br/>
              <w:t>https://helpx.adobe.com/security/products/illustrator/apsb26-03.html</w:t>
              <w:br/>
              <w:t>https://helpx.adobe.com/security/products/incopy/apsb26-04.html</w:t>
              <w:br/>
              <w:t>https://helpx.adobe.com/security/products/bridge/apsb26-07.html</w:t>
              <w:br/>
              <w:t>https://helpx.adobe.com/security/products/substance3d-modeler/apsb26-08.html</w:t>
              <w:br/>
              <w:t>https://helpx.adobe.com/security/products/substance3d_stager/apsb26-09.html</w:t>
              <w:br/>
              <w:t>https://helpx.adobe.com/security/products/substance3d_painter/apsb26-10.html</w:t>
              <w:br/>
              <w:t>https://helpx.adobe.com/security/products/substance3d-sampler/apsb26-11.html</w:t>
              <w:br/>
              <w:t>https://helpx.adobe.com/security/products/coldfusion/apsb26-12.html</w:t>
              <w:br/>
              <w:t>https://helpx.adobe.com/security/products/substance3d_designer/apsb26-13.html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