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Vulnérabilité dans Microsoft Edge Chrome</w:t>
            </w:r>
          </w:p>
        </w:tc>
      </w:tr>
      <w:tr w:rsidR="00885BD8" w14:paraId="6D33E4DE" w14:textId="77777777" w:rsidTr="002873A0">
        <w:trPr>
          <w:trHeight w:hRule="exact" w:val="7800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before="1400" w:after="80" w:line="384" w:lineRule="auto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CVE-2025-49713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03/07/2025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800"/>
        <w:gridCol w:w="4500"/>
        <w:gridCol w:w="996"/>
        <w:gridCol w:w="1344"/>
        <w:gridCol w:w="1113"/>
        <w:gridCol w:w="1227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 de traitement</w:t>
            </w:r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CVE-2025-49713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Une vulnérabilité a été découverte dans Microsoft Edge. Elle permet à un attaquant de provoquer une exécution de code arbitraire à distance.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8.8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Exécution de code arbitraire à distance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NON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5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after="20" w:line="384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Microsoft Edge versions antérieures à </w:t>
            </w:r>
            <w:r>
              <w:rPr>
                <w:b/>
                <w:sz w:val="20"/>
              </w:rPr>
              <w:t>138.0.3351.65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>Il est recommandé de mettre à jour Microsoft Edge vers :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➢ version </w:t>
      </w:r>
      <w:r>
        <w:rPr>
          <w:b/>
          <w:sz w:val="20"/>
        </w:rPr>
        <w:t>138.0.3351.65</w:t>
      </w:r>
      <w:r>
        <w:rPr>
          <w:sz w:val="20"/>
        </w:rPr>
        <w:t xml:space="preserve"> ou ultérieure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 Intelligence Assessment</w:t>
      </w:r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https://msrc.microsoft.com/update-guide/vulnerability/CVE-2025-49713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696B0245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D045CD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DF6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16C2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5CD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135</cp:revision>
  <cp:lastPrinted>2025-09-23T11:19:00Z</cp:lastPrinted>
  <dcterms:created xsi:type="dcterms:W3CDTF">2024-11-14T00:44:00Z</dcterms:created>
  <dcterms:modified xsi:type="dcterms:W3CDTF">2025-09-23T11:19:00Z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