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Zabbix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CVE-2025-27237</w:t>
            </w:r>
            <w:r>
              <w:br/>
            </w:r>
            <w:r>
              <w:rPr>
                <w:b/>
                <w:color w:val="FFFFFF"/>
                <w:sz w:val="32"/>
              </w:rPr>
              <w:t>CVE-2025-27236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CVE-2025-27237</w:t>
            </w:r>
            <w:r>
              <w:rPr>
                <w:b/>
                <w:color w:val="5F24A0"/>
                <w:sz w:val="18"/>
              </w:rPr>
              <w:br/>
              <w:t>CVE-2025-27236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Zabbix. Elles permettent à un attaquant de provoquer une élévation de privilèges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2.1 - 7.3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Élévation de privilèges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7.4.1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Zabbix vers la version: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6.0.41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7.0.18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7.2.12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7.4.2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6.0.41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7.0.17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7.2.11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7.4.1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https://support.zabbix.com/browse/ZBX-27060</w:t>
            </w:r>
            <w:r>
              <w:rPr>
                <w:b w:val="0"/>
                <w:color w:val="000000"/>
              </w:rPr>
              <w:br/>
              <w:t>https://support.zabbix.com/browse/ZBX-27061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6552493B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351DAD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1DAD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BFF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52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2025-10-07T08:26:00Z</cp:lastPrinted>
  <dcterms:created xsi:type="dcterms:W3CDTF">2024-11-14T00:44:00Z</dcterms:created>
  <dcterms:modified xsi:type="dcterms:W3CDTF">2025-10-07T08:26:00Z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