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les produits Fortinet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000" w:after="80" w:line="360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0"/>
              </w:rPr>
              <w:t>CVE-2024-52965</w:t>
            </w:r>
            <w:r>
              <w:br/>
            </w:r>
            <w:r>
              <w:rPr>
                <w:b/>
                <w:color w:val="FFFFFF"/>
                <w:sz w:val="30"/>
              </w:rPr>
              <w:t>CVE-2025-24477</w:t>
            </w:r>
            <w:r>
              <w:br/>
            </w:r>
            <w:r>
              <w:rPr>
                <w:b/>
                <w:color w:val="FFFFFF"/>
                <w:sz w:val="30"/>
              </w:rPr>
              <w:t>CVE-2024-55599</w:t>
            </w:r>
            <w:r>
              <w:br/>
            </w:r>
            <w:r>
              <w:rPr>
                <w:b/>
                <w:color w:val="FFFFFF"/>
                <w:sz w:val="30"/>
              </w:rPr>
              <w:t>CVE-2025-24474</w:t>
            </w:r>
            <w:r>
              <w:br/>
            </w:r>
            <w:r>
              <w:rPr>
                <w:b/>
                <w:color w:val="FFFFFF"/>
                <w:sz w:val="30"/>
              </w:rPr>
              <w:t>CVE-2024-32124</w:t>
            </w:r>
            <w:r>
              <w:br/>
            </w:r>
            <w:r>
              <w:rPr>
                <w:b/>
                <w:color w:val="FFFFFF"/>
                <w:sz w:val="30"/>
              </w:rPr>
              <w:t>CVE-2025-47856</w:t>
            </w:r>
            <w:r>
              <w:br/>
            </w:r>
            <w:r>
              <w:rPr>
                <w:b/>
                <w:color w:val="FFFFFF"/>
                <w:sz w:val="30"/>
              </w:rPr>
              <w:t>CVE-2024-27779</w:t>
            </w:r>
            <w:r>
              <w:br/>
            </w:r>
            <w:r>
              <w:rPr>
                <w:b/>
                <w:color w:val="FFFFFF"/>
                <w:sz w:val="30"/>
              </w:rPr>
              <w:t>CVE-2025-25257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09/07/2025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51"/>
        <w:gridCol w:w="4360"/>
        <w:gridCol w:w="986"/>
        <w:gridCol w:w="1556"/>
        <w:gridCol w:w="1102"/>
        <w:gridCol w:w="1225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CVE-2024-52965</w:t>
            </w:r>
            <w:r>
              <w:rPr>
                <w:b/>
                <w:color w:val="5F24A0"/>
                <w:sz w:val="18"/>
              </w:rPr>
              <w:br/>
              <w:t>CVE-2025-24477</w:t>
            </w:r>
            <w:r>
              <w:rPr>
                <w:b/>
                <w:color w:val="5F24A0"/>
                <w:sz w:val="18"/>
              </w:rPr>
              <w:br/>
              <w:t>CVE-2024-55599</w:t>
            </w:r>
            <w:r>
              <w:rPr>
                <w:b/>
                <w:color w:val="5F24A0"/>
                <w:sz w:val="18"/>
              </w:rPr>
              <w:br/>
              <w:t>CVE-2025-24474</w:t>
            </w:r>
            <w:r>
              <w:rPr>
                <w:b/>
                <w:color w:val="5F24A0"/>
                <w:sz w:val="18"/>
              </w:rPr>
              <w:br/>
              <w:t>CVE-2024-32124</w:t>
            </w:r>
            <w:r>
              <w:rPr>
                <w:b/>
                <w:color w:val="5F24A0"/>
                <w:sz w:val="18"/>
              </w:rPr>
              <w:br/>
              <w:t>CVE-2025-47856</w:t>
            </w:r>
            <w:r>
              <w:rPr>
                <w:b/>
                <w:color w:val="5F24A0"/>
                <w:sz w:val="18"/>
              </w:rPr>
              <w:br/>
              <w:t>CVE-2024-27779</w:t>
            </w:r>
            <w:r>
              <w:rPr>
                <w:b/>
                <w:color w:val="5F24A0"/>
                <w:sz w:val="18"/>
              </w:rPr>
              <w:br/>
              <w:t>CVE-2025-25257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les produits Fortinet. Certaines d'entre elles permettent à un attaquant de provoquer une exécution de code arbitraire à distance, une élévation de privilèges et une atteinte à la confidentialité des données.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2.6 - 9.6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l'intégrité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Contournement de la politique de sécurité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Exécution de code arbitraire à distance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Injection SQL (SQLi)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Élévation de privilèges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FortiAnalyzer Cloud versions antérieures à </w:t>
            </w:r>
            <w:r>
              <w:rPr>
                <w:b/>
                <w:sz w:val="20"/>
              </w:rPr>
              <w:t>7.4.7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FortiAnalyzer versions </w:t>
            </w:r>
            <w:r>
              <w:rPr>
                <w:b/>
                <w:sz w:val="20"/>
              </w:rPr>
              <w:t>7.6.x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7.6.2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FortiAnalyzer versions antérieures à </w:t>
            </w:r>
            <w:r>
              <w:rPr>
                <w:b/>
                <w:sz w:val="20"/>
              </w:rPr>
              <w:t>7.4.7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FortiIsolator versions antérieures à </w:t>
            </w:r>
            <w:r>
              <w:rPr>
                <w:b/>
                <w:sz w:val="20"/>
              </w:rPr>
              <w:t>2.4.5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FortiManager Cloud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FortiManager versions antérieures à </w:t>
            </w:r>
            <w:r>
              <w:rPr>
                <w:b/>
                <w:sz w:val="20"/>
              </w:rPr>
              <w:t>7.4.7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FortiManager versions antérieures à </w:t>
            </w:r>
            <w:r>
              <w:rPr>
                <w:b/>
                <w:sz w:val="20"/>
              </w:rPr>
              <w:t>7.6.2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FortiOS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et antérieures à </w:t>
            </w:r>
            <w:r>
              <w:rPr>
                <w:b/>
                <w:sz w:val="20"/>
              </w:rPr>
              <w:t>7.2.12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FortiOS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7.4.8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FortiOS versions </w:t>
            </w:r>
            <w:r>
              <w:rPr>
                <w:b/>
                <w:sz w:val="20"/>
              </w:rPr>
              <w:t>7.6.x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7.6.3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FortiOS versions antérieures à </w:t>
            </w:r>
            <w:r>
              <w:rPr>
                <w:b/>
                <w:sz w:val="20"/>
              </w:rPr>
              <w:t>7.2.11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FortiProxy versions </w:t>
            </w:r>
            <w:r>
              <w:rPr>
                <w:b/>
                <w:sz w:val="20"/>
              </w:rPr>
              <w:t>7.6.x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7.6.2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FortiProxy versions </w:t>
            </w:r>
            <w:r>
              <w:rPr>
                <w:b/>
                <w:sz w:val="20"/>
              </w:rPr>
              <w:t>7.x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7.4.9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FortiSandbox versions </w:t>
            </w:r>
            <w:r>
              <w:rPr>
                <w:b/>
                <w:sz w:val="20"/>
              </w:rPr>
              <w:t>4.4.x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4.4.5</w:t>
            </w:r>
            <w:r>
              <w:br/>
            </w:r>
            <w:r>
              <w:rPr>
                <w:rFonts w:ascii="Symbol" w:hAnsi="Symbol"/>
              </w:rPr>
              <w:lastRenderedPageBreak/>
              <w:t xml:space="preserve">·   </w:t>
            </w:r>
            <w:r>
              <w:rPr>
                <w:sz w:val="20"/>
              </w:rPr>
              <w:t xml:space="preserve">FortiSandbox versions antérieures à </w:t>
            </w:r>
            <w:r>
              <w:rPr>
                <w:b/>
                <w:sz w:val="20"/>
              </w:rPr>
              <w:t>4.2.7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FortiVoice versions </w:t>
            </w:r>
            <w:r>
              <w:rPr>
                <w:b/>
                <w:sz w:val="20"/>
              </w:rPr>
              <w:t>6.4.x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6.4.11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FortiVoice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FortiVoice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FortiWeb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FortiWeb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FortiWeb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7.4.8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FortiWeb versions </w:t>
            </w:r>
            <w:r>
              <w:rPr>
                <w:b/>
                <w:sz w:val="20"/>
              </w:rPr>
              <w:t>7.6.x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7.6.4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Mettez à jour les produits Fortinet vers les versions suivantes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FortiAnalyzer Cloud </w:t>
      </w:r>
      <w:r>
        <w:rPr>
          <w:b/>
          <w:sz w:val="20"/>
        </w:rPr>
        <w:t>7.4.7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FortiAnalyzer </w:t>
      </w:r>
      <w:r>
        <w:rPr>
          <w:b/>
          <w:sz w:val="20"/>
        </w:rPr>
        <w:t>7.6.2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FortiAnalyzer </w:t>
      </w:r>
      <w:r>
        <w:rPr>
          <w:b/>
          <w:sz w:val="20"/>
        </w:rPr>
        <w:t>7.4.7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FortiIsolator </w:t>
      </w:r>
      <w:r>
        <w:rPr>
          <w:b/>
          <w:sz w:val="20"/>
        </w:rPr>
        <w:t>2.4.5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FortiManager Cloud </w:t>
      </w:r>
      <w:r>
        <w:rPr>
          <w:b/>
          <w:sz w:val="20"/>
        </w:rPr>
        <w:t>7.4.7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FortiManager </w:t>
      </w:r>
      <w:r>
        <w:rPr>
          <w:b/>
          <w:sz w:val="20"/>
        </w:rPr>
        <w:t>7.4.7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FortiManager </w:t>
      </w:r>
      <w:r>
        <w:rPr>
          <w:b/>
          <w:sz w:val="20"/>
        </w:rPr>
        <w:t>7.6.2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FortiOS </w:t>
      </w:r>
      <w:r>
        <w:rPr>
          <w:b/>
          <w:sz w:val="20"/>
        </w:rPr>
        <w:t>7.2.12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FortiOS </w:t>
      </w:r>
      <w:r>
        <w:rPr>
          <w:b/>
          <w:sz w:val="20"/>
        </w:rPr>
        <w:t>7.4.8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FortiOS </w:t>
      </w:r>
      <w:r>
        <w:rPr>
          <w:b/>
          <w:sz w:val="20"/>
        </w:rPr>
        <w:t>7.6.3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FortiOS </w:t>
      </w:r>
      <w:r>
        <w:rPr>
          <w:b/>
          <w:sz w:val="20"/>
        </w:rPr>
        <w:t>7.2.11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FortiProxy </w:t>
      </w:r>
      <w:r>
        <w:rPr>
          <w:b/>
          <w:sz w:val="20"/>
        </w:rPr>
        <w:t>7.6.2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FortiProxy </w:t>
      </w:r>
      <w:r>
        <w:rPr>
          <w:b/>
          <w:sz w:val="20"/>
        </w:rPr>
        <w:t>7.4.9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FortiSandbox </w:t>
      </w:r>
      <w:r>
        <w:rPr>
          <w:b/>
          <w:sz w:val="20"/>
        </w:rPr>
        <w:t>4.4.5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FortiSandbox </w:t>
      </w:r>
      <w:r>
        <w:rPr>
          <w:b/>
          <w:sz w:val="20"/>
        </w:rPr>
        <w:t>4.2.7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FortiVoice </w:t>
      </w:r>
      <w:r>
        <w:rPr>
          <w:b/>
          <w:sz w:val="20"/>
        </w:rPr>
        <w:t>6.4.11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FortiVoice </w:t>
      </w:r>
      <w:r>
        <w:rPr>
          <w:b/>
          <w:sz w:val="20"/>
        </w:rPr>
        <w:t>7.0.7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lastRenderedPageBreak/>
        <w:t xml:space="preserve">     Ø </w:t>
      </w:r>
      <w:r>
        <w:rPr>
          <w:sz w:val="20"/>
        </w:rPr>
        <w:t xml:space="preserve">FortiVoice </w:t>
      </w:r>
      <w:r>
        <w:rPr>
          <w:b/>
          <w:sz w:val="20"/>
        </w:rPr>
        <w:t>7.2.1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FortiWeb </w:t>
      </w:r>
      <w:r>
        <w:rPr>
          <w:b/>
          <w:sz w:val="20"/>
        </w:rPr>
        <w:t>7.0.11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FortiWeb </w:t>
      </w:r>
      <w:r>
        <w:rPr>
          <w:b/>
          <w:sz w:val="20"/>
        </w:rPr>
        <w:t>7.2.11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FortiWeb </w:t>
      </w:r>
      <w:r>
        <w:rPr>
          <w:b/>
          <w:sz w:val="20"/>
        </w:rPr>
        <w:t>7.4.8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FortiWeb </w:t>
      </w:r>
      <w:r>
        <w:rPr>
          <w:b/>
          <w:sz w:val="20"/>
        </w:rPr>
        <w:t>7.6.4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https://www.fortiguard.com/psirt/FG-IR-24-035</w:t>
            </w:r>
            <w:r>
              <w:rPr>
                <w:b w:val="0"/>
                <w:color w:val="000000"/>
              </w:rPr>
              <w:br/>
              <w:t>https://www.fortiguard.com/psirt/FG-IR-24-045</w:t>
            </w:r>
            <w:r>
              <w:rPr>
                <w:b w:val="0"/>
                <w:color w:val="000000"/>
              </w:rPr>
              <w:br/>
              <w:t>https://www.fortiguard.com/psirt/FG-IR-24-053</w:t>
            </w:r>
            <w:r>
              <w:rPr>
                <w:b w:val="0"/>
                <w:color w:val="000000"/>
              </w:rPr>
              <w:br/>
              <w:t>https://www.fortiguard.com/psirt/FG-IR-24-437</w:t>
            </w:r>
            <w:r>
              <w:rPr>
                <w:b w:val="0"/>
                <w:color w:val="000000"/>
              </w:rPr>
              <w:br/>
              <w:t>https://www.fortiguard.com/psirt/FG-IR-24-511</w:t>
            </w:r>
            <w:r>
              <w:rPr>
                <w:b w:val="0"/>
                <w:color w:val="000000"/>
              </w:rPr>
              <w:br/>
              <w:t>https://www.fortiguard.com/psirt/FG-IR-25-026</w:t>
            </w:r>
            <w:r>
              <w:rPr>
                <w:b w:val="0"/>
                <w:color w:val="000000"/>
              </w:rPr>
              <w:br/>
              <w:t>https://www.fortiguard.com/psirt/FG-IR-25-151</w:t>
            </w:r>
            <w:r>
              <w:rPr>
                <w:b w:val="0"/>
                <w:color w:val="000000"/>
              </w:rPr>
              <w:br/>
              <w:t>https://www.fortiguard.com/psirt/FG-IR-25-250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4EEAF820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FF6423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070A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330D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423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179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2025-10-05T14:57:00Z</cp:lastPrinted>
  <dcterms:created xsi:type="dcterms:W3CDTF">2024-11-14T00:44:00Z</dcterms:created>
  <dcterms:modified xsi:type="dcterms:W3CDTF">2025-10-05T14:57:00Z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