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25B62" w:rsidRDefault="007418C1">
      <w:pPr>
        <w:shd w:val="clear" w:color="auto" w:fill="FFFFFF"/>
        <w:jc w:val="center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UCLA Center for Neighborhood Knowledge</w:t>
      </w:r>
    </w:p>
    <w:p w14:paraId="00000002" w14:textId="77777777" w:rsidR="00A25B62" w:rsidRDefault="007418C1">
      <w:pPr>
        <w:shd w:val="clear" w:color="auto" w:fill="FFFFFF"/>
        <w:jc w:val="center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 xml:space="preserve">COVID-19 Equity Research Initiative </w:t>
      </w:r>
    </w:p>
    <w:p w14:paraId="00000003" w14:textId="77777777" w:rsidR="00A25B62" w:rsidRDefault="00A25B62">
      <w:pPr>
        <w:shd w:val="clear" w:color="auto" w:fill="FFFFFF"/>
        <w:rPr>
          <w:rFonts w:ascii="Calibri" w:eastAsia="Calibri" w:hAnsi="Calibri" w:cs="Calibri"/>
          <w:color w:val="222222"/>
        </w:rPr>
      </w:pPr>
    </w:p>
    <w:p w14:paraId="00000004" w14:textId="77777777" w:rsidR="00A25B62" w:rsidRDefault="007418C1">
      <w:pPr>
        <w:shd w:val="clear" w:color="auto" w:fill="FFFFFF"/>
        <w:jc w:val="center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California Vulnerability Indicators Metadata</w:t>
      </w:r>
    </w:p>
    <w:p w14:paraId="00000005" w14:textId="77777777" w:rsidR="00A25B62" w:rsidRDefault="007418C1">
      <w:pPr>
        <w:shd w:val="clear" w:color="auto" w:fill="FFFFFF"/>
        <w:spacing w:before="200" w:after="200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Workers at Risk of Job Displacement Due to COVID-19 Business Closures</w:t>
      </w:r>
    </w:p>
    <w:p w14:paraId="00000006" w14:textId="77777777" w:rsidR="00A25B62" w:rsidRDefault="007418C1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Calibri" w:eastAsia="Calibri" w:hAnsi="Calibri" w:cs="Calibri"/>
          <w:b/>
          <w:color w:val="222222"/>
        </w:rPr>
        <w:t>Technical definition</w:t>
      </w:r>
      <w:r>
        <w:rPr>
          <w:rFonts w:ascii="Calibri" w:eastAsia="Calibri" w:hAnsi="Calibri" w:cs="Calibri"/>
          <w:color w:val="222222"/>
        </w:rPr>
        <w:t>: Census tract-level estimates of the percentage of workers (16 years and older) in sectors highly impacted by COVID-19 related business closures. Workers in these sectors include service workers in hospitality, sales workers in retail, and workers in pers</w:t>
      </w:r>
      <w:r>
        <w:rPr>
          <w:rFonts w:ascii="Calibri" w:eastAsia="Calibri" w:hAnsi="Calibri" w:cs="Calibri"/>
          <w:color w:val="222222"/>
        </w:rPr>
        <w:t>onal care and service operations. These workers are also at high risk of COVID-19 exposure as businesses start reopening.</w:t>
      </w:r>
    </w:p>
    <w:p w14:paraId="00000007" w14:textId="77777777" w:rsidR="00A25B62" w:rsidRDefault="007418C1">
      <w:pPr>
        <w:numPr>
          <w:ilvl w:val="0"/>
          <w:numId w:val="1"/>
        </w:numPr>
        <w:shd w:val="clear" w:color="auto" w:fill="FFFFFF"/>
      </w:pPr>
      <w:r>
        <w:rPr>
          <w:rFonts w:ascii="Calibri" w:eastAsia="Calibri" w:hAnsi="Calibri" w:cs="Calibri"/>
          <w:b/>
          <w:color w:val="222222"/>
        </w:rPr>
        <w:t>Data source(s):</w:t>
      </w:r>
      <w:r>
        <w:rPr>
          <w:rFonts w:ascii="Calibri" w:eastAsia="Calibri" w:hAnsi="Calibri" w:cs="Calibri"/>
          <w:color w:val="222222"/>
        </w:rPr>
        <w:t xml:space="preserve"> Tabulated by the UCLA Center for Neighborhood Knowledge (2020) using data from the American Community Survey (2014-18 </w:t>
      </w:r>
      <w:r>
        <w:rPr>
          <w:rFonts w:ascii="Calibri" w:eastAsia="Calibri" w:hAnsi="Calibri" w:cs="Calibri"/>
          <w:color w:val="222222"/>
        </w:rPr>
        <w:t>5-year average).</w:t>
      </w:r>
    </w:p>
    <w:p w14:paraId="00000008" w14:textId="77777777" w:rsidR="00A25B62" w:rsidRDefault="007418C1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22222"/>
        </w:rPr>
        <w:t xml:space="preserve">Source URL: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https://knowledge.luskin.ucla.edu/</w:t>
        </w:r>
      </w:hyperlink>
    </w:p>
    <w:p w14:paraId="00000009" w14:textId="77777777" w:rsidR="00A25B62" w:rsidRDefault="007418C1">
      <w:pPr>
        <w:numPr>
          <w:ilvl w:val="0"/>
          <w:numId w:val="1"/>
        </w:numPr>
        <w:shd w:val="clear" w:color="auto" w:fill="FFFFFF"/>
        <w:spacing w:after="200"/>
      </w:pPr>
      <w:r>
        <w:rPr>
          <w:rFonts w:ascii="Calibri" w:eastAsia="Calibri" w:hAnsi="Calibri" w:cs="Calibri"/>
          <w:b/>
          <w:color w:val="222222"/>
        </w:rPr>
        <w:t xml:space="preserve">Month(s), Year of data: </w:t>
      </w:r>
      <w:r>
        <w:rPr>
          <w:rFonts w:ascii="Calibri" w:eastAsia="Calibri" w:hAnsi="Calibri" w:cs="Calibri"/>
          <w:color w:val="222222"/>
        </w:rPr>
        <w:t xml:space="preserve"> 2014 - 2018 </w:t>
      </w:r>
    </w:p>
    <w:p w14:paraId="0000000A" w14:textId="77777777" w:rsidR="00A25B62" w:rsidRDefault="007418C1">
      <w:pPr>
        <w:shd w:val="clear" w:color="auto" w:fill="FFFFFF"/>
        <w:spacing w:before="200" w:after="200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Workers not Covered by Unemployment Insurance Program</w:t>
      </w:r>
    </w:p>
    <w:p w14:paraId="0000000B" w14:textId="77777777" w:rsidR="00A25B62" w:rsidRDefault="007418C1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Calibri" w:eastAsia="Calibri" w:hAnsi="Calibri" w:cs="Calibri"/>
          <w:b/>
          <w:color w:val="222222"/>
        </w:rPr>
        <w:t>Technical definition</w:t>
      </w:r>
      <w:r>
        <w:rPr>
          <w:rFonts w:ascii="Calibri" w:eastAsia="Calibri" w:hAnsi="Calibri" w:cs="Calibri"/>
          <w:color w:val="222222"/>
        </w:rPr>
        <w:t>: Census tract-level estim</w:t>
      </w:r>
      <w:r>
        <w:rPr>
          <w:rFonts w:ascii="Calibri" w:eastAsia="Calibri" w:hAnsi="Calibri" w:cs="Calibri"/>
          <w:color w:val="222222"/>
        </w:rPr>
        <w:t>ates of the percentage of workers who are not part of the Unemployment Insurance program.</w:t>
      </w:r>
    </w:p>
    <w:p w14:paraId="0000000C" w14:textId="77777777" w:rsidR="00A25B62" w:rsidRDefault="007418C1">
      <w:pPr>
        <w:numPr>
          <w:ilvl w:val="0"/>
          <w:numId w:val="1"/>
        </w:numPr>
        <w:shd w:val="clear" w:color="auto" w:fill="FFFFFF"/>
      </w:pPr>
      <w:r>
        <w:rPr>
          <w:rFonts w:ascii="Calibri" w:eastAsia="Calibri" w:hAnsi="Calibri" w:cs="Calibri"/>
          <w:b/>
          <w:color w:val="222222"/>
        </w:rPr>
        <w:t>Data source(s):</w:t>
      </w:r>
      <w:r>
        <w:rPr>
          <w:rFonts w:ascii="Calibri" w:eastAsia="Calibri" w:hAnsi="Calibri" w:cs="Calibri"/>
          <w:color w:val="222222"/>
        </w:rPr>
        <w:t xml:space="preserve"> Tabulated by the UCLA Center for Neighborhood Knowledge (2020) using data from the American Community Survey (2013-17 5-year average), and Longitudina</w:t>
      </w:r>
      <w:r>
        <w:rPr>
          <w:rFonts w:ascii="Calibri" w:eastAsia="Calibri" w:hAnsi="Calibri" w:cs="Calibri"/>
          <w:color w:val="222222"/>
        </w:rPr>
        <w:t xml:space="preserve">l Employer-Household Dynamics (2013-17 5-year average). </w:t>
      </w:r>
    </w:p>
    <w:p w14:paraId="0000000D" w14:textId="77777777" w:rsidR="00A25B62" w:rsidRDefault="007418C1">
      <w:pPr>
        <w:numPr>
          <w:ilvl w:val="0"/>
          <w:numId w:val="1"/>
        </w:numPr>
        <w:shd w:val="clear" w:color="auto" w:fill="FFFFFF"/>
      </w:pPr>
      <w:r>
        <w:rPr>
          <w:rFonts w:ascii="Calibri" w:eastAsia="Calibri" w:hAnsi="Calibri" w:cs="Calibri"/>
          <w:b/>
          <w:color w:val="222222"/>
        </w:rPr>
        <w:t>Source URL</w:t>
      </w:r>
      <w:r>
        <w:rPr>
          <w:rFonts w:ascii="Calibri" w:eastAsia="Calibri" w:hAnsi="Calibri" w:cs="Calibri"/>
          <w:color w:val="222222"/>
        </w:rPr>
        <w:t xml:space="preserve">: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https://knowledge.luskin.ucla.edu/</w:t>
        </w:r>
      </w:hyperlink>
    </w:p>
    <w:p w14:paraId="0000000E" w14:textId="77777777" w:rsidR="00A25B62" w:rsidRDefault="007418C1">
      <w:pPr>
        <w:numPr>
          <w:ilvl w:val="0"/>
          <w:numId w:val="1"/>
        </w:numPr>
        <w:shd w:val="clear" w:color="auto" w:fill="FFFFFF"/>
        <w:spacing w:after="200"/>
      </w:pPr>
      <w:r>
        <w:rPr>
          <w:rFonts w:ascii="Calibri" w:eastAsia="Calibri" w:hAnsi="Calibri" w:cs="Calibri"/>
          <w:b/>
          <w:color w:val="222222"/>
        </w:rPr>
        <w:t xml:space="preserve">Month(s), Year of data: </w:t>
      </w:r>
      <w:r>
        <w:rPr>
          <w:rFonts w:ascii="Calibri" w:eastAsia="Calibri" w:hAnsi="Calibri" w:cs="Calibri"/>
          <w:color w:val="222222"/>
        </w:rPr>
        <w:t xml:space="preserve"> 2013 - 2017</w:t>
      </w:r>
    </w:p>
    <w:p w14:paraId="0000000F" w14:textId="77777777" w:rsidR="00A25B62" w:rsidRDefault="007418C1">
      <w:pPr>
        <w:shd w:val="clear" w:color="auto" w:fill="FFFFFF"/>
        <w:spacing w:before="200" w:after="200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Shelter-in-Place Burden Index</w:t>
      </w:r>
    </w:p>
    <w:p w14:paraId="00000010" w14:textId="6184EA6A" w:rsidR="00A25B62" w:rsidRDefault="007418C1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Calibri" w:eastAsia="Calibri" w:hAnsi="Calibri" w:cs="Calibri"/>
          <w:b/>
          <w:color w:val="222222"/>
        </w:rPr>
        <w:t>Technical definition</w:t>
      </w:r>
      <w:r>
        <w:rPr>
          <w:rFonts w:ascii="Calibri" w:eastAsia="Calibri" w:hAnsi="Calibri" w:cs="Calibri"/>
          <w:color w:val="222222"/>
        </w:rPr>
        <w:t>: Census tr</w:t>
      </w:r>
      <w:r>
        <w:rPr>
          <w:rFonts w:ascii="Calibri" w:eastAsia="Calibri" w:hAnsi="Calibri" w:cs="Calibri"/>
          <w:color w:val="222222"/>
        </w:rPr>
        <w:t xml:space="preserve">act level data on neighborhoods that are burdened by COVID-19 sheltering-in-place mandates. Four variables are used to measure the relative difficulty (or ease) in </w:t>
      </w:r>
      <w:r w:rsidR="00542993">
        <w:rPr>
          <w:rFonts w:ascii="Calibri" w:eastAsia="Calibri" w:hAnsi="Calibri" w:cs="Calibri"/>
          <w:color w:val="222222"/>
        </w:rPr>
        <w:t>complying with sheltering</w:t>
      </w:r>
      <w:r>
        <w:rPr>
          <w:rFonts w:ascii="Calibri" w:eastAsia="Calibri" w:hAnsi="Calibri" w:cs="Calibri"/>
          <w:color w:val="222222"/>
        </w:rPr>
        <w:t>-in-place: neighborhood population density, availability of publi</w:t>
      </w:r>
      <w:r>
        <w:rPr>
          <w:rFonts w:ascii="Calibri" w:eastAsia="Calibri" w:hAnsi="Calibri" w:cs="Calibri"/>
          <w:color w:val="222222"/>
        </w:rPr>
        <w:t xml:space="preserve">c-open space per person, estimate of the relative number of households without </w:t>
      </w:r>
      <w:r w:rsidR="00542993">
        <w:rPr>
          <w:rFonts w:ascii="Calibri" w:eastAsia="Calibri" w:hAnsi="Calibri" w:cs="Calibri"/>
          <w:color w:val="222222"/>
        </w:rPr>
        <w:t>access to a nearby supermarket</w:t>
      </w:r>
      <w:r>
        <w:rPr>
          <w:rFonts w:ascii="Calibri" w:eastAsia="Calibri" w:hAnsi="Calibri" w:cs="Calibri"/>
          <w:color w:val="222222"/>
        </w:rPr>
        <w:t xml:space="preserve"> (adjusted for household vehicle ownership), and crowding within housing. This indicator is reported in deciles (relative to the State as whole</w:t>
      </w:r>
      <w:r>
        <w:rPr>
          <w:rFonts w:ascii="Calibri" w:eastAsia="Calibri" w:hAnsi="Calibri" w:cs="Calibri"/>
          <w:color w:val="222222"/>
        </w:rPr>
        <w:t>).</w:t>
      </w:r>
    </w:p>
    <w:p w14:paraId="00000011" w14:textId="77777777" w:rsidR="00A25B62" w:rsidRDefault="007418C1">
      <w:pPr>
        <w:numPr>
          <w:ilvl w:val="0"/>
          <w:numId w:val="1"/>
        </w:numPr>
        <w:shd w:val="clear" w:color="auto" w:fill="FFFFFF"/>
      </w:pPr>
      <w:r>
        <w:rPr>
          <w:rFonts w:ascii="Calibri" w:eastAsia="Calibri" w:hAnsi="Calibri" w:cs="Calibri"/>
          <w:b/>
          <w:color w:val="222222"/>
        </w:rPr>
        <w:t>Data source(s):</w:t>
      </w:r>
      <w:r>
        <w:rPr>
          <w:rFonts w:ascii="Calibri" w:eastAsia="Calibri" w:hAnsi="Calibri" w:cs="Calibri"/>
          <w:color w:val="222222"/>
        </w:rPr>
        <w:t xml:space="preserve"> Index developed by the UCLA Center for Neighborhood Knowledge (2020) using data from the American Community Survey (2014-18 5-year average); California Department of Parks and Recreation (2015), and USDA Food Access Research Atlas (2015)</w:t>
      </w:r>
      <w:r>
        <w:rPr>
          <w:rFonts w:ascii="Calibri" w:eastAsia="Calibri" w:hAnsi="Calibri" w:cs="Calibri"/>
          <w:color w:val="222222"/>
        </w:rPr>
        <w:t>.</w:t>
      </w:r>
    </w:p>
    <w:p w14:paraId="00000012" w14:textId="77777777" w:rsidR="00A25B62" w:rsidRDefault="007418C1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22222"/>
        </w:rPr>
        <w:t xml:space="preserve">Source URL: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https://knowledge.luskin.ucla.edu/</w:t>
        </w:r>
      </w:hyperlink>
    </w:p>
    <w:p w14:paraId="00000013" w14:textId="77777777" w:rsidR="00A25B62" w:rsidRDefault="007418C1">
      <w:pPr>
        <w:numPr>
          <w:ilvl w:val="0"/>
          <w:numId w:val="1"/>
        </w:numPr>
        <w:shd w:val="clear" w:color="auto" w:fill="FFFFFF"/>
        <w:spacing w:after="200"/>
      </w:pPr>
      <w:r>
        <w:rPr>
          <w:rFonts w:ascii="Calibri" w:eastAsia="Calibri" w:hAnsi="Calibri" w:cs="Calibri"/>
          <w:b/>
          <w:color w:val="222222"/>
        </w:rPr>
        <w:t xml:space="preserve">Month(s), Year of data: </w:t>
      </w:r>
      <w:r>
        <w:rPr>
          <w:rFonts w:ascii="Calibri" w:eastAsia="Calibri" w:hAnsi="Calibri" w:cs="Calibri"/>
          <w:color w:val="222222"/>
        </w:rPr>
        <w:t xml:space="preserve"> The raw/underlying data used to construct the index come from different years ranging from 2014 to 2018.</w:t>
      </w:r>
    </w:p>
    <w:p w14:paraId="00000014" w14:textId="77777777" w:rsidR="00A25B62" w:rsidRDefault="00A25B62">
      <w:pPr>
        <w:shd w:val="clear" w:color="auto" w:fill="FFFFFF"/>
        <w:spacing w:before="200" w:after="200"/>
        <w:rPr>
          <w:rFonts w:ascii="Calibri" w:eastAsia="Calibri" w:hAnsi="Calibri" w:cs="Calibri"/>
          <w:color w:val="222222"/>
        </w:rPr>
      </w:pPr>
    </w:p>
    <w:p w14:paraId="00000015" w14:textId="77777777" w:rsidR="00A25B62" w:rsidRDefault="007418C1">
      <w:pPr>
        <w:shd w:val="clear" w:color="auto" w:fill="FFFFFF"/>
        <w:spacing w:before="200" w:after="200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lastRenderedPageBreak/>
        <w:t>Renter Vulnerability Index</w:t>
      </w:r>
    </w:p>
    <w:p w14:paraId="00000016" w14:textId="77777777" w:rsidR="00A25B62" w:rsidRDefault="007418C1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Calibri" w:eastAsia="Calibri" w:hAnsi="Calibri" w:cs="Calibri"/>
          <w:b/>
          <w:color w:val="222222"/>
        </w:rPr>
        <w:t>Technical definition</w:t>
      </w:r>
      <w:r>
        <w:rPr>
          <w:rFonts w:ascii="Calibri" w:eastAsia="Calibri" w:hAnsi="Calibri" w:cs="Calibri"/>
          <w:color w:val="222222"/>
        </w:rPr>
        <w:t>: Census tract-level data on neighborhoods with a high concentration of financially vulnerable renters. This measure utilizes four dimensions to identify vulnerable neighborhoods: (1) neighborhoods with a disp</w:t>
      </w:r>
      <w:r>
        <w:rPr>
          <w:rFonts w:ascii="Calibri" w:eastAsia="Calibri" w:hAnsi="Calibri" w:cs="Calibri"/>
          <w:color w:val="222222"/>
        </w:rPr>
        <w:t>roportionate large number of renters on the edge of financial vulnerability due to high housing cost burden; (2) neighborhoods with a disproportionate large number of workers vulnerable to job displacement due to retail and service-sector closures; (3) nei</w:t>
      </w:r>
      <w:r>
        <w:rPr>
          <w:rFonts w:ascii="Calibri" w:eastAsia="Calibri" w:hAnsi="Calibri" w:cs="Calibri"/>
          <w:color w:val="222222"/>
        </w:rPr>
        <w:t>ghborhoods with disproportionate proportion of individuals who are undocumented (many are excluded from receiving federal pandemic-relief packages such as the one-time cash payments under the CARES Act), and (4) neighborhoods with a disproportionate number</w:t>
      </w:r>
      <w:r>
        <w:rPr>
          <w:rFonts w:ascii="Calibri" w:eastAsia="Calibri" w:hAnsi="Calibri" w:cs="Calibri"/>
          <w:color w:val="222222"/>
        </w:rPr>
        <w:t xml:space="preserve"> of people excluded from Unemployment Insurance Program. This measure is reported in deciles (relative to the State as whole) and only includes census tracts with at least 500 renter households.</w:t>
      </w:r>
    </w:p>
    <w:p w14:paraId="00000017" w14:textId="77777777" w:rsidR="00A25B62" w:rsidRDefault="007418C1">
      <w:pPr>
        <w:numPr>
          <w:ilvl w:val="0"/>
          <w:numId w:val="1"/>
        </w:numPr>
        <w:shd w:val="clear" w:color="auto" w:fill="FFFFFF"/>
      </w:pPr>
      <w:r>
        <w:rPr>
          <w:rFonts w:ascii="Calibri" w:eastAsia="Calibri" w:hAnsi="Calibri" w:cs="Calibri"/>
          <w:b/>
          <w:color w:val="222222"/>
        </w:rPr>
        <w:t>Data source(s):</w:t>
      </w:r>
      <w:r>
        <w:rPr>
          <w:rFonts w:ascii="Calibri" w:eastAsia="Calibri" w:hAnsi="Calibri" w:cs="Calibri"/>
          <w:color w:val="222222"/>
        </w:rPr>
        <w:t xml:space="preserve"> Index developed by the UCLA Center for Neighb</w:t>
      </w:r>
      <w:r>
        <w:rPr>
          <w:rFonts w:ascii="Calibri" w:eastAsia="Calibri" w:hAnsi="Calibri" w:cs="Calibri"/>
          <w:color w:val="222222"/>
        </w:rPr>
        <w:t xml:space="preserve">orhood Knowledge (2020) using data from the American Community Survey (2013-17 and 2014-18 5-year averages), Longitudinal Employer-Household Dynamics (2013-17 5-year average) and the center’s proprietary data on estimates of undocumented individuals. </w:t>
      </w:r>
    </w:p>
    <w:p w14:paraId="00000018" w14:textId="77777777" w:rsidR="00A25B62" w:rsidRDefault="007418C1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22222"/>
        </w:rPr>
        <w:t>Sour</w:t>
      </w:r>
      <w:r>
        <w:rPr>
          <w:rFonts w:ascii="Calibri" w:eastAsia="Calibri" w:hAnsi="Calibri" w:cs="Calibri"/>
          <w:b/>
          <w:color w:val="222222"/>
        </w:rPr>
        <w:t xml:space="preserve">ce URL: 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https://knowledge.luskin.ucla.edu/</w:t>
        </w:r>
      </w:hyperlink>
    </w:p>
    <w:p w14:paraId="00000019" w14:textId="77777777" w:rsidR="00A25B62" w:rsidRDefault="007418C1">
      <w:pPr>
        <w:numPr>
          <w:ilvl w:val="0"/>
          <w:numId w:val="1"/>
        </w:numPr>
        <w:shd w:val="clear" w:color="auto" w:fill="FFFFFF"/>
        <w:spacing w:after="200"/>
      </w:pPr>
      <w:r>
        <w:rPr>
          <w:rFonts w:ascii="Calibri" w:eastAsia="Calibri" w:hAnsi="Calibri" w:cs="Calibri"/>
          <w:b/>
          <w:color w:val="222222"/>
        </w:rPr>
        <w:t xml:space="preserve">Month(s), Year of data: </w:t>
      </w:r>
      <w:r>
        <w:rPr>
          <w:rFonts w:ascii="Calibri" w:eastAsia="Calibri" w:hAnsi="Calibri" w:cs="Calibri"/>
          <w:color w:val="222222"/>
        </w:rPr>
        <w:t>The raw/underlying data used to construct the index come from different years ranging from 2013 to 2018.</w:t>
      </w:r>
    </w:p>
    <w:p w14:paraId="0000001A" w14:textId="77777777" w:rsidR="00A25B62" w:rsidRDefault="007418C1">
      <w:pPr>
        <w:shd w:val="clear" w:color="auto" w:fill="FFFFFF"/>
        <w:spacing w:before="200" w:after="200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 xml:space="preserve">2020 Census Non-Response Rate </w:t>
      </w:r>
      <w:r>
        <w:rPr>
          <w:rFonts w:ascii="Calibri" w:eastAsia="Calibri" w:hAnsi="Calibri" w:cs="Calibri"/>
          <w:b/>
          <w:color w:val="222222"/>
        </w:rPr>
        <w:t xml:space="preserve">(August 1, 2020) </w:t>
      </w:r>
    </w:p>
    <w:p w14:paraId="0000001B" w14:textId="77777777" w:rsidR="00A25B62" w:rsidRDefault="007418C1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Calibri" w:eastAsia="Calibri" w:hAnsi="Calibri" w:cs="Calibri"/>
          <w:b/>
          <w:color w:val="222222"/>
        </w:rPr>
        <w:t>Technical definition</w:t>
      </w:r>
      <w:r>
        <w:rPr>
          <w:rFonts w:ascii="Calibri" w:eastAsia="Calibri" w:hAnsi="Calibri" w:cs="Calibri"/>
          <w:color w:val="222222"/>
        </w:rPr>
        <w:t>: Census tract level estimates of the 2020 Census non-response rates as of August 1, 2020.</w:t>
      </w:r>
    </w:p>
    <w:p w14:paraId="0000001C" w14:textId="05CBB1BE" w:rsidR="00A25B62" w:rsidRDefault="007418C1">
      <w:pPr>
        <w:numPr>
          <w:ilvl w:val="0"/>
          <w:numId w:val="1"/>
        </w:numPr>
        <w:shd w:val="clear" w:color="auto" w:fill="FFFFFF"/>
      </w:pPr>
      <w:r>
        <w:rPr>
          <w:rFonts w:ascii="Calibri" w:eastAsia="Calibri" w:hAnsi="Calibri" w:cs="Calibri"/>
          <w:b/>
          <w:color w:val="222222"/>
        </w:rPr>
        <w:t>Data source(s):</w:t>
      </w:r>
      <w:r>
        <w:rPr>
          <w:rFonts w:ascii="Calibri" w:eastAsia="Calibri" w:hAnsi="Calibri" w:cs="Calibri"/>
          <w:color w:val="222222"/>
        </w:rPr>
        <w:t xml:space="preserve"> Estimated for 2010 tract boundaries by the UCLA Center for Neighborhood Knowledge (2020) using </w:t>
      </w:r>
      <w:r w:rsidR="00542993">
        <w:rPr>
          <w:rFonts w:ascii="Calibri" w:eastAsia="Calibri" w:hAnsi="Calibri" w:cs="Calibri"/>
          <w:color w:val="222222"/>
        </w:rPr>
        <w:t>the U.S</w:t>
      </w:r>
      <w:r>
        <w:rPr>
          <w:rFonts w:ascii="Calibri" w:eastAsia="Calibri" w:hAnsi="Calibri" w:cs="Calibri"/>
          <w:color w:val="222222"/>
        </w:rPr>
        <w:t>. Census</w:t>
      </w:r>
      <w:r>
        <w:rPr>
          <w:rFonts w:ascii="Calibri" w:eastAsia="Calibri" w:hAnsi="Calibri" w:cs="Calibri"/>
          <w:color w:val="222222"/>
        </w:rPr>
        <w:t xml:space="preserve"> Response Rates for the 2020 Decennial Census.</w:t>
      </w:r>
    </w:p>
    <w:p w14:paraId="0000001D" w14:textId="77777777" w:rsidR="00A25B62" w:rsidRDefault="007418C1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22222"/>
        </w:rPr>
        <w:t xml:space="preserve">Source URL: </w:t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https://knowledge.luskin.ucla.edu/</w:t>
        </w:r>
      </w:hyperlink>
    </w:p>
    <w:p w14:paraId="0000001E" w14:textId="77777777" w:rsidR="00A25B62" w:rsidRDefault="007418C1">
      <w:pPr>
        <w:numPr>
          <w:ilvl w:val="0"/>
          <w:numId w:val="1"/>
        </w:numPr>
        <w:shd w:val="clear" w:color="auto" w:fill="FFFFFF"/>
        <w:spacing w:after="200"/>
      </w:pPr>
      <w:r>
        <w:rPr>
          <w:rFonts w:ascii="Calibri" w:eastAsia="Calibri" w:hAnsi="Calibri" w:cs="Calibri"/>
          <w:b/>
          <w:color w:val="222222"/>
        </w:rPr>
        <w:t xml:space="preserve">Month(s), Year of data: </w:t>
      </w:r>
      <w:r>
        <w:rPr>
          <w:rFonts w:ascii="Calibri" w:eastAsia="Calibri" w:hAnsi="Calibri" w:cs="Calibri"/>
          <w:color w:val="222222"/>
        </w:rPr>
        <w:t>2020</w:t>
      </w:r>
    </w:p>
    <w:p w14:paraId="0000001F" w14:textId="77777777" w:rsidR="00A25B62" w:rsidRDefault="00A25B62">
      <w:pPr>
        <w:rPr>
          <w:rFonts w:ascii="Calibri" w:eastAsia="Calibri" w:hAnsi="Calibri" w:cs="Calibri"/>
        </w:rPr>
      </w:pPr>
      <w:bookmarkStart w:id="0" w:name="_GoBack"/>
      <w:bookmarkEnd w:id="0"/>
    </w:p>
    <w:sectPr w:rsidR="00A25B6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E73CE" w14:textId="77777777" w:rsidR="007418C1" w:rsidRDefault="007418C1" w:rsidP="00542993">
      <w:pPr>
        <w:spacing w:line="240" w:lineRule="auto"/>
      </w:pPr>
      <w:r>
        <w:separator/>
      </w:r>
    </w:p>
  </w:endnote>
  <w:endnote w:type="continuationSeparator" w:id="0">
    <w:p w14:paraId="4CFD6719" w14:textId="77777777" w:rsidR="007418C1" w:rsidRDefault="007418C1" w:rsidP="00542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781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A5F7A" w14:textId="504AA426" w:rsidR="00542993" w:rsidRDefault="0054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FFF230" w14:textId="77777777" w:rsidR="00542993" w:rsidRDefault="00542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3D4BC" w14:textId="77777777" w:rsidR="007418C1" w:rsidRDefault="007418C1" w:rsidP="00542993">
      <w:pPr>
        <w:spacing w:line="240" w:lineRule="auto"/>
      </w:pPr>
      <w:r>
        <w:separator/>
      </w:r>
    </w:p>
  </w:footnote>
  <w:footnote w:type="continuationSeparator" w:id="0">
    <w:p w14:paraId="0109D17A" w14:textId="77777777" w:rsidR="007418C1" w:rsidRDefault="007418C1" w:rsidP="005429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C4E7F"/>
    <w:multiLevelType w:val="multilevel"/>
    <w:tmpl w:val="487872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62"/>
    <w:rsid w:val="00542993"/>
    <w:rsid w:val="007418C1"/>
    <w:rsid w:val="00A2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A20F9-CAA9-4C0D-B2BD-174E5ED3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429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993"/>
  </w:style>
  <w:style w:type="paragraph" w:styleId="Footer">
    <w:name w:val="footer"/>
    <w:basedOn w:val="Normal"/>
    <w:link w:val="FooterChar"/>
    <w:uiPriority w:val="99"/>
    <w:unhideWhenUsed/>
    <w:rsid w:val="005429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luskin.ucla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.luskin.ucla.ed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nowledge.luskin.ucla.ed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nowledge.luskin.ucla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.luskin.ucla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UCLA CNK</cp:lastModifiedBy>
  <cp:revision>2</cp:revision>
  <dcterms:created xsi:type="dcterms:W3CDTF">2020-08-20T21:41:00Z</dcterms:created>
  <dcterms:modified xsi:type="dcterms:W3CDTF">2020-08-20T21:41:00Z</dcterms:modified>
</cp:coreProperties>
</file>