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Matt Nissen,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mnissen1@stanford.edu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CDFI (Treasury)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2011-2015 ACS, 2012-2016 ACS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Updated as of Dec 2018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Geographies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 states &amp; counties, Tract-level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Original dataset: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Qualified Opportunity Zones (12.14.18)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State, County, Census Tract Number, Tract Type, and ACS Data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New dataset: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Cleaned Opportunity Zones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FIPS codes (statefp, countyfp, tractce, geoid) &amp; tract_type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superfluous geographical data and unneeded ACS citations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one .do file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opportunity_zones.do</w:t>
        </w:r>
      </w:hyperlink>
      <w:r w:rsidDel="00000000" w:rsidR="00000000" w:rsidRPr="00000000">
        <w:rPr>
          <w:rtl w:val="0"/>
        </w:rPr>
        <w:t xml:space="preserve">), import the opportunity zone data and prepare for filtering.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Rename variables to appropriate names, then generate FIPS codes based on a substring of the total GEOID.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Filter for opportunity zones within the SPARCC regions of interest, using the codes found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Adjust the data to better match the order of existing Carto files, drop unneeded variables from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Description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[Used variables in final dataset]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statefp</w:t>
        <w:tab/>
        <w:tab/>
        <w:t xml:space="preserve">State FIPS Code (2010)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countyfp</w:t>
        <w:tab/>
        <w:t xml:space="preserve">County FIPS Code (2010)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tractce</w:t>
        <w:tab/>
        <w:tab/>
        <w:t xml:space="preserve">Census Tract FIPS Code (2010)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geoid</w:t>
        <w:tab/>
        <w:tab/>
        <w:t xml:space="preserve">Full FIPS Code (state, county, tract - 2010)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tract_type</w:t>
        <w:tab/>
        <w:t xml:space="preserve">Community type by income within the tract</w:t>
        <w:tab/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ltra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>
        <w:rFonts w:ascii="Ultra" w:cs="Ultra" w:eastAsia="Ultra" w:hAnsi="Ultra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SPARCC Opportunity Zones Readme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spreadsheets/d/1EPMmDpznvdPpq8RhdEeredvQgKr88wcSxBCRvXcVUvo/edit#gid=0" TargetMode="External"/><Relationship Id="rId9" Type="http://schemas.openxmlformats.org/officeDocument/2006/relationships/hyperlink" Target="https://drive.google.com/open?id=1T_mJG2mdn_zONMvfDfqalG2Y6r_XFFRx" TargetMode="External"/><Relationship Id="rId5" Type="http://schemas.openxmlformats.org/officeDocument/2006/relationships/styles" Target="styles.xml"/><Relationship Id="rId6" Type="http://schemas.openxmlformats.org/officeDocument/2006/relationships/hyperlink" Target="mailto:mnissen1@stanford.edu" TargetMode="External"/><Relationship Id="rId7" Type="http://schemas.openxmlformats.org/officeDocument/2006/relationships/hyperlink" Target="https://drive.google.com/open?id=1VQ58HHf7znI5yjmMI7njXxCckc_Wzu4O" TargetMode="External"/><Relationship Id="rId8" Type="http://schemas.openxmlformats.org/officeDocument/2006/relationships/hyperlink" Target="https://drive.google.com/open?id=1fw6AQktBg0SaWwMbg7UWYSg0W_g10Kh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ltr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