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Tajiya, Islami Firqe, Char Imam aur Zaroori Islami Istilahen</w:t>
      </w:r>
    </w:p>
    <w:p>
      <w:pPr>
        <w:pStyle w:val="Heading1"/>
        <w:spacing w:after="150" w:before="300"/>
      </w:pPr>
      <w:r>
        <w:t xml:space="preserve">1. Tajiya — Tareekh, Aghaz aur Waja</w:t>
      </w:r>
    </w:p>
    <w:p>
      <w:pPr>
        <w:spacing w:after="120"/>
      </w:pPr>
      <w:r>
        <w:t xml:space="preserve">Tajiya (Ta'ziya) Imam Hussain (R.A.) ki mazaar-e-Karbala ki ek chhoti replica hoti hai, jo Muharram me matam aur azadari ke doran banayi aur nikali jati hai. Yeh khaas taur par Shia riwayat se juda hua practice hai, lekin baad me barr-e-saghir (South Asia) me kuchh Sunni halqon me bhi 'taziyadari' ke naam se mila.</w:t>
      </w:r>
    </w:p>
    <w:p>
      <w:pPr>
        <w:pStyle w:val="Heading2"/>
        <w:spacing w:after="100" w:before="200"/>
      </w:pPr>
      <w:r>
        <w:t xml:space="preserve">Aghaz kab aur kisne kiya</w:t>
      </w:r>
    </w:p>
    <w:p>
      <w:pPr>
        <w:pStyle w:val="ListParagraph"/>
        <w:numPr>
          <w:ilvl w:val="0"/>
          <w:numId w:val="1"/>
        </w:numPr>
        <w:spacing w:after="80"/>
      </w:pPr>
      <w:r>
        <w:t xml:space="preserve">Zyadatar tareekhi hawalon (references) ke mutabiq Tajiya banane ki riwayat Hindustan me 1398 AD me shuru hui, jab Tamerlane (Amir Taimur / Timur Lung) ne Hindustan par hamla kiya.</w:t>
      </w:r>
    </w:p>
    <w:p>
      <w:pPr>
        <w:pStyle w:val="ListParagraph"/>
        <w:numPr>
          <w:ilvl w:val="0"/>
          <w:numId w:val="1"/>
        </w:numPr>
        <w:spacing w:after="80"/>
      </w:pPr>
      <w:r>
        <w:t xml:space="preserve">Kaha jata hai ke Timur har saal Muharram me Karbala (Imam Hussain R.A. ki mazaar) ziyarat ke liye jata tha. Ek saal bimari ya safar ki majboori ki wajah se woh Karbala nahi ja saka.</w:t>
      </w:r>
    </w:p>
    <w:p>
      <w:pPr>
        <w:pStyle w:val="ListParagraph"/>
        <w:numPr>
          <w:ilvl w:val="0"/>
          <w:numId w:val="1"/>
        </w:numPr>
        <w:spacing w:after="80"/>
      </w:pPr>
      <w:r>
        <w:t xml:space="preserve">Iske darbariyon ne mashwara diya ke Imam Hussain (R.A.) ki mazaar (Rauza Mubarak) ki ek nishani/replica banai jaye taake woh usi ke saamne apni aqeedat pesh kar sake. Isi tarah pehla 'Tajiya' banaya gaya, jisme Karbala ki khaas mitti (Khaak-e-Shifa) bhi lagai gayi thi.</w:t>
      </w:r>
    </w:p>
    <w:p>
      <w:pPr>
        <w:pStyle w:val="ListParagraph"/>
        <w:numPr>
          <w:ilvl w:val="0"/>
          <w:numId w:val="1"/>
        </w:numPr>
        <w:spacing w:after="80"/>
      </w:pPr>
      <w:r>
        <w:t xml:space="preserve">Waqt ke saath yeh riwayat Mughal daur me mazeed phaili, khaas taur par un logon me jo khud Karbala tak safar nahi kar sakte the, aur unhone ghar par hi ek prateek (symbol) rakhna shuru kiya.</w:t>
      </w:r>
    </w:p>
    <w:p>
      <w:pPr>
        <w:pStyle w:val="Heading2"/>
        <w:spacing w:after="100" w:before="200"/>
      </w:pPr>
      <w:r>
        <w:t xml:space="preserve">Zaroori Tareekh (Years wise)</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000"/>
        <w:gridCol w:w="6740"/>
      </w:tblGrid>
      <w:tr>
        <w:trPr>
          <w:tblHeader/>
        </w:trPr>
        <w:tc>
          <w:tcPr>
            <w:tcW w:type="dxa" w:w="3000"/>
            <w:shd w:fill="D9E2F3" w:color="auto" w:val="clear"/>
          </w:tcPr>
          <w:p>
            <w:r>
              <w:rPr>
                <w:b/>
                <w:bCs/>
              </w:rPr>
              <w:t xml:space="preserve">Saal / Daur</w:t>
            </w:r>
          </w:p>
        </w:tc>
        <w:tc>
          <w:tcPr>
            <w:tcW w:type="dxa" w:w="6740"/>
            <w:shd w:fill="D9E2F3" w:color="auto" w:val="clear"/>
          </w:tcPr>
          <w:p>
            <w:r>
              <w:rPr>
                <w:b/>
                <w:bCs/>
              </w:rPr>
              <w:t xml:space="preserve">Waqia</w:t>
            </w:r>
          </w:p>
        </w:tc>
      </w:tr>
      <w:tr>
        <w:tc>
          <w:tcPr>
            <w:tcW w:type="dxa" w:w="3000"/>
          </w:tcPr>
          <w:p>
            <w:r>
              <w:rPr>
                <w:b w:val="false"/>
                <w:bCs w:val="false"/>
              </w:rPr>
              <w:t xml:space="preserve">680 AD (61 Hijri)</w:t>
            </w:r>
          </w:p>
        </w:tc>
        <w:tc>
          <w:tcPr>
            <w:tcW w:type="dxa" w:w="6740"/>
          </w:tcPr>
          <w:p>
            <w:r>
              <w:rPr>
                <w:b w:val="false"/>
                <w:bCs w:val="false"/>
              </w:rPr>
              <w:t xml:space="preserve">Karbala ki jung — Imam Hussain (R.A.) ki shahadat, jiski yaad me Muharram manaya jata hai.</w:t>
            </w:r>
          </w:p>
        </w:tc>
      </w:tr>
      <w:tr>
        <w:tc>
          <w:tcPr>
            <w:tcW w:type="dxa" w:w="3000"/>
          </w:tcPr>
          <w:p>
            <w:r>
              <w:rPr>
                <w:b w:val="false"/>
                <w:bCs w:val="false"/>
              </w:rPr>
              <w:t xml:space="preserve">963 AD (Buyid daur)</w:t>
            </w:r>
          </w:p>
        </w:tc>
        <w:tc>
          <w:tcPr>
            <w:tcW w:type="dxa" w:w="6740"/>
          </w:tcPr>
          <w:p>
            <w:r>
              <w:rPr>
                <w:b w:val="false"/>
                <w:bCs w:val="false"/>
              </w:rPr>
              <w:t xml:space="preserve">Iran me Mu'izz ad-Dawla (Buyid hukmaran) ke daur me azadari/majlis ki riwayat ko sarkari sath mila.</w:t>
            </w:r>
          </w:p>
        </w:tc>
      </w:tr>
      <w:tr>
        <w:tc>
          <w:tcPr>
            <w:tcW w:type="dxa" w:w="3000"/>
          </w:tcPr>
          <w:p>
            <w:r>
              <w:rPr>
                <w:b w:val="false"/>
                <w:bCs w:val="false"/>
              </w:rPr>
              <w:t xml:space="preserve">1398 AD</w:t>
            </w:r>
          </w:p>
        </w:tc>
        <w:tc>
          <w:tcPr>
            <w:tcW w:type="dxa" w:w="6740"/>
          </w:tcPr>
          <w:p>
            <w:r>
              <w:rPr>
                <w:b w:val="false"/>
                <w:bCs w:val="false"/>
              </w:rPr>
              <w:t xml:space="preserve">Timur (Tamerlane) ke Hindustan par hamle ke waqt, riwayat ke mutabiq pehla Tajiya banaya gaya.</w:t>
            </w:r>
          </w:p>
        </w:tc>
      </w:tr>
      <w:tr>
        <w:tc>
          <w:tcPr>
            <w:tcW w:type="dxa" w:w="3000"/>
          </w:tcPr>
          <w:p>
            <w:r>
              <w:rPr>
                <w:b w:val="false"/>
                <w:bCs w:val="false"/>
              </w:rPr>
              <w:t xml:space="preserve">16vi sadi (Safavid daur)</w:t>
            </w:r>
          </w:p>
        </w:tc>
        <w:tc>
          <w:tcPr>
            <w:tcW w:type="dxa" w:w="6740"/>
          </w:tcPr>
          <w:p>
            <w:r>
              <w:rPr>
                <w:b w:val="false"/>
                <w:bCs w:val="false"/>
              </w:rPr>
              <w:t xml:space="preserve">Iran me Safavi hukumat ne Twelver Shia mazhab ko sarkari mazhab banaya; azadari aur Ta'ziyeh theatre ko farogh mila.</w:t>
            </w:r>
          </w:p>
        </w:tc>
      </w:tr>
      <w:tr>
        <w:tc>
          <w:tcPr>
            <w:tcW w:type="dxa" w:w="3000"/>
          </w:tcPr>
          <w:p>
            <w:r>
              <w:rPr>
                <w:b w:val="false"/>
                <w:bCs w:val="false"/>
              </w:rPr>
              <w:t xml:space="preserve">19vi sadi (Qajar daur)</w:t>
            </w:r>
          </w:p>
        </w:tc>
        <w:tc>
          <w:tcPr>
            <w:tcW w:type="dxa" w:w="6740"/>
          </w:tcPr>
          <w:p>
            <w:r>
              <w:rPr>
                <w:b w:val="false"/>
                <w:bCs w:val="false"/>
              </w:rPr>
              <w:t xml:space="preserve">Iran me Ta'ziyeh (passion play) apne 'peak' par pahuncha, khaas taur par Naser al-Din Shah Qajar (1848–1896) ke daur me.</w:t>
            </w:r>
          </w:p>
        </w:tc>
      </w:tr>
    </w:tbl>
    <w:p>
      <w:pPr>
        <w:spacing w:after="120"/>
      </w:pPr>
      <w:r>
        <w:t xml:space="preserve"/>
      </w:r>
    </w:p>
    <w:p>
      <w:pPr>
        <w:spacing w:after="120"/>
      </w:pPr>
      <w:r>
        <w:rPr>
          <w:i/>
          <w:iCs/>
        </w:rPr>
        <w:t xml:space="preserve">Wazahat: Kuchh Sunni ulama Tajiya banane/rakhne ko bid'ah (deen me naya izafa) manate hain, kyunke unke mutabiq iska koi asal Nabi (SAW) ya Sahaba ke daur se sabit nahi hota. Doosri taraf, Shia riwayat aur South Asia ki mushtarka thaqafat (shared culture) me ise azadari aur Imam Hussain (R.A.) se mohabbat ka izhaar mana jata hai. Yeh ek fiqhi aur aqeedati ikhtilaf (difference of opinion) ka mauzu hai.</w:t>
      </w:r>
    </w:p>
    <w:p>
      <w:pPr>
        <w:pageBreakBefore/>
      </w:pPr>
      <w:r>
        <w:t xml:space="preserve"/>
      </w:r>
    </w:p>
    <w:p>
      <w:pPr>
        <w:pStyle w:val="Heading1"/>
        <w:spacing w:after="150" w:before="300"/>
      </w:pPr>
      <w:r>
        <w:t xml:space="preserve">2. Islami Firqe (Sects) — Naam, Kab aur Kisne Shuru Kiya</w:t>
      </w:r>
    </w:p>
    <w:p>
      <w:pPr>
        <w:spacing w:after="120"/>
      </w:pPr>
      <w:r>
        <w:t xml:space="preserve">Islam ke ibtidayi daur me Khilafat aur rehnumai (leadership) ke masle par ikhtilaf hua, jisse mukhtalif firqe wajood me aaye. Neeche ek tareekh-wise fehrist (chronological list) di gayi hai.</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900"/>
        <w:gridCol w:w="3140"/>
      </w:tblGrid>
      <w:tr>
        <w:trPr>
          <w:tblHeader/>
        </w:trPr>
        <w:tc>
          <w:tcPr>
            <w:tcW w:type="dxa" w:w="1800"/>
            <w:shd w:fill="D9E2F3" w:color="auto" w:val="clear"/>
          </w:tcPr>
          <w:p>
            <w:r>
              <w:rPr>
                <w:b/>
                <w:bCs/>
              </w:rPr>
              <w:t xml:space="preserve">Firqa</w:t>
            </w:r>
          </w:p>
        </w:tc>
        <w:tc>
          <w:tcPr>
            <w:tcW w:type="dxa" w:w="1900"/>
            <w:shd w:fill="D9E2F3" w:color="auto" w:val="clear"/>
          </w:tcPr>
          <w:p>
            <w:r>
              <w:rPr>
                <w:b/>
                <w:bCs/>
              </w:rPr>
              <w:t xml:space="preserve">Kab Shuru Hua</w:t>
            </w:r>
          </w:p>
        </w:tc>
        <w:tc>
          <w:tcPr>
            <w:tcW w:type="dxa" w:w="2900"/>
            <w:shd w:fill="D9E2F3" w:color="auto" w:val="clear"/>
          </w:tcPr>
          <w:p>
            <w:r>
              <w:rPr>
                <w:b/>
                <w:bCs/>
              </w:rPr>
              <w:t xml:space="preserve">Kisne / Kaise Shuru Kiya</w:t>
            </w:r>
          </w:p>
        </w:tc>
        <w:tc>
          <w:tcPr>
            <w:tcW w:type="dxa" w:w="3140"/>
            <w:shd w:fill="D9E2F3" w:color="auto" w:val="clear"/>
          </w:tcPr>
          <w:p>
            <w:r>
              <w:rPr>
                <w:b/>
                <w:bCs/>
              </w:rPr>
              <w:t xml:space="preserve">Mukhtasar Waja</w:t>
            </w:r>
          </w:p>
        </w:tc>
      </w:tr>
      <w:tr>
        <w:tc>
          <w:tcPr>
            <w:tcW w:type="dxa" w:w="1800"/>
          </w:tcPr>
          <w:p>
            <w:r>
              <w:rPr>
                <w:b w:val="false"/>
                <w:bCs w:val="false"/>
              </w:rPr>
              <w:t xml:space="preserve">Kharijite (Khawarij)</w:t>
            </w:r>
          </w:p>
        </w:tc>
        <w:tc>
          <w:tcPr>
            <w:tcW w:type="dxa" w:w="1900"/>
          </w:tcPr>
          <w:p>
            <w:r>
              <w:rPr>
                <w:b w:val="false"/>
                <w:bCs w:val="false"/>
              </w:rPr>
              <w:t xml:space="preserve">656–661 AD (Pehla Fitna)</w:t>
            </w:r>
          </w:p>
        </w:tc>
        <w:tc>
          <w:tcPr>
            <w:tcW w:type="dxa" w:w="2900"/>
          </w:tcPr>
          <w:p>
            <w:r>
              <w:rPr>
                <w:b w:val="false"/>
                <w:bCs w:val="false"/>
              </w:rPr>
              <w:t xml:space="preserve">Hazrat Ali (R.A.) ke kuchh sathiyon ne unse alag hokar</w:t>
            </w:r>
          </w:p>
        </w:tc>
        <w:tc>
          <w:tcPr>
            <w:tcW w:type="dxa" w:w="3140"/>
          </w:tcPr>
          <w:p>
            <w:r>
              <w:rPr>
                <w:b w:val="false"/>
                <w:bCs w:val="false"/>
              </w:rPr>
              <w:t xml:space="preserve">Siffin ki jung me hakmiyat (arbitration) qabool karne par ikhtilaf; unka nara tha 'hukm sirf Allah ka hai'.</w:t>
            </w:r>
          </w:p>
        </w:tc>
      </w:tr>
      <w:tr>
        <w:tc>
          <w:tcPr>
            <w:tcW w:type="dxa" w:w="1800"/>
          </w:tcPr>
          <w:p>
            <w:r>
              <w:rPr>
                <w:b w:val="false"/>
                <w:bCs w:val="false"/>
              </w:rPr>
              <w:t xml:space="preserve">Shia</w:t>
            </w:r>
          </w:p>
        </w:tc>
        <w:tc>
          <w:tcPr>
            <w:tcW w:type="dxa" w:w="1900"/>
          </w:tcPr>
          <w:p>
            <w:r>
              <w:rPr>
                <w:b w:val="false"/>
                <w:bCs w:val="false"/>
              </w:rPr>
              <w:t xml:space="preserve">656–661 AD (Pehla Fitna) ke baad</w:t>
            </w:r>
          </w:p>
        </w:tc>
        <w:tc>
          <w:tcPr>
            <w:tcW w:type="dxa" w:w="2900"/>
          </w:tcPr>
          <w:p>
            <w:r>
              <w:rPr>
                <w:b w:val="false"/>
                <w:bCs w:val="false"/>
              </w:rPr>
              <w:t xml:space="preserve">Hazrat Ali (R.A.) ke muayyid (supporters)</w:t>
            </w:r>
          </w:p>
        </w:tc>
        <w:tc>
          <w:tcPr>
            <w:tcW w:type="dxa" w:w="3140"/>
          </w:tcPr>
          <w:p>
            <w:r>
              <w:rPr>
                <w:b w:val="false"/>
                <w:bCs w:val="false"/>
              </w:rPr>
              <w:t xml:space="preserve">Aqeeda ke mutabiq khilafat/imamat Hazrat Ali (R.A.) aur unki aulad ka haq thi.</w:t>
            </w:r>
          </w:p>
        </w:tc>
      </w:tr>
      <w:tr>
        <w:tc>
          <w:tcPr>
            <w:tcW w:type="dxa" w:w="1800"/>
          </w:tcPr>
          <w:p>
            <w:r>
              <w:rPr>
                <w:b w:val="false"/>
                <w:bCs w:val="false"/>
              </w:rPr>
              <w:t xml:space="preserve">Sunni (Ahl as-Sunnah wal-Jama'ah)</w:t>
            </w:r>
          </w:p>
        </w:tc>
        <w:tc>
          <w:tcPr>
            <w:tcW w:type="dxa" w:w="1900"/>
          </w:tcPr>
          <w:p>
            <w:r>
              <w:rPr>
                <w:b w:val="false"/>
                <w:bCs w:val="false"/>
              </w:rPr>
              <w:t xml:space="preserve">Isi daur me, baad me tafseeli tashkeel</w:t>
            </w:r>
          </w:p>
        </w:tc>
        <w:tc>
          <w:tcPr>
            <w:tcW w:type="dxa" w:w="2900"/>
          </w:tcPr>
          <w:p>
            <w:r>
              <w:rPr>
                <w:b w:val="false"/>
                <w:bCs w:val="false"/>
              </w:rPr>
              <w:t xml:space="preserve">Aam Muslim jama'at jo Khulafa-e-Rashideen (Abu Bakr, Umar, Uthman, Ali) sabko haq khalifa mante hain</w:t>
            </w:r>
          </w:p>
        </w:tc>
        <w:tc>
          <w:tcPr>
            <w:tcW w:type="dxa" w:w="3140"/>
          </w:tcPr>
          <w:p>
            <w:r>
              <w:rPr>
                <w:b w:val="false"/>
                <w:bCs w:val="false"/>
              </w:rPr>
              <w:t xml:space="preserve">Sahaba ke ijma aur Sunnat par amal ko buniyad banaya.</w:t>
            </w:r>
          </w:p>
        </w:tc>
      </w:tr>
      <w:tr>
        <w:tc>
          <w:tcPr>
            <w:tcW w:type="dxa" w:w="1800"/>
          </w:tcPr>
          <w:p>
            <w:r>
              <w:rPr>
                <w:b w:val="false"/>
                <w:bCs w:val="false"/>
              </w:rPr>
              <w:t xml:space="preserve">Mu'tazila</w:t>
            </w:r>
          </w:p>
        </w:tc>
        <w:tc>
          <w:tcPr>
            <w:tcW w:type="dxa" w:w="1900"/>
          </w:tcPr>
          <w:p>
            <w:r>
              <w:rPr>
                <w:b w:val="false"/>
                <w:bCs w:val="false"/>
              </w:rPr>
              <w:t xml:space="preserve">Taqreeban 8vi sadi (Wasil bin Ata, wafat 748 AD)</w:t>
            </w:r>
          </w:p>
        </w:tc>
        <w:tc>
          <w:tcPr>
            <w:tcW w:type="dxa" w:w="2900"/>
          </w:tcPr>
          <w:p>
            <w:r>
              <w:rPr>
                <w:b w:val="false"/>
                <w:bCs w:val="false"/>
              </w:rPr>
              <w:t xml:space="preserve">Wasil bin Ata ne Hasan al-Basri ki majlis se alag hokar</w:t>
            </w:r>
          </w:p>
        </w:tc>
        <w:tc>
          <w:tcPr>
            <w:tcW w:type="dxa" w:w="3140"/>
          </w:tcPr>
          <w:p>
            <w:r>
              <w:rPr>
                <w:b w:val="false"/>
                <w:bCs w:val="false"/>
              </w:rPr>
              <w:t xml:space="preserve">Aql (reason) ko naqli daleel ke sath jorne wala aqeedati/kalami maktab; baad me Sunni ulama ne iske kuchh aqaid ko rad kiya.</w:t>
            </w:r>
          </w:p>
        </w:tc>
      </w:tr>
      <w:tr>
        <w:tc>
          <w:tcPr>
            <w:tcW w:type="dxa" w:w="1800"/>
          </w:tcPr>
          <w:p>
            <w:r>
              <w:rPr>
                <w:b w:val="false"/>
                <w:bCs w:val="false"/>
              </w:rPr>
              <w:t xml:space="preserve">Ibadiyya</w:t>
            </w:r>
          </w:p>
        </w:tc>
        <w:tc>
          <w:tcPr>
            <w:tcW w:type="dxa" w:w="1900"/>
          </w:tcPr>
          <w:p>
            <w:r>
              <w:rPr>
                <w:b w:val="false"/>
                <w:bCs w:val="false"/>
              </w:rPr>
              <w:t xml:space="preserve">7vi–8vi sadi, Kharijite tehreek ka moderate hissa</w:t>
            </w:r>
          </w:p>
        </w:tc>
        <w:tc>
          <w:tcPr>
            <w:tcW w:type="dxa" w:w="2900"/>
          </w:tcPr>
          <w:p>
            <w:r>
              <w:rPr>
                <w:b w:val="false"/>
                <w:bCs w:val="false"/>
              </w:rPr>
              <w:t xml:space="preserve">Kharijiyon ke ek naram (moderate) giroh se</w:t>
            </w:r>
          </w:p>
        </w:tc>
        <w:tc>
          <w:tcPr>
            <w:tcW w:type="dxa" w:w="3140"/>
          </w:tcPr>
          <w:p>
            <w:r>
              <w:rPr>
                <w:b w:val="false"/>
                <w:bCs w:val="false"/>
              </w:rPr>
              <w:t xml:space="preserve">Aaj tak baaqi rehne wala Kharijite firqa, khaas taur par Oman me.</w:t>
            </w:r>
          </w:p>
        </w:tc>
      </w:tr>
      <w:tr>
        <w:tc>
          <w:tcPr>
            <w:tcW w:type="dxa" w:w="1800"/>
          </w:tcPr>
          <w:p>
            <w:r>
              <w:rPr>
                <w:b w:val="false"/>
                <w:bCs w:val="false"/>
              </w:rPr>
              <w:t xml:space="preserve">Ismaili (Shia ka ek shakh)</w:t>
            </w:r>
          </w:p>
        </w:tc>
        <w:tc>
          <w:tcPr>
            <w:tcW w:type="dxa" w:w="1900"/>
          </w:tcPr>
          <w:p>
            <w:r>
              <w:rPr>
                <w:b w:val="false"/>
                <w:bCs w:val="false"/>
              </w:rPr>
              <w:t xml:space="preserve">8vi sadi (765 AD ke Imamat ikhtilaf ke baad)</w:t>
            </w:r>
          </w:p>
        </w:tc>
        <w:tc>
          <w:tcPr>
            <w:tcW w:type="dxa" w:w="2900"/>
          </w:tcPr>
          <w:p>
            <w:r>
              <w:rPr>
                <w:b w:val="false"/>
                <w:bCs w:val="false"/>
              </w:rPr>
              <w:t xml:space="preserve">Imam Ja'far al-Sadiq ke baad unke bete Ismail ke pairokaron ne</w:t>
            </w:r>
          </w:p>
        </w:tc>
        <w:tc>
          <w:tcPr>
            <w:tcW w:type="dxa" w:w="3140"/>
          </w:tcPr>
          <w:p>
            <w:r>
              <w:rPr>
                <w:b w:val="false"/>
                <w:bCs w:val="false"/>
              </w:rPr>
              <w:t xml:space="preserve">Imamat ka silsila Ismail aur unki aulad se manna.</w:t>
            </w:r>
          </w:p>
        </w:tc>
      </w:tr>
      <w:tr>
        <w:tc>
          <w:tcPr>
            <w:tcW w:type="dxa" w:w="1800"/>
          </w:tcPr>
          <w:p>
            <w:r>
              <w:rPr>
                <w:b w:val="false"/>
                <w:bCs w:val="false"/>
              </w:rPr>
              <w:t xml:space="preserve">Zaidiyya (Shia ka ek shakh)</w:t>
            </w:r>
          </w:p>
        </w:tc>
        <w:tc>
          <w:tcPr>
            <w:tcW w:type="dxa" w:w="1900"/>
          </w:tcPr>
          <w:p>
            <w:r>
              <w:rPr>
                <w:b w:val="false"/>
                <w:bCs w:val="false"/>
              </w:rPr>
              <w:t xml:space="preserve">8vi sadi (Zaid bin Ali, wafat 740 AD)</w:t>
            </w:r>
          </w:p>
        </w:tc>
        <w:tc>
          <w:tcPr>
            <w:tcW w:type="dxa" w:w="2900"/>
          </w:tcPr>
          <w:p>
            <w:r>
              <w:rPr>
                <w:b w:val="false"/>
                <w:bCs w:val="false"/>
              </w:rPr>
              <w:t xml:space="preserve">Zaid ibn Ali ke pairokaron ne</w:t>
            </w:r>
          </w:p>
        </w:tc>
        <w:tc>
          <w:tcPr>
            <w:tcW w:type="dxa" w:w="3140"/>
          </w:tcPr>
          <w:p>
            <w:r>
              <w:rPr>
                <w:b w:val="false"/>
                <w:bCs w:val="false"/>
              </w:rPr>
              <w:t xml:space="preserve">Zaid ibn Ali ki rehnumai aur unke fiqhi manhaj ko maana.</w:t>
            </w:r>
          </w:p>
        </w:tc>
      </w:tr>
      <w:tr>
        <w:tc>
          <w:tcPr>
            <w:tcW w:type="dxa" w:w="1800"/>
          </w:tcPr>
          <w:p>
            <w:r>
              <w:rPr>
                <w:b w:val="false"/>
                <w:bCs w:val="false"/>
              </w:rPr>
              <w:t xml:space="preserve">Alawi</w:t>
            </w:r>
          </w:p>
        </w:tc>
        <w:tc>
          <w:tcPr>
            <w:tcW w:type="dxa" w:w="1900"/>
          </w:tcPr>
          <w:p>
            <w:r>
              <w:rPr>
                <w:b w:val="false"/>
                <w:bCs w:val="false"/>
              </w:rPr>
              <w:t xml:space="preserve">9vi–10vi sadi</w:t>
            </w:r>
          </w:p>
        </w:tc>
        <w:tc>
          <w:tcPr>
            <w:tcW w:type="dxa" w:w="2900"/>
          </w:tcPr>
          <w:p>
            <w:r>
              <w:rPr>
                <w:b w:val="false"/>
                <w:bCs w:val="false"/>
              </w:rPr>
              <w:t xml:space="preserve">Muhammad ibn Nusayr ke pairokaron ne</w:t>
            </w:r>
          </w:p>
        </w:tc>
        <w:tc>
          <w:tcPr>
            <w:tcW w:type="dxa" w:w="3140"/>
          </w:tcPr>
          <w:p>
            <w:r>
              <w:rPr>
                <w:b w:val="false"/>
                <w:bCs w:val="false"/>
              </w:rPr>
              <w:t xml:space="preserve">Ek mustaqil aqeedati giroh, jise classic Twelver Shia ulama ne bhi Shia maanne se inkar kiya hai.</w:t>
            </w:r>
          </w:p>
        </w:tc>
      </w:tr>
      <w:tr>
        <w:tc>
          <w:tcPr>
            <w:tcW w:type="dxa" w:w="1800"/>
          </w:tcPr>
          <w:p>
            <w:r>
              <w:rPr>
                <w:b w:val="false"/>
                <w:bCs w:val="false"/>
              </w:rPr>
              <w:t xml:space="preserve">Druze</w:t>
            </w:r>
          </w:p>
        </w:tc>
        <w:tc>
          <w:tcPr>
            <w:tcW w:type="dxa" w:w="1900"/>
          </w:tcPr>
          <w:p>
            <w:r>
              <w:rPr>
                <w:b w:val="false"/>
                <w:bCs w:val="false"/>
              </w:rPr>
              <w:t xml:space="preserve">11vi sadi (1017 AD ke baad)</w:t>
            </w:r>
          </w:p>
        </w:tc>
        <w:tc>
          <w:tcPr>
            <w:tcW w:type="dxa" w:w="2900"/>
          </w:tcPr>
          <w:p>
            <w:r>
              <w:rPr>
                <w:b w:val="false"/>
                <w:bCs w:val="false"/>
              </w:rPr>
              <w:t xml:space="preserve">Fatimi khalifa al-Hakim bi-Amr Allah se mansoob dawat se</w:t>
            </w:r>
          </w:p>
        </w:tc>
        <w:tc>
          <w:tcPr>
            <w:tcW w:type="dxa" w:w="3140"/>
          </w:tcPr>
          <w:p>
            <w:r>
              <w:rPr>
                <w:b w:val="false"/>
                <w:bCs w:val="false"/>
              </w:rPr>
              <w:t xml:space="preserve">Ek mustaqil deen/firqa jo waqt ke saath Islam se alag shumar hone laga.</w:t>
            </w:r>
          </w:p>
        </w:tc>
      </w:tr>
    </w:tbl>
    <w:p>
      <w:pPr>
        <w:spacing w:after="120"/>
      </w:pPr>
      <w:r>
        <w:t xml:space="preserve"/>
      </w:r>
    </w:p>
    <w:p>
      <w:pPr>
        <w:pStyle w:val="Heading2"/>
        <w:spacing w:after="100" w:before="200"/>
      </w:pPr>
      <w:r>
        <w:t xml:space="preserve">Barr-e-Saghir (South Asia) ke Sunni Firqe — Deobandi, Barelvi, Ahle Hadith</w:t>
      </w:r>
    </w:p>
    <w:p>
      <w:pPr>
        <w:spacing w:after="120"/>
      </w:pPr>
      <w:r>
        <w:t xml:space="preserve">Upar diye gaye firqe (Sunni, Shia waghera) bahut purane hain. Lekin Hindustan/Pakistan me 19vi sadi (British daur) me Sunni Muslamanon ke andar bhi teen alag maslak/tehreekein bani, jo aaj sab se zyada jani jati hain.</w:t>
      </w:r>
    </w:p>
    <w:tbl>
      <w:tblPr>
        <w:tblW w:type="dxa" w:w="1014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600"/>
        <w:gridCol w:w="3040"/>
      </w:tblGrid>
      <w:tr>
        <w:trPr>
          <w:tblHeader/>
        </w:trPr>
        <w:tc>
          <w:tcPr>
            <w:tcW w:type="dxa" w:w="2000"/>
            <w:shd w:fill="D9E2F3" w:color="auto" w:val="clear"/>
          </w:tcPr>
          <w:p>
            <w:r>
              <w:rPr>
                <w:b/>
                <w:bCs/>
              </w:rPr>
              <w:t xml:space="preserve">Maslak/Tehreek</w:t>
            </w:r>
          </w:p>
        </w:tc>
        <w:tc>
          <w:tcPr>
            <w:tcW w:type="dxa" w:w="2500"/>
            <w:shd w:fill="D9E2F3" w:color="auto" w:val="clear"/>
          </w:tcPr>
          <w:p>
            <w:r>
              <w:rPr>
                <w:b/>
                <w:bCs/>
              </w:rPr>
              <w:t xml:space="preserve">Kab Shuru Hua</w:t>
            </w:r>
          </w:p>
        </w:tc>
        <w:tc>
          <w:tcPr>
            <w:tcW w:type="dxa" w:w="2600"/>
            <w:shd w:fill="D9E2F3" w:color="auto" w:val="clear"/>
          </w:tcPr>
          <w:p>
            <w:r>
              <w:rPr>
                <w:b/>
                <w:bCs/>
              </w:rPr>
              <w:t xml:space="preserve">Kisne Shuru Kiya</w:t>
            </w:r>
          </w:p>
        </w:tc>
        <w:tc>
          <w:tcPr>
            <w:tcW w:type="dxa" w:w="3040"/>
            <w:shd w:fill="D9E2F3" w:color="auto" w:val="clear"/>
          </w:tcPr>
          <w:p>
            <w:r>
              <w:rPr>
                <w:b/>
                <w:bCs/>
              </w:rPr>
              <w:t xml:space="preserve">Kyun Shuru Hua</w:t>
            </w:r>
          </w:p>
        </w:tc>
      </w:tr>
      <w:tr>
        <w:tc>
          <w:tcPr>
            <w:tcW w:type="dxa" w:w="2000"/>
          </w:tcPr>
          <w:p>
            <w:r>
              <w:rPr>
                <w:b w:val="false"/>
                <w:bCs w:val="false"/>
              </w:rPr>
              <w:t xml:space="preserve">Deobandi</w:t>
            </w:r>
          </w:p>
        </w:tc>
        <w:tc>
          <w:tcPr>
            <w:tcW w:type="dxa" w:w="2500"/>
          </w:tcPr>
          <w:p>
            <w:r>
              <w:rPr>
                <w:b w:val="false"/>
                <w:bCs w:val="false"/>
              </w:rPr>
              <w:t xml:space="preserve">1866–1867 AD (British daur, 1857 ki baghawat ke baad)</w:t>
            </w:r>
          </w:p>
        </w:tc>
        <w:tc>
          <w:tcPr>
            <w:tcW w:type="dxa" w:w="2600"/>
          </w:tcPr>
          <w:p>
            <w:r>
              <w:rPr>
                <w:b w:val="false"/>
                <w:bCs w:val="false"/>
              </w:rPr>
              <w:t xml:space="preserve">Maulana Muhammad Qasim Nanautavi aur Maulana Rashid Ahmad Gangohi ne Deoband (UP) me Darul Uloom Deoband qayam kiya</w:t>
            </w:r>
          </w:p>
        </w:tc>
        <w:tc>
          <w:tcPr>
            <w:tcW w:type="dxa" w:w="3040"/>
          </w:tcPr>
          <w:p>
            <w:r>
              <w:rPr>
                <w:b w:val="false"/>
                <w:bCs w:val="false"/>
              </w:rPr>
              <w:t xml:space="preserve">1857 ki nakami ke baad Muslamanon ki deeni talim aur shanakht ko British asar se bachane aur bid'ah/rasoomat se paak, Hanafi fiqh par mabni Sunni Islam ko mazboot karne ke liye.</w:t>
            </w:r>
          </w:p>
        </w:tc>
      </w:tr>
      <w:tr>
        <w:tc>
          <w:tcPr>
            <w:tcW w:type="dxa" w:w="2000"/>
          </w:tcPr>
          <w:p>
            <w:r>
              <w:rPr>
                <w:b w:val="false"/>
                <w:bCs w:val="false"/>
              </w:rPr>
              <w:t xml:space="preserve">Barelvi (Ahle Sunnat wa Jama'at)</w:t>
            </w:r>
          </w:p>
        </w:tc>
        <w:tc>
          <w:tcPr>
            <w:tcW w:type="dxa" w:w="2500"/>
          </w:tcPr>
          <w:p>
            <w:r>
              <w:rPr>
                <w:b w:val="false"/>
                <w:bCs w:val="false"/>
              </w:rPr>
              <w:t xml:space="preserve">1880 ke aas-paas shuru hui, 1904 me Manzar-e-Islam madrasa qayam</w:t>
            </w:r>
          </w:p>
        </w:tc>
        <w:tc>
          <w:tcPr>
            <w:tcW w:type="dxa" w:w="2600"/>
          </w:tcPr>
          <w:p>
            <w:r>
              <w:rPr>
                <w:b w:val="false"/>
                <w:bCs w:val="false"/>
              </w:rPr>
              <w:t xml:space="preserve">Imam Ahmad Raza Khan (Bareilly, UP) ne</w:t>
            </w:r>
          </w:p>
        </w:tc>
        <w:tc>
          <w:tcPr>
            <w:tcW w:type="dxa" w:w="3040"/>
          </w:tcPr>
          <w:p>
            <w:r>
              <w:rPr>
                <w:b w:val="false"/>
                <w:bCs w:val="false"/>
              </w:rPr>
              <w:t xml:space="preserve">Deobandi aur Wahabi tehreekon ke muqable me roayati Sufi Sunni Islam (Milad, mazaraat ki ziyarat, Nabi (SAW) se aqeedat) ka difa karne ke liye.</w:t>
            </w:r>
          </w:p>
        </w:tc>
      </w:tr>
      <w:tr>
        <w:tc>
          <w:tcPr>
            <w:tcW w:type="dxa" w:w="2000"/>
          </w:tcPr>
          <w:p>
            <w:r>
              <w:rPr>
                <w:b w:val="false"/>
                <w:bCs w:val="false"/>
              </w:rPr>
              <w:t xml:space="preserve">Ahle Hadith</w:t>
            </w:r>
          </w:p>
        </w:tc>
        <w:tc>
          <w:tcPr>
            <w:tcW w:type="dxa" w:w="2500"/>
          </w:tcPr>
          <w:p>
            <w:r>
              <w:rPr>
                <w:b w:val="false"/>
                <w:bCs w:val="false"/>
              </w:rPr>
              <w:t xml:space="preserve">Taqreeban 1864–1870 AD</w:t>
            </w:r>
          </w:p>
        </w:tc>
        <w:tc>
          <w:tcPr>
            <w:tcW w:type="dxa" w:w="2600"/>
          </w:tcPr>
          <w:p>
            <w:r>
              <w:rPr>
                <w:b w:val="false"/>
                <w:bCs w:val="false"/>
              </w:rPr>
              <w:t xml:space="preserve">Syed Nazeer Hussain Dehlvi (Delhi) aur Nawab Siddiq Hasan Khan (Bhopal) ne</w:t>
            </w:r>
          </w:p>
        </w:tc>
        <w:tc>
          <w:tcPr>
            <w:tcW w:type="dxa" w:w="3040"/>
          </w:tcPr>
          <w:p>
            <w:r>
              <w:rPr>
                <w:b w:val="false"/>
                <w:bCs w:val="false"/>
              </w:rPr>
              <w:t xml:space="preserve">Sirf Quran aur Hadith ko buniyad manne aur char fiqhi maktabon ki taqlid (blind following) ko chhodne ka nazariya failane ke liye; yeh Shah Waliullah Dehlvi ki fikr se mutasir the.</w:t>
            </w:r>
          </w:p>
        </w:tc>
      </w:tr>
    </w:tbl>
    <w:p>
      <w:pPr>
        <w:spacing w:after="120"/>
      </w:pPr>
      <w:r>
        <w:t xml:space="preserve"/>
      </w:r>
    </w:p>
    <w:p>
      <w:pPr>
        <w:spacing w:after="120"/>
      </w:pPr>
      <w:r>
        <w:rPr>
          <w:i/>
          <w:iCs/>
        </w:rPr>
        <w:t xml:space="preserve">Wazahat: In teenon maslakon ke pairokar khud ko 'asal Sunni Islam' ka numainda kehte hain aur ek-doosre ke baaz aqaid se ikhtilaf rakhte hain (khaas taur par Deobandi–Barelvi ikhtilaf mash'hoor hai). Yeh mazhabi/fiqhi ikhtilaf hai, aur teenon Islam ke hi andar shumar hote hain.</w:t>
      </w:r>
    </w:p>
    <w:p>
      <w:pPr>
        <w:pStyle w:val="Heading2"/>
        <w:spacing w:after="100" w:before="200"/>
      </w:pPr>
      <w:r>
        <w:t xml:space="preserve">Deoband aur Bareilly Shehar — Naam Kab Aaya</w:t>
      </w:r>
    </w:p>
    <w:tbl>
      <w:tblPr>
        <w:tblW w:type="dxa" w:w="1014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140"/>
      </w:tblGrid>
      <w:tr>
        <w:trPr>
          <w:tblHeader/>
        </w:trPr>
        <w:tc>
          <w:tcPr>
            <w:tcW w:type="dxa" w:w="2000"/>
            <w:shd w:fill="D9E2F3" w:color="auto" w:val="clear"/>
          </w:tcPr>
          <w:p>
            <w:r>
              <w:rPr>
                <w:b/>
                <w:bCs/>
              </w:rPr>
              <w:t xml:space="preserve">Shehar</w:t>
            </w:r>
          </w:p>
        </w:tc>
        <w:tc>
          <w:tcPr>
            <w:tcW w:type="dxa" w:w="4000"/>
            <w:shd w:fill="D9E2F3" w:color="auto" w:val="clear"/>
          </w:tcPr>
          <w:p>
            <w:r>
              <w:rPr>
                <w:b/>
                <w:bCs/>
              </w:rPr>
              <w:t xml:space="preserve">Shehar Kab Basaa</w:t>
            </w:r>
          </w:p>
        </w:tc>
        <w:tc>
          <w:tcPr>
            <w:tcW w:type="dxa" w:w="4140"/>
            <w:shd w:fill="D9E2F3" w:color="auto" w:val="clear"/>
          </w:tcPr>
          <w:p>
            <w:r>
              <w:rPr>
                <w:b/>
                <w:bCs/>
              </w:rPr>
              <w:t xml:space="preserve">Naam ki Tareekh</w:t>
            </w:r>
          </w:p>
        </w:tc>
      </w:tr>
      <w:tr>
        <w:tc>
          <w:tcPr>
            <w:tcW w:type="dxa" w:w="2000"/>
          </w:tcPr>
          <w:p>
            <w:r>
              <w:rPr>
                <w:b w:val="false"/>
                <w:bCs w:val="false"/>
              </w:rPr>
              <w:t xml:space="preserve">Deoband (Saharanpur, UP)</w:t>
            </w:r>
          </w:p>
        </w:tc>
        <w:tc>
          <w:tcPr>
            <w:tcW w:type="dxa" w:w="4000"/>
          </w:tcPr>
          <w:p>
            <w:r>
              <w:rPr>
                <w:b w:val="false"/>
                <w:bCs w:val="false"/>
              </w:rPr>
              <w:t xml:space="preserve">Sadiyon purana qasba; kuchh riwayaton me Mahabharata daur se juda mana jata hai. Ain-i-Akbari (16vi sadi) me bhi iska zikar milta hai.</w:t>
            </w:r>
          </w:p>
        </w:tc>
        <w:tc>
          <w:tcPr>
            <w:tcW w:type="dxa" w:w="4140"/>
          </w:tcPr>
          <w:p>
            <w:r>
              <w:rPr>
                <w:b w:val="false"/>
                <w:bCs w:val="false"/>
              </w:rPr>
              <w:t xml:space="preserve">Naam 'Deoband'/'Devband' Islam se pehle ka Hindi/Sanskrit naam hai — 'Devi' (devi) + 'Van' (jungle) se bana, ya 'Devi Vandan' se. Yeh shehar ka asal naam tha, jo Darul Uloom Deoband (1866) se bahut pehle se maujood tha. Deobandi tehreek ka naam is shehar ke naam par pada, na ke shehar ka naam tehreek ke baad rakha gaya.</w:t>
            </w:r>
          </w:p>
        </w:tc>
      </w:tr>
      <w:tr>
        <w:tc>
          <w:tcPr>
            <w:tcW w:type="dxa" w:w="2000"/>
          </w:tcPr>
          <w:p>
            <w:r>
              <w:rPr>
                <w:b w:val="false"/>
                <w:bCs w:val="false"/>
              </w:rPr>
              <w:t xml:space="preserve">Bareilly (Rohilkhand, UP)</w:t>
            </w:r>
          </w:p>
        </w:tc>
        <w:tc>
          <w:tcPr>
            <w:tcW w:type="dxa" w:w="4000"/>
          </w:tcPr>
          <w:p>
            <w:r>
              <w:rPr>
                <w:b w:val="false"/>
                <w:bCs w:val="false"/>
              </w:rPr>
              <w:t xml:space="preserve">Shehar ki bunyad 1537 AD me Rajput sardar Jagat Singh Katehriya ne rakhi; 1657 AD me Mughal governor Mukrand Rai ne isay dobara basaya/mazboot kiya.</w:t>
            </w:r>
          </w:p>
        </w:tc>
        <w:tc>
          <w:tcPr>
            <w:tcW w:type="dxa" w:w="4140"/>
          </w:tcPr>
          <w:p>
            <w:r>
              <w:rPr>
                <w:b w:val="false"/>
                <w:bCs w:val="false"/>
              </w:rPr>
              <w:t xml:space="preserve">Naam 'Bans-Bareli' — Jagat Singh ke do beton Bansaldev aur Bareldev ke naam se bana, jo waqt ke saath 'Bareli' phir 'Bareilly' ban gaya. Yeh naam bhi Ahmad Raza Khan (paida 1856) aur Barelvi tehreek (1880s) se sadiyon pehle se maujood tha. Barelvi tehreek ka naam is shehar (unki janm-bhoomi) ke naam par pada.</w:t>
            </w:r>
          </w:p>
        </w:tc>
      </w:tr>
    </w:tbl>
    <w:p>
      <w:pPr>
        <w:spacing w:after="120"/>
      </w:pPr>
      <w:r>
        <w:t xml:space="preserve"/>
      </w:r>
    </w:p>
    <w:p>
      <w:pPr>
        <w:spacing w:after="120"/>
      </w:pPr>
      <w:r>
        <w:rPr>
          <w:b/>
          <w:bCs/>
        </w:rPr>
        <w:t xml:space="preserve">Mukhtasar yeh ke: na 'Deoband' aur na 'Bareilly' Islami tehreekon ke naam par rakhe gaye the — dono shehar sadiyon se apne inhi naamon se maujood the. Baad me 19vi sadi me jab wahan Islami tehreekein shuru hui, to unhe unke sheheron ke naam se pehchana gaya (jaise 'Deobandi' aur 'Barelvi').</w:t>
      </w:r>
    </w:p>
    <w:p>
      <w:pPr>
        <w:pStyle w:val="Heading2"/>
        <w:spacing w:after="100" w:before="200"/>
      </w:pPr>
      <w:r>
        <w:t xml:space="preserve">Sheikh Abdul Qadir Jilani (R.A.) — Tareekh aur Fiqh</w:t>
      </w:r>
    </w:p>
    <w:p>
      <w:pPr>
        <w:pStyle w:val="ListParagraph"/>
        <w:numPr>
          <w:ilvl w:val="0"/>
          <w:numId w:val="1"/>
        </w:numPr>
        <w:spacing w:after="80"/>
      </w:pPr>
      <w:r>
        <w:t xml:space="preserve">Wiladat (Birth): 1077–1078 AD (470 Hijri), Gilan, Iran (kuchh riwayaton me maah Ramadan).</w:t>
      </w:r>
    </w:p>
    <w:p>
      <w:pPr>
        <w:pStyle w:val="ListParagraph"/>
        <w:numPr>
          <w:ilvl w:val="0"/>
          <w:numId w:val="1"/>
        </w:numPr>
        <w:spacing w:after="80"/>
      </w:pPr>
      <w:r>
        <w:t xml:space="preserve">Wafat (Death): 1166 AD (561 Hijri), Baghdad me. Urs/wafat ki taareekh 11 Rabi' al-Thani hai, jise South Asia me 'Gyarhvi Sharif' kaha jata hai.</w:t>
      </w:r>
    </w:p>
    <w:p>
      <w:pPr>
        <w:pStyle w:val="ListParagraph"/>
        <w:numPr>
          <w:ilvl w:val="0"/>
          <w:numId w:val="1"/>
        </w:numPr>
        <w:spacing w:after="80"/>
      </w:pPr>
      <w:r>
        <w:t xml:space="preserve">Fiqh: Aap (R.A.) buniyadi taur par Hanbali fiqh ke aalim the aur unhone Hanbali usool par talim hasil ki thi. Halaanke woh Shafi'i fiqh me bhi mahir the aur dono maktabon (Hanbali aur Shafi'i) ki bunyad par fatwa de sakte the — isi wajah se unhe 'Baghdad ke Shafi'iyon aur Hanbaliyon ke Sheikh' kaha gaya.</w:t>
      </w:r>
    </w:p>
    <w:p>
      <w:pPr>
        <w:pStyle w:val="ListParagraph"/>
        <w:numPr>
          <w:ilvl w:val="0"/>
          <w:numId w:val="1"/>
        </w:numPr>
        <w:spacing w:after="80"/>
      </w:pPr>
      <w:r>
        <w:t xml:space="preserve">Aap Qadiriyya Sufi silsile ke bani (founder) hain, jo aaj tak duniya ke sab se purane aur mash'hoor Sufi tareeqon me se ek hai.</w:t>
      </w:r>
    </w:p>
    <w:p>
      <w:pPr>
        <w:pageBreakBefore/>
      </w:pPr>
      <w:r>
        <w:t xml:space="preserve"/>
      </w:r>
    </w:p>
    <w:p>
      <w:pPr>
        <w:pStyle w:val="Heading1"/>
        <w:spacing w:after="150" w:before="300"/>
      </w:pPr>
      <w:r>
        <w:t xml:space="preserve">3. Char Imam (Fiqh ke Bani) — Wiladat aur Wafat</w:t>
      </w:r>
    </w:p>
    <w:p>
      <w:pPr>
        <w:spacing w:after="120"/>
      </w:pPr>
      <w:r>
        <w:t xml:space="preserve">Sunni fiqh me char bade Imam hain, jinke naam par char fiqhi maktab (madhhab) mash'hoor hain: Hanafi, Maliki, Shafi'i aur Hanbali. Yeh char Imam khud ko mustaqil firqa nahi mante the, balki Quran-o-Sunnat ki bunyad par ijtihad karte the.</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300"/>
        <w:gridCol w:w="1600"/>
        <w:gridCol w:w="2100"/>
        <w:gridCol w:w="1900"/>
        <w:gridCol w:w="840"/>
      </w:tblGrid>
      <w:tr>
        <w:trPr>
          <w:tblHeader/>
        </w:trPr>
        <w:tc>
          <w:tcPr>
            <w:tcW w:type="dxa" w:w="3300"/>
            <w:shd w:fill="D9E2F3" w:color="auto" w:val="clear"/>
          </w:tcPr>
          <w:p>
            <w:r>
              <w:rPr>
                <w:b/>
                <w:bCs/>
              </w:rPr>
              <w:t xml:space="preserve">Imam</w:t>
            </w:r>
          </w:p>
        </w:tc>
        <w:tc>
          <w:tcPr>
            <w:tcW w:type="dxa" w:w="1600"/>
            <w:shd w:fill="D9E2F3" w:color="auto" w:val="clear"/>
          </w:tcPr>
          <w:p>
            <w:r>
              <w:rPr>
                <w:b/>
                <w:bCs/>
              </w:rPr>
              <w:t xml:space="preserve">Maktab (Fiqh)</w:t>
            </w:r>
          </w:p>
        </w:tc>
        <w:tc>
          <w:tcPr>
            <w:tcW w:type="dxa" w:w="2100"/>
            <w:shd w:fill="D9E2F3" w:color="auto" w:val="clear"/>
          </w:tcPr>
          <w:p>
            <w:r>
              <w:rPr>
                <w:b/>
                <w:bCs/>
              </w:rPr>
              <w:t xml:space="preserve">Wiladat</w:t>
            </w:r>
          </w:p>
        </w:tc>
        <w:tc>
          <w:tcPr>
            <w:tcW w:type="dxa" w:w="1900"/>
            <w:shd w:fill="D9E2F3" w:color="auto" w:val="clear"/>
          </w:tcPr>
          <w:p>
            <w:r>
              <w:rPr>
                <w:b/>
                <w:bCs/>
              </w:rPr>
              <w:t xml:space="preserve">Wafat</w:t>
            </w:r>
          </w:p>
        </w:tc>
        <w:tc>
          <w:tcPr>
            <w:tcW w:type="dxa" w:w="840"/>
            <w:shd w:fill="D9E2F3" w:color="auto" w:val="clear"/>
          </w:tcPr>
          <w:p>
            <w:r>
              <w:rPr>
                <w:b/>
                <w:bCs/>
              </w:rPr>
              <w:t xml:space="preserve">Jaay-e-Wiladat</w:t>
            </w:r>
          </w:p>
        </w:tc>
      </w:tr>
      <w:tr>
        <w:tc>
          <w:tcPr>
            <w:tcW w:type="dxa" w:w="3300"/>
          </w:tcPr>
          <w:p>
            <w:r>
              <w:rPr>
                <w:b w:val="false"/>
                <w:bCs w:val="false"/>
              </w:rPr>
              <w:t xml:space="preserve">Imam Abu Hanifa (Nu'man bin Thabit)</w:t>
            </w:r>
          </w:p>
        </w:tc>
        <w:tc>
          <w:tcPr>
            <w:tcW w:type="dxa" w:w="1600"/>
          </w:tcPr>
          <w:p>
            <w:r>
              <w:rPr>
                <w:b w:val="false"/>
                <w:bCs w:val="false"/>
              </w:rPr>
              <w:t xml:space="preserve">Hanafi</w:t>
            </w:r>
          </w:p>
        </w:tc>
        <w:tc>
          <w:tcPr>
            <w:tcW w:type="dxa" w:w="2100"/>
          </w:tcPr>
          <w:p>
            <w:r>
              <w:rPr>
                <w:b w:val="false"/>
                <w:bCs w:val="false"/>
              </w:rPr>
              <w:t xml:space="preserve">80 Hijri (699 AD)</w:t>
            </w:r>
          </w:p>
        </w:tc>
        <w:tc>
          <w:tcPr>
            <w:tcW w:type="dxa" w:w="1900"/>
          </w:tcPr>
          <w:p>
            <w:r>
              <w:rPr>
                <w:b w:val="false"/>
                <w:bCs w:val="false"/>
              </w:rPr>
              <w:t xml:space="preserve">150 Hijri (767 AD)</w:t>
            </w:r>
          </w:p>
        </w:tc>
        <w:tc>
          <w:tcPr>
            <w:tcW w:type="dxa" w:w="840"/>
          </w:tcPr>
          <w:p>
            <w:r>
              <w:rPr>
                <w:b w:val="false"/>
                <w:bCs w:val="false"/>
              </w:rPr>
              <w:t xml:space="preserve">Kufa, Iraq</w:t>
            </w:r>
          </w:p>
        </w:tc>
      </w:tr>
      <w:tr>
        <w:tc>
          <w:tcPr>
            <w:tcW w:type="dxa" w:w="3300"/>
          </w:tcPr>
          <w:p>
            <w:r>
              <w:rPr>
                <w:b w:val="false"/>
                <w:bCs w:val="false"/>
              </w:rPr>
              <w:t xml:space="preserve">Imam Malik bin Anas</w:t>
            </w:r>
          </w:p>
        </w:tc>
        <w:tc>
          <w:tcPr>
            <w:tcW w:type="dxa" w:w="1600"/>
          </w:tcPr>
          <w:p>
            <w:r>
              <w:rPr>
                <w:b w:val="false"/>
                <w:bCs w:val="false"/>
              </w:rPr>
              <w:t xml:space="preserve">Maliki</w:t>
            </w:r>
          </w:p>
        </w:tc>
        <w:tc>
          <w:tcPr>
            <w:tcW w:type="dxa" w:w="2100"/>
          </w:tcPr>
          <w:p>
            <w:r>
              <w:rPr>
                <w:b w:val="false"/>
                <w:bCs w:val="false"/>
              </w:rPr>
              <w:t xml:space="preserve">Taqreeban 93 Hijri (711–712 AD)</w:t>
            </w:r>
          </w:p>
        </w:tc>
        <w:tc>
          <w:tcPr>
            <w:tcW w:type="dxa" w:w="1900"/>
          </w:tcPr>
          <w:p>
            <w:r>
              <w:rPr>
                <w:b w:val="false"/>
                <w:bCs w:val="false"/>
              </w:rPr>
              <w:t xml:space="preserve">179 Hijri (795 AD)</w:t>
            </w:r>
          </w:p>
        </w:tc>
        <w:tc>
          <w:tcPr>
            <w:tcW w:type="dxa" w:w="840"/>
          </w:tcPr>
          <w:p>
            <w:r>
              <w:rPr>
                <w:b w:val="false"/>
                <w:bCs w:val="false"/>
              </w:rPr>
              <w:t xml:space="preserve">Madina Munawwara</w:t>
            </w:r>
          </w:p>
        </w:tc>
      </w:tr>
      <w:tr>
        <w:tc>
          <w:tcPr>
            <w:tcW w:type="dxa" w:w="3300"/>
          </w:tcPr>
          <w:p>
            <w:r>
              <w:rPr>
                <w:b w:val="false"/>
                <w:bCs w:val="false"/>
              </w:rPr>
              <w:t xml:space="preserve">Imam Muhammad bin Idris al-Shafi'i</w:t>
            </w:r>
          </w:p>
        </w:tc>
        <w:tc>
          <w:tcPr>
            <w:tcW w:type="dxa" w:w="1600"/>
          </w:tcPr>
          <w:p>
            <w:r>
              <w:rPr>
                <w:b w:val="false"/>
                <w:bCs w:val="false"/>
              </w:rPr>
              <w:t xml:space="preserve">Shafi'i</w:t>
            </w:r>
          </w:p>
        </w:tc>
        <w:tc>
          <w:tcPr>
            <w:tcW w:type="dxa" w:w="2100"/>
          </w:tcPr>
          <w:p>
            <w:r>
              <w:rPr>
                <w:b w:val="false"/>
                <w:bCs w:val="false"/>
              </w:rPr>
              <w:t xml:space="preserve">150 Hijri (767 AD)</w:t>
            </w:r>
          </w:p>
        </w:tc>
        <w:tc>
          <w:tcPr>
            <w:tcW w:type="dxa" w:w="1900"/>
          </w:tcPr>
          <w:p>
            <w:r>
              <w:rPr>
                <w:b w:val="false"/>
                <w:bCs w:val="false"/>
              </w:rPr>
              <w:t xml:space="preserve">204 Hijri (820 AD)</w:t>
            </w:r>
          </w:p>
        </w:tc>
        <w:tc>
          <w:tcPr>
            <w:tcW w:type="dxa" w:w="840"/>
          </w:tcPr>
          <w:p>
            <w:r>
              <w:rPr>
                <w:b w:val="false"/>
                <w:bCs w:val="false"/>
              </w:rPr>
              <w:t xml:space="preserve">Gaza (Ghazza)</w:t>
            </w:r>
          </w:p>
        </w:tc>
      </w:tr>
      <w:tr>
        <w:tc>
          <w:tcPr>
            <w:tcW w:type="dxa" w:w="3300"/>
          </w:tcPr>
          <w:p>
            <w:r>
              <w:rPr>
                <w:b w:val="false"/>
                <w:bCs w:val="false"/>
              </w:rPr>
              <w:t xml:space="preserve">Imam Ahmad bin Hanbal</w:t>
            </w:r>
          </w:p>
        </w:tc>
        <w:tc>
          <w:tcPr>
            <w:tcW w:type="dxa" w:w="1600"/>
          </w:tcPr>
          <w:p>
            <w:r>
              <w:rPr>
                <w:b w:val="false"/>
                <w:bCs w:val="false"/>
              </w:rPr>
              <w:t xml:space="preserve">Hanbali</w:t>
            </w:r>
          </w:p>
        </w:tc>
        <w:tc>
          <w:tcPr>
            <w:tcW w:type="dxa" w:w="2100"/>
          </w:tcPr>
          <w:p>
            <w:r>
              <w:rPr>
                <w:b w:val="false"/>
                <w:bCs w:val="false"/>
              </w:rPr>
              <w:t xml:space="preserve">164 Hijri (780 AD)</w:t>
            </w:r>
          </w:p>
        </w:tc>
        <w:tc>
          <w:tcPr>
            <w:tcW w:type="dxa" w:w="1900"/>
          </w:tcPr>
          <w:p>
            <w:r>
              <w:rPr>
                <w:b w:val="false"/>
                <w:bCs w:val="false"/>
              </w:rPr>
              <w:t xml:space="preserve">241 Hijri (855 AD)</w:t>
            </w:r>
          </w:p>
        </w:tc>
        <w:tc>
          <w:tcPr>
            <w:tcW w:type="dxa" w:w="840"/>
          </w:tcPr>
          <w:p>
            <w:r>
              <w:rPr>
                <w:b w:val="false"/>
                <w:bCs w:val="false"/>
              </w:rPr>
              <w:t xml:space="preserve">Baghdad, Iraq</w:t>
            </w:r>
          </w:p>
        </w:tc>
      </w:tr>
    </w:tbl>
    <w:p>
      <w:pPr>
        <w:spacing w:after="120"/>
      </w:pPr>
      <w:r>
        <w:t xml:space="preserve"/>
      </w:r>
    </w:p>
    <w:p>
      <w:pPr>
        <w:spacing w:after="120"/>
      </w:pPr>
      <w:r>
        <w:rPr>
          <w:i/>
          <w:iCs/>
        </w:rPr>
        <w:t xml:space="preserve">Dilchasp baat: Imam Shafi'i usi saal (150 Hijri) paida hue jis saal Imam Abu Hanifa ka wisal hua. Imam Shafi'i ne Imam Malik se ilm hasil kiya, aur Imam Ahmad bin Hanbal ne Imam Shafi'i se ilm hasil kiya — is tarah in char Imamon ka silsila ek doosre se juda hua hai.</w:t>
      </w:r>
    </w:p>
    <w:p>
      <w:pPr>
        <w:pageBreakBefore/>
      </w:pPr>
      <w:r>
        <w:t xml:space="preserve"/>
      </w:r>
    </w:p>
    <w:p>
      <w:pPr>
        <w:pStyle w:val="Heading1"/>
        <w:spacing w:after="150" w:before="300"/>
      </w:pPr>
      <w:r>
        <w:t xml:space="preserve">4. Islami Istilahen (Aqeeda aur Amal se Mutalliq Alfaz)</w:t>
      </w:r>
    </w:p>
    <w:p>
      <w:pPr>
        <w:spacing w:after="120"/>
      </w:pPr>
      <w:r>
        <w:t xml:space="preserve">Islam me kuchh lafz logon ke aqeede (belief) ya amal (practice) ko bayan karte hain. Inhe gaali ya har kisi par lagane ke liye nahi, balki unke asli ma'na samajhne ke liye istemal kiya jata hai.</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200"/>
        <w:gridCol w:w="7540"/>
      </w:tblGrid>
      <w:tr>
        <w:trPr>
          <w:tblHeader/>
        </w:trPr>
        <w:tc>
          <w:tcPr>
            <w:tcW w:type="dxa" w:w="2200"/>
            <w:shd w:fill="D9E2F3" w:color="auto" w:val="clear"/>
          </w:tcPr>
          <w:p>
            <w:r>
              <w:rPr>
                <w:b/>
                <w:bCs/>
              </w:rPr>
              <w:t xml:space="preserve">Lafz</w:t>
            </w:r>
          </w:p>
        </w:tc>
        <w:tc>
          <w:tcPr>
            <w:tcW w:type="dxa" w:w="7540"/>
            <w:shd w:fill="D9E2F3" w:color="auto" w:val="clear"/>
          </w:tcPr>
          <w:p>
            <w:r>
              <w:rPr>
                <w:b/>
                <w:bCs/>
              </w:rPr>
              <w:t xml:space="preserve">Kisko Kehte Hain</w:t>
            </w:r>
          </w:p>
        </w:tc>
      </w:tr>
      <w:tr>
        <w:tc>
          <w:tcPr>
            <w:tcW w:type="dxa" w:w="2200"/>
          </w:tcPr>
          <w:p>
            <w:r>
              <w:rPr>
                <w:b w:val="false"/>
                <w:bCs w:val="false"/>
              </w:rPr>
              <w:t xml:space="preserve">Muslim</w:t>
            </w:r>
          </w:p>
        </w:tc>
        <w:tc>
          <w:tcPr>
            <w:tcW w:type="dxa" w:w="7540"/>
          </w:tcPr>
          <w:p>
            <w:r>
              <w:rPr>
                <w:b w:val="false"/>
                <w:bCs w:val="false"/>
              </w:rPr>
              <w:t xml:space="preserve">Jo Allah ko ek maane aur Muhammad (SAW) ko Allah ka aakhri Rasool maane.</w:t>
            </w:r>
          </w:p>
        </w:tc>
      </w:tr>
      <w:tr>
        <w:tc>
          <w:tcPr>
            <w:tcW w:type="dxa" w:w="2200"/>
          </w:tcPr>
          <w:p>
            <w:r>
              <w:rPr>
                <w:b w:val="false"/>
                <w:bCs w:val="false"/>
              </w:rPr>
              <w:t xml:space="preserve">Mu'min</w:t>
            </w:r>
          </w:p>
        </w:tc>
        <w:tc>
          <w:tcPr>
            <w:tcW w:type="dxa" w:w="7540"/>
          </w:tcPr>
          <w:p>
            <w:r>
              <w:rPr>
                <w:b w:val="false"/>
                <w:bCs w:val="false"/>
              </w:rPr>
              <w:t xml:space="preserve">Jiska iman mazboot ho. Har Mu'min Muslim hai.</w:t>
            </w:r>
          </w:p>
        </w:tc>
      </w:tr>
      <w:tr>
        <w:tc>
          <w:tcPr>
            <w:tcW w:type="dxa" w:w="2200"/>
          </w:tcPr>
          <w:p>
            <w:r>
              <w:rPr>
                <w:b w:val="false"/>
                <w:bCs w:val="false"/>
              </w:rPr>
              <w:t xml:space="preserve">Kafir</w:t>
            </w:r>
          </w:p>
        </w:tc>
        <w:tc>
          <w:tcPr>
            <w:tcW w:type="dxa" w:w="7540"/>
          </w:tcPr>
          <w:p>
            <w:r>
              <w:rPr>
                <w:b w:val="false"/>
                <w:bCs w:val="false"/>
              </w:rPr>
              <w:t xml:space="preserve">Jo Islam ka paigham pahunchne aur samajhne ke baad uska inkar kare. (Is lafz ko kisi shakhs par lagana bahut sanjeeda masla hai.)</w:t>
            </w:r>
          </w:p>
        </w:tc>
      </w:tr>
      <w:tr>
        <w:tc>
          <w:tcPr>
            <w:tcW w:type="dxa" w:w="2200"/>
          </w:tcPr>
          <w:p>
            <w:r>
              <w:rPr>
                <w:b w:val="false"/>
                <w:bCs w:val="false"/>
              </w:rPr>
              <w:t xml:space="preserve">Mushrik</w:t>
            </w:r>
          </w:p>
        </w:tc>
        <w:tc>
          <w:tcPr>
            <w:tcW w:type="dxa" w:w="7540"/>
          </w:tcPr>
          <w:p>
            <w:r>
              <w:rPr>
                <w:b w:val="false"/>
                <w:bCs w:val="false"/>
              </w:rPr>
              <w:t xml:space="preserve">Jo Allah ke saath kisi ko ibadat ya uluhiyyah me shareek kare (shirk kare).</w:t>
            </w:r>
          </w:p>
        </w:tc>
      </w:tr>
      <w:tr>
        <w:tc>
          <w:tcPr>
            <w:tcW w:type="dxa" w:w="2200"/>
          </w:tcPr>
          <w:p>
            <w:r>
              <w:rPr>
                <w:b w:val="false"/>
                <w:bCs w:val="false"/>
              </w:rPr>
              <w:t xml:space="preserve">Munafiq</w:t>
            </w:r>
          </w:p>
        </w:tc>
        <w:tc>
          <w:tcPr>
            <w:tcW w:type="dxa" w:w="7540"/>
          </w:tcPr>
          <w:p>
            <w:r>
              <w:rPr>
                <w:b w:val="false"/>
                <w:bCs w:val="false"/>
              </w:rPr>
              <w:t xml:space="preserve">Jo zahir me Muslim ho lekin dil me iman na rakhta ho.</w:t>
            </w:r>
          </w:p>
        </w:tc>
      </w:tr>
      <w:tr>
        <w:tc>
          <w:tcPr>
            <w:tcW w:type="dxa" w:w="2200"/>
          </w:tcPr>
          <w:p>
            <w:r>
              <w:rPr>
                <w:b w:val="false"/>
                <w:bCs w:val="false"/>
              </w:rPr>
              <w:t xml:space="preserve">Fasiq</w:t>
            </w:r>
          </w:p>
        </w:tc>
        <w:tc>
          <w:tcPr>
            <w:tcW w:type="dxa" w:w="7540"/>
          </w:tcPr>
          <w:p>
            <w:r>
              <w:rPr>
                <w:b w:val="false"/>
                <w:bCs w:val="false"/>
              </w:rPr>
              <w:t xml:space="preserve">Muslim jo bade gunah karta ho ya Allah ki ita'at se nikal jaye, lekin Islam se bahar na nikla ho.</w:t>
            </w:r>
          </w:p>
        </w:tc>
      </w:tr>
      <w:tr>
        <w:tc>
          <w:tcPr>
            <w:tcW w:type="dxa" w:w="2200"/>
          </w:tcPr>
          <w:p>
            <w:r>
              <w:rPr>
                <w:b w:val="false"/>
                <w:bCs w:val="false"/>
              </w:rPr>
              <w:t xml:space="preserve">Murtad</w:t>
            </w:r>
          </w:p>
        </w:tc>
        <w:tc>
          <w:tcPr>
            <w:tcW w:type="dxa" w:w="7540"/>
          </w:tcPr>
          <w:p>
            <w:r>
              <w:rPr>
                <w:b w:val="false"/>
                <w:bCs w:val="false"/>
              </w:rPr>
              <w:t xml:space="preserve">Jo Islam qabool karne ke baad jaan-boojh kar Islam chhod de.</w:t>
            </w:r>
          </w:p>
        </w:tc>
      </w:tr>
      <w:tr>
        <w:tc>
          <w:tcPr>
            <w:tcW w:type="dxa" w:w="2200"/>
          </w:tcPr>
          <w:p>
            <w:r>
              <w:rPr>
                <w:b w:val="false"/>
                <w:bCs w:val="false"/>
              </w:rPr>
              <w:t xml:space="preserve">Ahl al-Kitab</w:t>
            </w:r>
          </w:p>
        </w:tc>
        <w:tc>
          <w:tcPr>
            <w:tcW w:type="dxa" w:w="7540"/>
          </w:tcPr>
          <w:p>
            <w:r>
              <w:rPr>
                <w:b w:val="false"/>
                <w:bCs w:val="false"/>
              </w:rPr>
              <w:t xml:space="preserve">Yahudi aur Nasrani (Christians), jinhen Qur'an me "Kitab wale" kaha gaya hai.</w:t>
            </w:r>
          </w:p>
        </w:tc>
      </w:tr>
      <w:tr>
        <w:tc>
          <w:tcPr>
            <w:tcW w:type="dxa" w:w="2200"/>
          </w:tcPr>
          <w:p>
            <w:r>
              <w:rPr>
                <w:b w:val="false"/>
                <w:bCs w:val="false"/>
              </w:rPr>
              <w:t xml:space="preserve">Mu'ahid</w:t>
            </w:r>
          </w:p>
        </w:tc>
        <w:tc>
          <w:tcPr>
            <w:tcW w:type="dxa" w:w="7540"/>
          </w:tcPr>
          <w:p>
            <w:r>
              <w:rPr>
                <w:b w:val="false"/>
                <w:bCs w:val="false"/>
              </w:rPr>
              <w:t xml:space="preserve">Ghair-Muslim jiske saath Islami hukumat ka aman ya mu'ahida ho.</w:t>
            </w:r>
          </w:p>
        </w:tc>
      </w:tr>
      <w:tr>
        <w:tc>
          <w:tcPr>
            <w:tcW w:type="dxa" w:w="2200"/>
          </w:tcPr>
          <w:p>
            <w:r>
              <w:rPr>
                <w:b w:val="false"/>
                <w:bCs w:val="false"/>
              </w:rPr>
              <w:t xml:space="preserve">Dhimmi</w:t>
            </w:r>
          </w:p>
        </w:tc>
        <w:tc>
          <w:tcPr>
            <w:tcW w:type="dxa" w:w="7540"/>
          </w:tcPr>
          <w:p>
            <w:r>
              <w:rPr>
                <w:b w:val="false"/>
                <w:bCs w:val="false"/>
              </w:rPr>
              <w:t xml:space="preserve">Islami riwayat me woh ghair-Muslim jo Islami riyasat ki hifazat me rehta ho aur uska khaas qanuni maqam ho.</w:t>
            </w:r>
          </w:p>
        </w:tc>
      </w:tr>
      <w:tr>
        <w:tc>
          <w:tcPr>
            <w:tcW w:type="dxa" w:w="2200"/>
          </w:tcPr>
          <w:p>
            <w:r>
              <w:rPr>
                <w:b w:val="false"/>
                <w:bCs w:val="false"/>
              </w:rPr>
              <w:t xml:space="preserve">Harbi</w:t>
            </w:r>
          </w:p>
        </w:tc>
        <w:tc>
          <w:tcPr>
            <w:tcW w:type="dxa" w:w="7540"/>
          </w:tcPr>
          <w:p>
            <w:r>
              <w:rPr>
                <w:b w:val="false"/>
                <w:bCs w:val="false"/>
              </w:rPr>
              <w:t xml:space="preserve">Classical fiqh me aisi ghair-Muslim quwwat ya riyasat jo Islami riyasat ke saath jang ki halat me ho. Yeh har ghair-Muslim ke liye lafz nahi hai.</w:t>
            </w:r>
          </w:p>
        </w:tc>
      </w:tr>
    </w:tbl>
    <w:p>
      <w:pPr>
        <w:spacing w:after="120"/>
      </w:pPr>
      <w:r>
        <w:t xml:space="preserve"/>
      </w:r>
    </w:p>
    <w:p>
      <w:pPr>
        <w:pStyle w:val="Heading2"/>
        <w:spacing w:after="100" w:before="200"/>
      </w:pPr>
      <w:r>
        <w:t xml:space="preserve">Kafir aur Mushrik me Farq</w:t>
      </w:r>
    </w:p>
    <w:p>
      <w:pPr>
        <w:pStyle w:val="ListParagraph"/>
        <w:numPr>
          <w:ilvl w:val="0"/>
          <w:numId w:val="1"/>
        </w:numPr>
        <w:spacing w:after="80"/>
      </w:pPr>
      <w:r>
        <w:t xml:space="preserve">Har Mushrik, kufr karta hai, isliye usse kafir bhi kaha jata hai.</w:t>
      </w:r>
    </w:p>
    <w:p>
      <w:pPr>
        <w:pStyle w:val="ListParagraph"/>
        <w:numPr>
          <w:ilvl w:val="0"/>
          <w:numId w:val="1"/>
        </w:numPr>
        <w:spacing w:after="80"/>
      </w:pPr>
      <w:r>
        <w:t xml:space="preserve">Lekin har Kafir Mushrik nahi hota.</w:t>
      </w:r>
    </w:p>
    <w:p>
      <w:pPr>
        <w:spacing w:after="120"/>
      </w:pPr>
      <w:r>
        <w:t xml:space="preserve">Misal: Yahudi aur Nasrani ko Qur'an me aksar Ahl al-Kitab kaha gaya hai. Woh Islam ko nahi maante, is liye kufr ke zumre me aate hain, lekin unhe har jagah "mushrik" nahi kaha jata. Jo buton ki puja kare ya Allah ke saath dusre mabood ko shareek kare, woh Mushrik hai.</w:t>
      </w:r>
    </w:p>
    <w:p>
      <w:pPr>
        <w:pStyle w:val="Heading2"/>
        <w:spacing w:after="100" w:before="200"/>
      </w:pPr>
      <w:r>
        <w:t xml:space="preserve">Dhyan Dene ki Baat</w:t>
      </w:r>
    </w:p>
    <w:p>
      <w:pPr>
        <w:spacing w:after="120"/>
      </w:pPr>
      <w:r>
        <w:rPr>
          <w:b/>
          <w:bCs/>
        </w:rPr>
        <w:t xml:space="preserve">Kisi khaas shakhs ko "kafir", "mushrik" ya "munafiq" kehna bahut bada aur nazuk masla hai. Iska faisla sirf zahiri dekh kar nahi kiya jata; isme ilm aur shar'i usool ki zarurat hoti hai. Isliye aam logon ko is tarah ke labels lagane se bachna chahiye.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2026-07-15T10:08:36.206Z</dcterms:created>
  <dcterms:modified xsi:type="dcterms:W3CDTF">2026-07-15T10:08:36.234Z</dcterms:modified>
</cp:coreProperties>
</file>

<file path=docProps/custom.xml><?xml version="1.0" encoding="utf-8"?>
<Properties xmlns="http://schemas.openxmlformats.org/officeDocument/2006/custom-properties" xmlns:vt="http://schemas.openxmlformats.org/officeDocument/2006/docPropsVTypes"/>
</file>