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_Toc3187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_Toc3187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_Toc31170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_Toc31170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_Toc5387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_Toc5387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_Toc318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_Toc2925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eastAsia="zh-CN"/>
        </w:rPr>
        <w:t>获取对账单接口</w:t>
      </w:r>
      <w:r>
        <w:tab/>
      </w:r>
      <w:r>
        <w:fldChar w:fldCharType="begin"/>
      </w:r>
      <w:r>
        <w:instrText xml:space="preserve"> PAGEREF _Toc2925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_Toc9659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_Toc9659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_Toc31924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_Toc31924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_Toc21710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_Toc21710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_Toc20265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_Toc20265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_Toc2982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_Toc2982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_Toc8212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_Toc8212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3187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4180"/>
      <w:bookmarkStart w:id="3" w:name="_Toc432403947"/>
      <w:bookmarkStart w:id="4" w:name="_Toc440983946"/>
      <w:bookmarkStart w:id="5" w:name="_Toc31170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40983947"/>
      <w:bookmarkStart w:id="7" w:name="_Toc5387"/>
      <w:bookmarkStart w:id="8" w:name="_Toc440984181"/>
      <w:bookmarkStart w:id="9" w:name="_Toc432403948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hint="eastAsia" w:ascii="宋体" w:hAnsi="宋体"/>
          <w:lang w:eastAsia="zh-CN"/>
        </w:rPr>
        <w:t>http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gshkpay</w:t>
      </w:r>
      <w:r>
        <w:rPr>
          <w:rStyle w:val="14"/>
          <w:rFonts w:ascii="宋体" w:hAnsi="宋体"/>
          <w:lang w:eastAsia="zh-CN"/>
        </w:rPr>
        <w:t>.c</w:t>
      </w:r>
      <w:r>
        <w:rPr>
          <w:rStyle w:val="14"/>
          <w:rFonts w:hint="eastAsia" w:ascii="宋体" w:hAnsi="宋体"/>
          <w:lang w:val="en-US" w:eastAsia="zh-CN"/>
        </w:rPr>
        <w:t>om</w:t>
      </w:r>
      <w:r>
        <w:rPr>
          <w:rStyle w:val="14"/>
          <w:rFonts w:ascii="宋体" w:hAnsi="宋体"/>
          <w:lang w:eastAsia="zh-CN"/>
        </w:rPr>
        <w:t>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32403949"/>
      <w:bookmarkStart w:id="12" w:name="_Toc440984182"/>
      <w:bookmarkStart w:id="13" w:name="_Toc318"/>
      <w:bookmarkStart w:id="14" w:name="_Toc440983948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2925"/>
      <w:bookmarkStart w:id="16" w:name="_Toc432403955"/>
      <w:bookmarkStart w:id="17" w:name="_Toc440984184"/>
      <w:bookmarkStart w:id="18" w:name="_Toc440983950"/>
      <w:r>
        <w:rPr>
          <w:rFonts w:hint="eastAsia" w:ascii="宋体" w:hAnsi="宋体"/>
          <w:lang w:eastAsia="zh-CN"/>
        </w:rPr>
        <w:t>获取对账单接口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9659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val="en-US" w:eastAsia="zh-CN"/>
              </w:rPr>
              <w:t>查询退款订单（建议商户每日11点后获取前一日对账单）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BASE_URL/pay/payBillDown.do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3951"/>
      <w:bookmarkStart w:id="21" w:name="_Toc440984185"/>
      <w:bookmarkStart w:id="22" w:name="_Toc432403956"/>
      <w:bookmarkStart w:id="23" w:name="_Toc31924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（联系商务提供）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参数签名字符串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 w:eastAsia="宋体"/>
                <w:bCs/>
                <w:color w:val="0000FF"/>
                <w:lang w:eastAsia="zh-CN"/>
              </w:rPr>
              <w:t>billTime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对账日期（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yyyyMMdd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21710"/>
      <w:bookmarkStart w:id="25" w:name="_Toc440984186"/>
      <w:bookmarkStart w:id="26" w:name="_Toc440983952"/>
      <w:bookmarkStart w:id="27" w:name="_Toc432403957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2"/>
        <w:gridCol w:w="1017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billDownUrl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文档下载地址</w:t>
            </w:r>
          </w:p>
        </w:tc>
      </w:tr>
    </w:tbl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441831613"/>
      <w:bookmarkEnd w:id="28"/>
      <w:bookmarkStart w:id="29" w:name="_Toc440984187"/>
      <w:bookmarkEnd w:id="29"/>
      <w:bookmarkStart w:id="30" w:name="_Toc440983953"/>
      <w:bookmarkEnd w:id="30"/>
      <w:bookmarkStart w:id="31" w:name="_Toc441841730"/>
      <w:bookmarkEnd w:id="31"/>
      <w:bookmarkStart w:id="32" w:name="_Toc6561"/>
      <w:bookmarkEnd w:id="32"/>
      <w:bookmarkStart w:id="33" w:name="_Toc4690"/>
      <w:bookmarkEnd w:id="33"/>
      <w:bookmarkStart w:id="34" w:name="_Toc3681"/>
      <w:bookmarkEnd w:id="34"/>
      <w:bookmarkStart w:id="35" w:name="_Toc6471"/>
      <w:bookmarkEnd w:id="35"/>
      <w:bookmarkStart w:id="36" w:name="_Toc6154"/>
      <w:bookmarkEnd w:id="36"/>
      <w:bookmarkStart w:id="37" w:name="_Toc2313"/>
      <w:bookmarkEnd w:id="37"/>
      <w:bookmarkStart w:id="38" w:name="_Toc2402"/>
      <w:bookmarkEnd w:id="38"/>
      <w:bookmarkStart w:id="39" w:name="_Toc514"/>
      <w:bookmarkEnd w:id="39"/>
      <w:bookmarkStart w:id="40" w:name="_Toc440984309"/>
      <w:bookmarkEnd w:id="40"/>
      <w:bookmarkStart w:id="41" w:name="_Toc3231"/>
      <w:bookmarkEnd w:id="41"/>
      <w:bookmarkStart w:id="42" w:name="_Toc15435"/>
      <w:bookmarkEnd w:id="42"/>
      <w:bookmarkStart w:id="43" w:name="_Toc432404002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4" w:name="_Toc13102"/>
      <w:bookmarkEnd w:id="44"/>
      <w:bookmarkStart w:id="45" w:name="_Toc17862"/>
      <w:bookmarkEnd w:id="45"/>
      <w:bookmarkStart w:id="46" w:name="_Toc441831614"/>
      <w:bookmarkEnd w:id="46"/>
      <w:bookmarkStart w:id="47" w:name="_Toc31020"/>
      <w:bookmarkEnd w:id="47"/>
      <w:bookmarkStart w:id="48" w:name="_Toc25882"/>
      <w:bookmarkEnd w:id="48"/>
      <w:bookmarkStart w:id="49" w:name="_Toc9254"/>
      <w:bookmarkEnd w:id="49"/>
      <w:bookmarkStart w:id="50" w:name="_Toc440984310"/>
      <w:bookmarkEnd w:id="50"/>
      <w:bookmarkStart w:id="51" w:name="_Toc30105"/>
      <w:bookmarkEnd w:id="51"/>
      <w:bookmarkStart w:id="52" w:name="_Toc441841731"/>
      <w:bookmarkEnd w:id="52"/>
      <w:bookmarkStart w:id="53" w:name="_Toc3726"/>
      <w:bookmarkEnd w:id="53"/>
      <w:bookmarkStart w:id="54" w:name="_Toc440984188"/>
      <w:bookmarkEnd w:id="54"/>
      <w:bookmarkStart w:id="55" w:name="_Toc9556"/>
      <w:bookmarkEnd w:id="55"/>
      <w:bookmarkStart w:id="56" w:name="_Toc3975"/>
      <w:bookmarkEnd w:id="56"/>
      <w:bookmarkStart w:id="57" w:name="_Toc27732"/>
      <w:bookmarkEnd w:id="57"/>
      <w:bookmarkStart w:id="58" w:name="_Toc440983954"/>
      <w:bookmarkEnd w:id="58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9" w:name="_Toc6278"/>
      <w:bookmarkEnd w:id="59"/>
      <w:bookmarkStart w:id="60" w:name="_Toc13647"/>
      <w:bookmarkEnd w:id="60"/>
      <w:bookmarkStart w:id="61" w:name="_Toc28879"/>
      <w:bookmarkEnd w:id="61"/>
      <w:bookmarkStart w:id="62" w:name="_Toc441831615"/>
      <w:bookmarkEnd w:id="62"/>
      <w:bookmarkStart w:id="63" w:name="_Toc7603"/>
      <w:bookmarkEnd w:id="63"/>
      <w:bookmarkStart w:id="64" w:name="_Toc29868"/>
      <w:bookmarkEnd w:id="64"/>
      <w:bookmarkStart w:id="65" w:name="_Toc23728"/>
      <w:bookmarkEnd w:id="65"/>
      <w:bookmarkStart w:id="66" w:name="_Toc21908"/>
      <w:bookmarkEnd w:id="66"/>
      <w:bookmarkStart w:id="67" w:name="_Toc440983955"/>
      <w:bookmarkEnd w:id="67"/>
      <w:bookmarkStart w:id="68" w:name="_Toc21373"/>
      <w:bookmarkEnd w:id="68"/>
      <w:bookmarkStart w:id="69" w:name="_Toc441841732"/>
      <w:bookmarkEnd w:id="69"/>
      <w:bookmarkStart w:id="70" w:name="_Toc26235"/>
      <w:bookmarkEnd w:id="70"/>
      <w:bookmarkStart w:id="71" w:name="_Toc440984189"/>
      <w:bookmarkEnd w:id="71"/>
      <w:bookmarkStart w:id="72" w:name="_Toc3124"/>
      <w:bookmarkEnd w:id="72"/>
      <w:bookmarkStart w:id="73" w:name="_Toc440984311"/>
      <w:bookmarkEnd w:id="73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4" w:name="_Toc9408"/>
      <w:bookmarkEnd w:id="74"/>
      <w:bookmarkStart w:id="75" w:name="_Toc31267"/>
      <w:bookmarkEnd w:id="75"/>
      <w:bookmarkStart w:id="76" w:name="_Toc13699"/>
      <w:bookmarkEnd w:id="76"/>
      <w:bookmarkStart w:id="77" w:name="_Toc441841733"/>
      <w:bookmarkEnd w:id="77"/>
      <w:bookmarkStart w:id="78" w:name="_Toc23895"/>
      <w:bookmarkEnd w:id="78"/>
      <w:bookmarkStart w:id="79" w:name="_Toc14180"/>
      <w:bookmarkEnd w:id="79"/>
      <w:bookmarkStart w:id="80" w:name="_Toc1859"/>
      <w:bookmarkEnd w:id="80"/>
      <w:bookmarkStart w:id="81" w:name="_Toc26006"/>
      <w:bookmarkEnd w:id="81"/>
      <w:bookmarkStart w:id="82" w:name="_Toc26412"/>
      <w:bookmarkEnd w:id="82"/>
      <w:bookmarkStart w:id="83" w:name="_Toc440984190"/>
      <w:bookmarkEnd w:id="83"/>
      <w:bookmarkStart w:id="84" w:name="_Toc29273"/>
      <w:bookmarkEnd w:id="84"/>
      <w:bookmarkStart w:id="85" w:name="_Toc440984312"/>
      <w:bookmarkEnd w:id="85"/>
      <w:bookmarkStart w:id="86" w:name="_Toc440983956"/>
      <w:bookmarkEnd w:id="86"/>
      <w:bookmarkStart w:id="87" w:name="_Toc441831616"/>
      <w:bookmarkEnd w:id="87"/>
      <w:bookmarkStart w:id="88" w:name="_Toc21668"/>
      <w:bookmarkEnd w:id="88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9" w:name="_Toc20265"/>
      <w:r>
        <w:rPr>
          <w:rFonts w:hint="eastAsia"/>
          <w:lang w:eastAsia="zh-CN"/>
        </w:rPr>
        <w:t>返回示例</w:t>
      </w:r>
      <w:bookmarkEnd w:id="89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"billDownUrl"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/dl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.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gshkpay.com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/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fillFile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/account_statement20170629112401.csv"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90" w:name="_Toc2982"/>
      <w:r>
        <w:rPr>
          <w:rFonts w:hint="eastAsia"/>
          <w:lang w:eastAsia="zh-CN"/>
        </w:rPr>
        <w:t>返回码描述</w:t>
      </w:r>
      <w:bookmarkEnd w:id="90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1014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账单不存在</w:t>
            </w:r>
          </w:p>
        </w:tc>
      </w:tr>
      <w:bookmarkEnd w:id="43"/>
    </w:tbl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1" w:name="_Toc8212"/>
      <w:bookmarkStart w:id="92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1"/>
    </w:p>
    <w:bookmarkEnd w:id="92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</w:t>
      </w:r>
      <w:bookmarkStart w:id="93" w:name="_GoBack"/>
      <w:bookmarkEnd w:id="93"/>
      <w:r>
        <w:rPr>
          <w:rStyle w:val="13"/>
          <w:rFonts w:hint="eastAsia" w:ascii="Consolas" w:hAnsi="Consolas" w:eastAsia="Consolas"/>
          <w:sz w:val="24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调用接口所需参数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p/>
    <w:sectPr>
      <w:headerReference r:id="rId3" w:type="default"/>
      <w:footerReference r:id="rId4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 xml:space="preserve">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B7A"/>
    <w:multiLevelType w:val="multilevel"/>
    <w:tmpl w:val="596DAB7A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F53BE"/>
    <w:rsid w:val="29EB46FB"/>
    <w:rsid w:val="2FCA5A59"/>
    <w:rsid w:val="32292D75"/>
    <w:rsid w:val="4F9F53BE"/>
    <w:rsid w:val="574F5519"/>
    <w:rsid w:val="607421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2017-07-18T06:21:00Z</dcterms:created>
  <dc:creator>Administrator</dc:creator>
  <cp:lastModifiedBy>shu</cp:lastModifiedBy>
  <dcterms:modified xsi:type="dcterms:W3CDTF">2017-09-19T10:09:00Z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