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How the KPIs and the avoidance maneuver are calculated</w:t>
      </w:r>
    </w:p>
    <w:p>
      <w:pPr>
        <w:spacing w:after="120"/>
      </w:pPr>
      <w:r>
        <w:rPr>
          <w:rFonts w:ascii="Calibri" w:cs="Calibri" w:eastAsia="Calibri" w:hAnsi="Calibri"/>
          <w:i/>
          <w:iCs/>
          <w:color w:val="555555"/>
        </w:rPr>
        <w:t xml:space="preserve">Space Debris Risk Prediction (AI): explanation of the Key Performance Indicators table, the recommended avoidance maneuver and the fuel budget shown on the dashboard.</w:t>
      </w:r>
    </w:p>
    <w:p>
      <w:pPr>
        <w:pStyle w:val="Heading1"/>
        <w:spacing w:after="140" w:before="320"/>
      </w:pPr>
      <w:r>
        <w:rPr>
          <w:rFonts w:ascii="Calibri" w:cs="Calibri" w:eastAsia="Calibri" w:hAnsi="Calibri"/>
          <w:b/>
          <w:bCs/>
          <w:color w:val="1F3A5F"/>
          <w:sz w:val="30"/>
          <w:szCs w:val="30"/>
        </w:rPr>
        <w:t xml:space="preserve">1. Read this first</w:t>
      </w:r>
    </w:p>
    <w:p>
      <w:pPr>
        <w:spacing w:after="120"/>
      </w:pPr>
      <w:r>
        <w:rPr>
          <w:rFonts w:ascii="Calibri" w:cs="Calibri" w:eastAsia="Calibri" w:hAnsi="Calibri"/>
        </w:rPr>
        <w:t xml:space="preserve">Every number on the three dashboard screenshots is produced by the code in the space-debris-ai project. This document says, for each number, what is measured, the formula used and which assumptions sit behind it. Three things decide how far each number can be trusted:</w:t>
      </w:r>
    </w:p>
    <w:p>
      <w:pPr>
        <w:pStyle w:val="ListParagraph"/>
        <w:numPr>
          <w:ilvl w:val="0"/>
          <w:numId w:val="2"/>
        </w:numPr>
        <w:spacing w:after="60"/>
      </w:pPr>
      <w:r>
        <w:rPr>
          <w:rFonts w:ascii="Calibri" w:cs="Calibri" w:eastAsia="Calibri" w:hAnsi="Calibri"/>
          <w:b/>
          <w:bCs/>
        </w:rPr>
        <w:t xml:space="preserve">Offline versus live data. </w:t>
      </w:r>
      <w:r>
        <w:rPr>
          <w:rFonts w:ascii="Calibri" w:cs="Calibri" w:eastAsia="Calibri" w:hAnsi="Calibri"/>
        </w:rPr>
        <w:t xml:space="preserve">The KPI screenshot comes from an offline run. Offline mode uses a generated catalog and generated tracking history, so those results show that the algorithms are consistent, not that they match reality. Only the live-mode CDM comparison uses real Space-Track data.</w:t>
      </w:r>
    </w:p>
    <w:p>
      <w:pPr>
        <w:pStyle w:val="ListParagraph"/>
        <w:numPr>
          <w:ilvl w:val="0"/>
          <w:numId w:val="2"/>
        </w:numPr>
        <w:spacing w:after="60"/>
      </w:pPr>
      <w:r>
        <w:rPr>
          <w:rFonts w:ascii="Calibri" w:cs="Calibri" w:eastAsia="Calibri" w:hAnsi="Calibri"/>
          <w:b/>
          <w:bCs/>
        </w:rPr>
        <w:t xml:space="preserve">Simulated studies. </w:t>
      </w:r>
      <w:r>
        <w:rPr>
          <w:rFonts w:ascii="Calibri" w:cs="Calibri" w:eastAsia="Calibri" w:hAnsi="Calibri"/>
        </w:rPr>
        <w:t xml:space="preserve">The false-alert rate, the missed-collision rate and the Brier score come from a Monte-Carlo study of 10,000 simulated encounters, because real collisions are far too rare to measure these directly.</w:t>
      </w:r>
    </w:p>
    <w:p>
      <w:pPr>
        <w:pStyle w:val="ListParagraph"/>
        <w:numPr>
          <w:ilvl w:val="0"/>
          <w:numId w:val="2"/>
        </w:numPr>
        <w:spacing w:after="60"/>
      </w:pPr>
      <w:r>
        <w:rPr>
          <w:rFonts w:ascii="Calibri" w:cs="Calibri" w:eastAsia="Calibri" w:hAnsi="Calibri"/>
          <w:b/>
          <w:bCs/>
        </w:rPr>
        <w:t xml:space="preserve">Assumed fuel. </w:t>
      </w:r>
      <w:r>
        <w:rPr>
          <w:rFonts w:ascii="Calibri" w:cs="Calibri" w:eastAsia="Calibri" w:hAnsi="Calibri"/>
        </w:rPr>
        <w:t xml:space="preserve">Public data does not say how much propellant a satellite has left. The fuel budget is an assumption by orbit regime and launch year, unless you provide real figures in data/fuel.json.</w:t>
      </w:r>
    </w:p>
    <w:p>
      <w:pPr>
        <w:pStyle w:val="Heading1"/>
        <w:spacing w:after="140" w:before="320"/>
      </w:pPr>
      <w:r>
        <w:rPr>
          <w:rFonts w:ascii="Calibri" w:cs="Calibri" w:eastAsia="Calibri" w:hAnsi="Calibri"/>
          <w:b/>
          <w:bCs/>
          <w:color w:val="1F3A5F"/>
          <w:sz w:val="30"/>
          <w:szCs w:val="30"/>
        </w:rPr>
        <w:t xml:space="preserve">2. The Key Performance Indicators table</w:t>
      </w:r>
    </w:p>
    <w:p>
      <w:pPr>
        <w:spacing w:after="120"/>
      </w:pPr>
      <w:r>
        <w:rPr>
          <w:rFonts w:ascii="Calibri" w:cs="Calibri" w:eastAsia="Calibri" w:hAnsi="Calibri"/>
        </w:rPr>
        <w:t xml:space="preserve">Values below are those on the KPI screenshot (offline run) unless stated.</w:t>
      </w:r>
    </w:p>
    <w:p>
      <w:pPr>
        <w:pStyle w:val="Heading2"/>
        <w:spacing w:after="100" w:before="220"/>
      </w:pPr>
      <w:r>
        <w:rPr>
          <w:rFonts w:ascii="Calibri" w:cs="Calibri" w:eastAsia="Calibri" w:hAnsi="Calibri"/>
          <w:b/>
          <w:bCs/>
          <w:color w:val="1F3A5F"/>
          <w:sz w:val="24"/>
          <w:szCs w:val="24"/>
        </w:rPr>
        <w:t xml:space="preserve">2.1 Alert quality: false alerts, missed collisions, Brier score</w:t>
      </w:r>
    </w:p>
    <w:p>
      <w:pPr>
        <w:spacing w:after="120"/>
      </w:pPr>
      <w:r>
        <w:rPr>
          <w:rFonts w:ascii="Calibri" w:cs="Calibri" w:eastAsia="Calibri" w:hAnsi="Calibri"/>
        </w:rPr>
        <w:t xml:space="preserve">These three come from one experiment (sdrp/ai/calibration.py, function run_study). It simulates 10,000 close encounters:</w:t>
      </w:r>
    </w:p>
    <w:p>
      <w:pPr>
        <w:pStyle w:val="ListParagraph"/>
        <w:numPr>
          <w:ilvl w:val="0"/>
          <w:numId w:val="2"/>
        </w:numPr>
        <w:spacing w:after="60"/>
      </w:pPr>
      <w:r>
        <w:rPr>
          <w:rFonts w:ascii="Calibri" w:cs="Calibri" w:eastAsia="Calibri" w:hAnsi="Calibri"/>
        </w:rPr>
        <w:t xml:space="preserve">A true miss vector is drawn in the encounter plane. The operator's estimate is the truth plus an error drawn from the true covariance.</w:t>
      </w:r>
    </w:p>
    <w:p>
      <w:pPr>
        <w:pStyle w:val="ListParagraph"/>
        <w:numPr>
          <w:ilvl w:val="0"/>
          <w:numId w:val="2"/>
        </w:numPr>
        <w:spacing w:after="60"/>
      </w:pPr>
      <w:r>
        <w:rPr>
          <w:rFonts w:ascii="Calibri" w:cs="Calibri" w:eastAsia="Calibri" w:hAnsi="Calibri"/>
        </w:rPr>
        <w:t xml:space="preserve">The operator computes the collision probability Pc with the model covariance, which is mis-scaled by a factor measured from tracking residuals (older TLEs are under-estimated, fresh ones over-estimated).</w:t>
      </w:r>
    </w:p>
    <w:p>
      <w:pPr>
        <w:pStyle w:val="ListParagraph"/>
        <w:numPr>
          <w:ilvl w:val="0"/>
          <w:numId w:val="2"/>
        </w:numPr>
        <w:spacing w:after="60"/>
      </w:pPr>
      <w:r>
        <w:rPr>
          <w:rFonts w:ascii="Calibri" w:cs="Calibri" w:eastAsia="Calibri" w:hAnsi="Calibri"/>
        </w:rPr>
        <w:t xml:space="preserve">The outcome is 1 (collision) if the true miss is smaller than the combined hard-body radius, otherwise 0.</w:t>
      </w:r>
    </w:p>
    <w:p>
      <w:pPr>
        <w:pStyle w:val="ListParagraph"/>
        <w:numPr>
          <w:ilvl w:val="0"/>
          <w:numId w:val="2"/>
        </w:numPr>
        <w:spacing w:after="60"/>
      </w:pPr>
      <w:r>
        <w:rPr>
          <w:rFonts w:ascii="Calibri" w:cs="Calibri" w:eastAsia="Calibri" w:hAnsi="Calibri"/>
        </w:rPr>
        <w:t xml:space="preserve">The first half of the encounters trains a calibrator (logistic regression on logit Pc, TLE age and sigma). The second half is held out and used for every number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60"/>
      </w:tblGrid>
      <w:tr>
        <w:trPr>
          <w:tblHeader/>
        </w:trPr>
        <w:tc>
          <w:tcPr>
            <w:tcW w:type="dxa" w:w="23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KPI</w:t>
            </w:r>
          </w:p>
        </w:tc>
        <w:tc>
          <w:tcPr>
            <w:tcW w:type="dxa" w:w="20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Value</w:t>
            </w:r>
          </w:p>
        </w:tc>
        <w:tc>
          <w:tcPr>
            <w:tcW w:type="dxa" w:w="506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How it is computed</w:t>
            </w:r>
          </w:p>
        </w:tc>
      </w:tr>
      <w:t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False-alert rate</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21.6 % (target ≤ 20 %)</w:t>
            </w:r>
          </w:p>
        </w:tc>
        <w:tc>
          <w:tcPr>
            <w:tcW w:type="dxa" w:w="50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Harmless encounters that were flagged ÷ all harmless encounters. The alert threshold is tuned on the training half so that at most 20 % of harmless encounters are flagged; it is then measured on the held-out half, which is why it lands slightly above 20 %.</w:t>
            </w:r>
          </w:p>
        </w:tc>
      </w:tr>
      <w:t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Missed-collision rate</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9.8 % (target ≤ 10 %)</w:t>
            </w:r>
          </w:p>
        </w:tc>
        <w:tc>
          <w:tcPr>
            <w:tcW w:type="dxa" w:w="50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Real collisions not flagged ÷ all real collisions, on the held-out half, at the same threshold.</w:t>
            </w:r>
          </w:p>
        </w:tc>
      </w:tr>
      <w:t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Pc calibration: Brier score</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0.0293 (lower is better)</w:t>
            </w:r>
          </w:p>
        </w:tc>
        <w:tc>
          <w:tcPr>
            <w:tcW w:type="dxa" w:w="50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Mean of (predicted Pc − outcome)² over the held-out encounters. 0 is perfect. Because collisions are rare, a model that always says 'no collision' also scores low, so the score is read together with the other two rates.</w:t>
            </w:r>
          </w:p>
        </w:tc>
      </w:tr>
      <w:t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Alerts that were real collisions</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14.4 % (offline run)</w:t>
            </w:r>
          </w:p>
        </w:tc>
        <w:tc>
          <w:tcPr>
            <w:tcW w:type="dxa" w:w="50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Alerts that were real collisions ÷ all alerts (precision). Roughly 4 % of the simulated encounters are collisions, so even a good detector produces many more false alerts than true ones.</w:t>
            </w:r>
          </w:p>
        </w:tc>
      </w:tr>
    </w:tbl>
    <w:p>
      <w:pPr>
        <w:pBdr>
          <w:left w:val="single" w:color="D9822B" w:sz="18" w:space="8"/>
        </w:pBdr>
        <w:spacing w:after="140" w:before="80"/>
        <w:ind w:left="240"/>
      </w:pPr>
      <w:r>
        <w:rPr>
          <w:rFonts w:ascii="Calibri" w:cs="Calibri" w:eastAsia="Calibri" w:hAnsi="Calibri"/>
          <w:sz w:val="21"/>
          <w:szCs w:val="21"/>
        </w:rPr>
        <w:t xml:space="preserve">These three are linked. Loosening the threshold lowers the missed rate and raises the false-alert rate, and the reverse. The table reports the operating point chosen by the 20 % false-alert target.</w:t>
      </w:r>
    </w:p>
    <w:p>
      <w:pPr>
        <w:pStyle w:val="Heading2"/>
        <w:spacing w:after="100" w:before="220"/>
      </w:pPr>
      <w:r>
        <w:rPr>
          <w:rFonts w:ascii="Calibri" w:cs="Calibri" w:eastAsia="Calibri" w:hAnsi="Calibri"/>
          <w:b/>
          <w:bCs/>
          <w:color w:val="1F3A5F"/>
          <w:sz w:val="24"/>
          <w:szCs w:val="24"/>
        </w:rPr>
        <w:t xml:space="preserve">2.2 Conjunction hit and miss rate versus CDMs</w:t>
      </w:r>
    </w:p>
    <w:p>
      <w:pPr>
        <w:spacing w:after="120"/>
      </w:pPr>
      <w:r>
        <w:rPr>
          <w:rFonts w:ascii="Calibri" w:cs="Calibri" w:eastAsia="Calibri" w:hAnsi="Calibri"/>
        </w:rPr>
        <w:t xml:space="preserve">A Conjunction Data Message (CDM) is an official warning from the US Space Force 18th Space Defense Squadron, published through Space-Track. The code (sdrp/ops/kpis.py, compare_with_cdms) does this:</w:t>
      </w:r>
    </w:p>
    <w:p>
      <w:pPr>
        <w:pStyle w:val="ListParagraph"/>
        <w:numPr>
          <w:ilvl w:val="0"/>
          <w:numId w:val="2"/>
        </w:numPr>
        <w:spacing w:after="60"/>
      </w:pPr>
      <w:r>
        <w:rPr>
          <w:rFonts w:ascii="Calibri" w:cs="Calibri" w:eastAsia="Calibri" w:hAnsi="Calibri"/>
        </w:rPr>
        <w:t xml:space="preserve">Keep only the latest message for each pair of objects and each closest-approach time (TCA).</w:t>
      </w:r>
    </w:p>
    <w:p>
      <w:pPr>
        <w:pStyle w:val="ListParagraph"/>
        <w:numPr>
          <w:ilvl w:val="0"/>
          <w:numId w:val="2"/>
        </w:numPr>
        <w:spacing w:after="60"/>
      </w:pPr>
      <w:r>
        <w:rPr>
          <w:rFonts w:ascii="Calibri" w:cs="Calibri" w:eastAsia="Calibri" w:hAnsi="Calibri"/>
        </w:rPr>
        <w:t xml:space="preserve">Keep only CDMs whose TCA falls inside the screening window and whose two objects are both in our catalog.</w:t>
      </w:r>
    </w:p>
    <w:p>
      <w:pPr>
        <w:pStyle w:val="ListParagraph"/>
        <w:numPr>
          <w:ilvl w:val="0"/>
          <w:numId w:val="2"/>
        </w:numPr>
        <w:spacing w:after="60"/>
      </w:pPr>
      <w:r>
        <w:rPr>
          <w:rFonts w:ascii="Calibri" w:cs="Calibri" w:eastAsia="Calibri" w:hAnsi="Calibri"/>
        </w:rPr>
        <w:t xml:space="preserve">A CDM is a hit if our screening found the same pair with a TCA within 300 seconds. Otherwise it is a miss.</w:t>
      </w:r>
    </w:p>
    <w:p>
      <w:pPr>
        <w:shd w:fill="F1F4F8" w:val="clear"/>
        <w:spacing w:after="120" w:before="60"/>
        <w:ind w:left="360"/>
      </w:pPr>
      <w:r>
        <w:rPr>
          <w:rFonts w:ascii="Consolas" w:cs="Consolas" w:eastAsia="Consolas" w:hAnsi="Consolas"/>
          <w:sz w:val="20"/>
          <w:szCs w:val="20"/>
        </w:rPr>
        <w:t xml:space="preserve">hit rate = hits ÷ reference CDMs      miss rate = misses ÷ reference CDMs</w:t>
      </w:r>
    </w:p>
    <w:p>
      <w:pPr>
        <w:spacing w:after="120"/>
      </w:pPr>
      <w:r>
        <w:rPr>
          <w:rFonts w:ascii="Calibri" w:cs="Calibri" w:eastAsia="Calibri" w:hAnsi="Calibri"/>
          <w:b/>
          <w:bCs/>
        </w:rPr>
        <w:t xml:space="preserve">Values shown: 95.0 % hit rate (19 of 20 CDMs) and 5.0 % miss rate (1 of 20). </w:t>
      </w:r>
      <w:r>
        <w:rPr>
          <w:rFonts w:ascii="Calibri" w:cs="Calibri" w:eastAsia="Calibri" w:hAnsi="Calibri"/>
        </w:rPr>
        <w:t xml:space="preserve">These were measured in a live run against real Space-Track CDMs, with a median TCA error of 0.12 s and a median miss-distance error of 392 m. In offline mode the same comparison is circular (the reference CDMs are the encounters the generator injected, giving 14 of 14), so the dashboard shows the live figures instead.</w:t>
      </w:r>
    </w:p>
    <w:p>
      <w:pPr>
        <w:pBdr>
          <w:left w:val="single" w:color="D9822B" w:sz="18" w:space="8"/>
        </w:pBdr>
        <w:spacing w:after="140" w:before="80"/>
        <w:ind w:left="240"/>
      </w:pPr>
      <w:r>
        <w:rPr>
          <w:rFonts w:ascii="Calibri" w:cs="Calibri" w:eastAsia="Calibri" w:hAnsi="Calibri"/>
          <w:sz w:val="21"/>
          <w:szCs w:val="21"/>
        </w:rPr>
        <w:t xml:space="preserve">With only 20 CDMs the uncertainty is large. The 95 % confidence interval for 19 of 20 is roughly 76 % to 99 %, so the true hit rate could be below the 90 % target. Collecting more CDMs would tighten this.</w:t>
      </w:r>
    </w:p>
    <w:p>
      <w:pPr>
        <w:pStyle w:val="Heading2"/>
        <w:spacing w:after="100" w:before="220"/>
      </w:pPr>
      <w:r>
        <w:rPr>
          <w:rFonts w:ascii="Calibri" w:cs="Calibri" w:eastAsia="Calibri" w:hAnsi="Calibri"/>
          <w:b/>
          <w:bCs/>
          <w:color w:val="1F3A5F"/>
          <w:sz w:val="24"/>
          <w:szCs w:val="24"/>
        </w:rPr>
        <w:t xml:space="preserve">2.3 Prediction lead time</w:t>
      </w:r>
    </w:p>
    <w:p>
      <w:pPr>
        <w:spacing w:after="120"/>
      </w:pPr>
      <w:r>
        <w:rPr>
          <w:rFonts w:ascii="Calibri" w:cs="Calibri" w:eastAsia="Calibri" w:hAnsi="Calibri"/>
        </w:rPr>
        <w:t xml:space="preserve">Lead time is how many hours before the closest approach an encounter is predicted. The KPI is the median lead time of all red and yellow alerts (12.0 h in the screenshot, target ≥ 6 h). If a run has no alerts, the table falls back to the median lead time of the encounters that matched real CDMs (9.2 h in the last live run), and its label says so.</w:t>
      </w:r>
    </w:p>
    <w:p>
      <w:pPr>
        <w:pStyle w:val="Heading2"/>
        <w:spacing w:after="100" w:before="220"/>
      </w:pPr>
      <w:r>
        <w:rPr>
          <w:rFonts w:ascii="Calibri" w:cs="Calibri" w:eastAsia="Calibri" w:hAnsi="Calibri"/>
          <w:b/>
          <w:bCs/>
          <w:color w:val="1F3A5F"/>
          <w:sz w:val="24"/>
          <w:szCs w:val="24"/>
        </w:rPr>
        <w:t xml:space="preserve">2.4 Propagation error</w:t>
      </w:r>
    </w:p>
    <w:p>
      <w:pPr>
        <w:spacing w:after="120"/>
      </w:pPr>
      <w:r>
        <w:rPr>
          <w:rFonts w:ascii="Calibri" w:cs="Calibri" w:eastAsia="Calibri" w:hAnsi="Calibri"/>
        </w:rPr>
        <w:t xml:space="preserve">Method (kpis.py, propagation_errors): take the TLE issued on one day, propagate it with SGP4 to the date of a later TLE for the same object, and measure the distance between the two predicted positions. Pairs that straddle a maneuver or breakup are excluded. The table shows the median distance for horizons of 1, 3 and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Horizon</w:t>
            </w:r>
          </w:p>
        </w:tc>
        <w:tc>
          <w:tcPr>
            <w:tcW w:type="dxa" w:w="24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Median error (offline)</w:t>
            </w:r>
          </w:p>
        </w:tc>
        <w:tc>
          <w:tcPr>
            <w:tcW w:type="dxa" w:w="466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Comment</w:t>
            </w:r>
          </w:p>
        </w:tc>
      </w:tr>
      <w:t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 day</w:t>
            </w:r>
          </w:p>
        </w:tc>
        <w:tc>
          <w:tcPr>
            <w:tcW w:type="dxa" w:w="24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0.84 km</w:t>
            </w:r>
          </w:p>
        </w:tc>
        <w:tc>
          <w:tcPr>
            <w:tcW w:type="dxa" w:w="46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Target ≤ 5 km</w:t>
            </w:r>
          </w:p>
        </w:tc>
      </w:tr>
      <w:t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3 days</w:t>
            </w:r>
          </w:p>
        </w:tc>
        <w:tc>
          <w:tcPr>
            <w:tcW w:type="dxa" w:w="24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3.42 km</w:t>
            </w:r>
          </w:p>
        </w:tc>
        <w:tc>
          <w:tcPr>
            <w:tcW w:type="dxa" w:w="46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Target ≤ 40 km</w:t>
            </w:r>
          </w:p>
        </w:tc>
      </w:tr>
      <w:t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7 days</w:t>
            </w:r>
          </w:p>
        </w:tc>
        <w:tc>
          <w:tcPr>
            <w:tcW w:type="dxa" w:w="24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16.94 km</w:t>
            </w:r>
          </w:p>
        </w:tc>
        <w:tc>
          <w:tcPr>
            <w:tcW w:type="dxa" w:w="46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Target ≤ 300 km. The error grows roughly with the square of time, mainly along the orbit, because of drag.</w:t>
            </w:r>
          </w:p>
        </w:tc>
      </w:tr>
    </w:tbl>
    <w:p>
      <w:pPr>
        <w:pBdr>
          <w:left w:val="single" w:color="D9822B" w:sz="18" w:space="8"/>
        </w:pBdr>
        <w:spacing w:after="140" w:before="80"/>
        <w:ind w:left="240"/>
      </w:pPr>
      <w:r>
        <w:rPr>
          <w:rFonts w:ascii="Calibri" w:cs="Calibri" w:eastAsia="Calibri" w:hAnsi="Calibri"/>
          <w:sz w:val="21"/>
          <w:szCs w:val="21"/>
        </w:rPr>
        <w:t xml:space="preserve">This compares one TLE against another TLE, not against a precise ephemeris, so it measures consistency between successive element sets. The live-mode errors were larger (3.34 / 36.31 / 260.02 km at 1 / 3 / 7 days).</w:t>
      </w:r>
    </w:p>
    <w:p>
      <w:pPr>
        <w:pStyle w:val="Heading2"/>
        <w:spacing w:after="100" w:before="220"/>
      </w:pPr>
      <w:r>
        <w:rPr>
          <w:rFonts w:ascii="Calibri" w:cs="Calibri" w:eastAsia="Calibri" w:hAnsi="Calibri"/>
          <w:b/>
          <w:bCs/>
          <w:color w:val="1F3A5F"/>
          <w:sz w:val="24"/>
          <w:szCs w:val="24"/>
        </w:rPr>
        <w:t xml:space="preserve">2.5 Covariance realism (χ² 95 % containment at 7 days)</w:t>
      </w:r>
    </w:p>
    <w:p>
      <w:pPr>
        <w:spacing w:after="120"/>
      </w:pPr>
      <w:r>
        <w:rPr>
          <w:rFonts w:ascii="Calibri" w:cs="Calibri" w:eastAsia="Calibri" w:hAnsi="Calibri"/>
        </w:rPr>
        <w:t xml:space="preserve">A covariance is realistic if the real error falls inside the uncertainty the model claims. For each propagation error the code divides the error by the model's predicted uncertainty and sums the squares (a quantity called NEES). For a correct 3-D covariance this follows a chi-square distribution with 3 degrees of freedom, so 95 % of values should be below 7.815.</w:t>
      </w:r>
    </w:p>
    <w:p>
      <w:pPr>
        <w:shd w:fill="F1F4F8" w:val="clear"/>
        <w:spacing w:after="120" w:before="60"/>
        <w:ind w:left="360"/>
      </w:pPr>
      <w:r>
        <w:rPr>
          <w:rFonts w:ascii="Consolas" w:cs="Consolas" w:eastAsia="Consolas" w:hAnsi="Consolas"/>
          <w:sz w:val="20"/>
          <w:szCs w:val="20"/>
        </w:rPr>
        <w:t xml:space="preserve">containment = fraction of cases with NEES &lt; 7.815      (target 95 %)</w:t>
      </w:r>
    </w:p>
    <w:p>
      <w:pPr>
        <w:spacing w:after="120"/>
      </w:pPr>
      <w:r>
        <w:rPr>
          <w:rFonts w:ascii="Calibri" w:cs="Calibri" w:eastAsia="Calibri" w:hAnsi="Calibri"/>
        </w:rPr>
        <w:t xml:space="preserve">The model first fits per-axis scale factors on the median error (fit_realism). A further step widens all axes until the 95th percentile of the worst horizon reaches 7.815. Offline this reaches 95.0 % at 7 days. Below 95 % means the model is overconfident, which makes Pc too low; well above 95 % means it is too cautious.</w:t>
      </w:r>
    </w:p>
    <w:p>
      <w:pPr>
        <w:pBdr>
          <w:left w:val="single" w:color="D9822B" w:sz="18" w:space="8"/>
        </w:pBdr>
        <w:spacing w:after="140" w:before="80"/>
        <w:ind w:left="240"/>
      </w:pPr>
      <w:r>
        <w:rPr>
          <w:rFonts w:ascii="Calibri" w:cs="Calibri" w:eastAsia="Calibri" w:hAnsi="Calibri"/>
          <w:sz w:val="21"/>
          <w:szCs w:val="21"/>
        </w:rPr>
        <w:t xml:space="preserve">In the live run the same widening hit its upper limit of 60 times and still reached only 79.5 % at 7 days, and the huge covariances pushed every Pc below the alert thresholds (0 red and 0 yellow alerts). This is a known issue that needs a more careful fit.</w:t>
      </w:r>
    </w:p>
    <w:p>
      <w:pPr>
        <w:pStyle w:val="Heading2"/>
        <w:spacing w:after="100" w:before="220"/>
      </w:pPr>
      <w:r>
        <w:rPr>
          <w:rFonts w:ascii="Calibri" w:cs="Calibri" w:eastAsia="Calibri" w:hAnsi="Calibri"/>
          <w:b/>
          <w:bCs/>
          <w:color w:val="1F3A5F"/>
          <w:sz w:val="24"/>
          <w:szCs w:val="24"/>
        </w:rPr>
        <w:t xml:space="preserve">2.6 Screening throughput, catalog coverage, update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KPI</w:t>
            </w:r>
          </w:p>
        </w:tc>
        <w:tc>
          <w:tcPr>
            <w:tcW w:type="dxa" w:w="22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Value</w:t>
            </w:r>
          </w:p>
        </w:tc>
        <w:tc>
          <w:tcPr>
            <w:tcW w:type="dxa" w:w="456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How it is computed</w:t>
            </w:r>
          </w:p>
        </w:tc>
      </w:tr>
      <w:t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Screening throughput</w:t>
            </w:r>
          </w:p>
        </w:tc>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1,467,551,265 pairs/s</w:t>
            </w:r>
          </w:p>
        </w:tc>
        <w:tc>
          <w:tcPr>
            <w:tcW w:type="dxa" w:w="45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Number of object-pair, time-step evaluations performed in the screening search ÷ the wall-clock time of that search. Measured on the machine that ran it, so it changes with hardware. Target ≥ 1,000,000.</w:t>
            </w:r>
          </w:p>
        </w:tc>
      </w:tr>
      <w:t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Catalog coverage</w:t>
            </w:r>
          </w:p>
        </w:tc>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2,530 objects</w:t>
            </w:r>
          </w:p>
        </w:tc>
        <w:tc>
          <w:tcPr>
            <w:tcW w:type="dxa" w:w="45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Number of objects in the catalog that was screened (here the generated offline catalog; 3,076 in the live run). Target ≥ 1,000.</w:t>
            </w:r>
          </w:p>
        </w:tc>
      </w:tr>
      <w:t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Update latency</w:t>
            </w:r>
          </w:p>
        </w:tc>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6.9 s</w:t>
            </w:r>
          </w:p>
        </w:tc>
        <w:tc>
          <w:tcPr>
            <w:tcW w:type="dxa" w:w="45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Wall-clock time to re-screen 20 randomly chosen objects against the whole catalog over the horizon, which is the work needed after new observations arrive. Target &lt; 60 s.</w:t>
            </w:r>
          </w:p>
        </w:tc>
      </w:tr>
    </w:tbl>
    <w:p>
      <w:pPr>
        <w:pStyle w:val="Heading2"/>
        <w:spacing w:after="100" w:before="220"/>
      </w:pPr>
      <w:r>
        <w:rPr>
          <w:rFonts w:ascii="Calibri" w:cs="Calibri" w:eastAsia="Calibri" w:hAnsi="Calibri"/>
          <w:b/>
          <w:bCs/>
          <w:color w:val="1F3A5F"/>
          <w:sz w:val="24"/>
          <w:szCs w:val="24"/>
        </w:rPr>
        <w:t xml:space="preserve">2.7 Maneuver efficiency (mean Δv per burn)</w:t>
      </w:r>
    </w:p>
    <w:p>
      <w:pPr>
        <w:spacing w:after="120"/>
      </w:pPr>
      <w:r>
        <w:rPr>
          <w:rFonts w:ascii="Calibri" w:cs="Calibri" w:eastAsia="Calibri" w:hAnsi="Calibri"/>
        </w:rPr>
        <w:t xml:space="preserve">This KPI is the average Δv of the planned avoidance burns, using the planner described in section 3. The screenshot shows 0.41 m/s (0.10 L of fuel) with the label 'benchmark'. The reason is that this run had no red alerts, so there was nothing real to plan. The benchmark plans a burn for the 10 highest-Pc maneuverable encounters, each time asking for a ten-fold cut of that encounter's own Pc (capped at the red-alert goal), and averages the burns. It shows how cheap avoidance is, not the cost of a response to actual alerts. The ≤ 1 m/s target was chosen as a reasonable figure and can be changed.</w:t>
      </w:r>
    </w:p>
    <w:p>
      <w:pPr>
        <w:pStyle w:val="Heading1"/>
        <w:spacing w:after="140" w:before="320"/>
      </w:pPr>
      <w:r>
        <w:rPr>
          <w:rFonts w:ascii="Calibri" w:cs="Calibri" w:eastAsia="Calibri" w:hAnsi="Calibri"/>
          <w:b/>
          <w:bCs/>
          <w:color w:val="1F3A5F"/>
          <w:sz w:val="30"/>
          <w:szCs w:val="30"/>
        </w:rPr>
        <w:t xml:space="preserve">3. The recommended avoidance maneuver</w:t>
      </w:r>
    </w:p>
    <w:p>
      <w:pPr>
        <w:spacing w:after="120"/>
      </w:pPr>
      <w:r>
        <w:rPr>
          <w:rFonts w:ascii="Calibri" w:cs="Calibri" w:eastAsia="Calibri" w:hAnsi="Calibri"/>
        </w:rPr>
        <w:t xml:space="preserve">The screenshot shows one encounter where the planner recommends a 0.655 m/s burn along the track, 0.8 hours before closest approach. The planner is in sdrp/ops/maneuver.py.</w:t>
      </w:r>
    </w:p>
    <w:p>
      <w:pPr>
        <w:pStyle w:val="Heading2"/>
        <w:spacing w:after="100" w:before="220"/>
      </w:pPr>
      <w:r>
        <w:rPr>
          <w:rFonts w:ascii="Calibri" w:cs="Calibri" w:eastAsia="Calibri" w:hAnsi="Calibri"/>
          <w:b/>
          <w:bCs/>
          <w:color w:val="1F3A5F"/>
          <w:sz w:val="24"/>
          <w:szCs w:val="24"/>
        </w:rPr>
        <w:t xml:space="preserve">3.1 Search</w:t>
      </w:r>
    </w:p>
    <w:p>
      <w:pPr>
        <w:pStyle w:val="ListParagraph"/>
        <w:numPr>
          <w:ilvl w:val="0"/>
          <w:numId w:val="2"/>
        </w:numPr>
        <w:spacing w:after="60"/>
      </w:pPr>
      <w:r>
        <w:rPr>
          <w:rFonts w:ascii="Calibri" w:cs="Calibri" w:eastAsia="Calibri" w:hAnsi="Calibri"/>
        </w:rPr>
        <w:t xml:space="preserve">Candidate burn times: 0.5, 1, 1.5, 2, 3, 4, 6, 8 and 12 half-orbits before closest approach, never in the past and at least 10 minutes ahead to leave time to upload commands.</w:t>
      </w:r>
    </w:p>
    <w:p>
      <w:pPr>
        <w:pStyle w:val="ListParagraph"/>
        <w:numPr>
          <w:ilvl w:val="0"/>
          <w:numId w:val="2"/>
        </w:numPr>
        <w:spacing w:after="60"/>
      </w:pPr>
      <w:r>
        <w:rPr>
          <w:rFonts w:ascii="Calibri" w:cs="Calibri" w:eastAsia="Calibri" w:hAnsi="Calibri"/>
        </w:rPr>
        <w:t xml:space="preserve">Candidate directions: plus and minus along-track, radial and cross-track (six).</w:t>
      </w:r>
    </w:p>
    <w:p>
      <w:pPr>
        <w:pStyle w:val="ListParagraph"/>
        <w:numPr>
          <w:ilvl w:val="0"/>
          <w:numId w:val="2"/>
        </w:numPr>
        <w:spacing w:after="60"/>
      </w:pPr>
      <w:r>
        <w:rPr>
          <w:rFonts w:ascii="Calibri" w:cs="Calibri" w:eastAsia="Calibri" w:hAnsi="Calibri"/>
        </w:rPr>
        <w:t xml:space="preserve">For each time and direction, the code uses the Clohessy-Wiltshire equations of relative motion to turn a small velocity change into the displacement of the satellite at closest approach, then bisects on the burn size (30 steps, up to 5 m/s) until Pc falls below the target.</w:t>
      </w:r>
    </w:p>
    <w:p>
      <w:pPr>
        <w:shd w:fill="F1F4F8" w:val="clear"/>
        <w:spacing w:after="120" w:before="60"/>
        <w:ind w:left="360"/>
      </w:pPr>
      <w:r>
        <w:rPr>
          <w:rFonts w:ascii="Consolas" w:cs="Consolas" w:eastAsia="Consolas" w:hAnsi="Consolas"/>
          <w:sz w:val="20"/>
          <w:szCs w:val="20"/>
        </w:rPr>
        <w:t xml:space="preserve">x = sin(nt)/n · vR + 2/n · (1 − cos nt) · vI</w:t>
      </w:r>
      <w:r>
        <w:rPr>
          <w:rFonts w:ascii="Consolas" w:cs="Consolas" w:eastAsia="Consolas" w:hAnsi="Consolas"/>
          <w:sz w:val="20"/>
          <w:szCs w:val="20"/>
        </w:rPr>
        <w:br/>
        <w:t xml:space="preserve">y = 2/n · (cos nt − 1) · vR + (4 sin nt − 3nt)/n · vI</w:t>
      </w:r>
      <w:r>
        <w:rPr>
          <w:rFonts w:ascii="Consolas" w:cs="Consolas" w:eastAsia="Consolas" w:hAnsi="Consolas"/>
          <w:sz w:val="20"/>
          <w:szCs w:val="20"/>
        </w:rPr>
        <w:br/>
        <w:t xml:space="preserve">z = sin(nt)/n · vC          n = √(μ / a³),  t = time from burn to closest approach</w:t>
      </w:r>
    </w:p>
    <w:p>
      <w:pPr>
        <w:spacing w:after="120"/>
      </w:pPr>
      <w:r>
        <w:rPr>
          <w:rFonts w:ascii="Calibri" w:cs="Calibri" w:eastAsia="Calibri" w:hAnsi="Calibri"/>
        </w:rPr>
        <w:t xml:space="preserve">A along-track burn made well before closest approach is usually the cheapest, because the along-track drift grows as 3·Δv·t. The search finds this by itself.</w:t>
      </w:r>
    </w:p>
    <w:p>
      <w:pPr>
        <w:pStyle w:val="Heading2"/>
        <w:spacing w:after="100" w:before="220"/>
      </w:pPr>
      <w:r>
        <w:rPr>
          <w:rFonts w:ascii="Calibri" w:cs="Calibri" w:eastAsia="Calibri" w:hAnsi="Calibri"/>
          <w:b/>
          <w:bCs/>
          <w:color w:val="1F3A5F"/>
          <w:sz w:val="24"/>
          <w:szCs w:val="24"/>
        </w:rPr>
        <w:t xml:space="preserve">3.2 Cost of returning to the slot</w:t>
      </w:r>
    </w:p>
    <w:p>
      <w:pPr>
        <w:shd w:fill="F1F4F8" w:val="clear"/>
        <w:spacing w:after="120" w:before="60"/>
        <w:ind w:left="360"/>
      </w:pPr>
      <w:r>
        <w:rPr>
          <w:rFonts w:ascii="Consolas" w:cs="Consolas" w:eastAsia="Consolas" w:hAnsi="Consolas"/>
          <w:sz w:val="20"/>
          <w:szCs w:val="20"/>
        </w:rPr>
        <w:t xml:space="preserve">return Δv = avoid Δv + 2 · |along-track share| · avoid Δv · t / recovery time        (recovery time = 2 days)</w:t>
      </w:r>
      <w:r>
        <w:rPr>
          <w:rFonts w:ascii="Consolas" w:cs="Consolas" w:eastAsia="Consolas" w:hAnsi="Consolas"/>
          <w:sz w:val="20"/>
          <w:szCs w:val="20"/>
        </w:rPr>
        <w:br/>
        <w:t xml:space="preserve">total Δv   = avoid Δv + return Δv</w:t>
      </w:r>
    </w:p>
    <w:p>
      <w:pPr>
        <w:spacing w:after="120"/>
      </w:pPr>
      <w:r>
        <w:rPr>
          <w:rFonts w:ascii="Calibri" w:cs="Calibri" w:eastAsia="Calibri" w:hAnsi="Calibri"/>
        </w:rPr>
        <w:t xml:space="preserve">The cheapest option that still fits the available fuel wins.</w:t>
      </w:r>
    </w:p>
    <w:p>
      <w:pPr>
        <w:pStyle w:val="Heading2"/>
        <w:spacing w:after="100" w:before="220"/>
      </w:pPr>
      <w:r>
        <w:rPr>
          <w:rFonts w:ascii="Calibri" w:cs="Calibri" w:eastAsia="Calibri" w:hAnsi="Calibri"/>
          <w:b/>
          <w:bCs/>
          <w:color w:val="1F3A5F"/>
          <w:sz w:val="24"/>
          <w:szCs w:val="24"/>
        </w:rPr>
        <w:t xml:space="preserve">3.3 Reading the numbers on the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rPr>
          <w:tblHeader/>
        </w:trPr>
        <w:tc>
          <w:tcPr>
            <w:tcW w:type="dxa" w:w="28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Item</w:t>
            </w:r>
          </w:p>
        </w:tc>
        <w:tc>
          <w:tcPr>
            <w:tcW w:type="dxa" w:w="17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Value</w:t>
            </w:r>
          </w:p>
        </w:tc>
        <w:tc>
          <w:tcPr>
            <w:tcW w:type="dxa" w:w="486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Where it comes from</w:t>
            </w:r>
          </w:p>
        </w:tc>
      </w:tr>
      <w:tr>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Avoidance Δv</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0.655 m/s</w:t>
            </w:r>
          </w:p>
        </w:tc>
        <w:tc>
          <w:tcPr>
            <w:tcW w:type="dxa" w:w="4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Smallest burn, along-track (−), that brings Pc below the target.</w:t>
            </w:r>
          </w:p>
        </w:tc>
      </w:tr>
      <w:tr>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Return-to-slot Δv</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0.677 m/s</w:t>
            </w:r>
          </w:p>
        </w:tc>
        <w:tc>
          <w:tcPr>
            <w:tcW w:type="dxa" w:w="4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0.655 + 2 × 0.655 × 2,880 s ÷ 172,800 s (burn 0.8 h = 2,880 s before closest approach; recovery 2 days).</w:t>
            </w:r>
          </w:p>
        </w:tc>
      </w:tr>
      <w:tr>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Total Δv</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1.332 m/s</w:t>
            </w:r>
          </w:p>
        </w:tc>
        <w:tc>
          <w:tcPr>
            <w:tcW w:type="dxa" w:w="4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0.655 + 0.677.</w:t>
            </w:r>
          </w:p>
        </w:tc>
      </w:tr>
      <w:tr>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Pc before → after</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7.4e-6 → 7.4e-7</w:t>
            </w:r>
          </w:p>
        </w:tc>
        <w:tc>
          <w:tcPr>
            <w:tcW w:type="dxa" w:w="4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Pc recomputed with the Foster method after the burn. The target was a ten-fold reduction.</w:t>
            </w:r>
          </w:p>
        </w:tc>
      </w:tr>
      <w:tr>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New miss distance</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6.60 km</w:t>
            </w:r>
          </w:p>
        </w:tc>
        <w:tc>
          <w:tcPr>
            <w:tcW w:type="dxa" w:w="4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Distance between the two objects at closest approach after the burn.</w:t>
            </w:r>
          </w:p>
        </w:tc>
      </w:tr>
      <w:tr>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Saving versus a late burn</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75.0 %</w:t>
            </w:r>
          </w:p>
        </w:tc>
        <w:tc>
          <w:tcPr>
            <w:tcW w:type="dxa" w:w="4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1 − 0.655 ÷ 2.622. The reference is a late radial burn a quarter-orbit before closest approach, which would need 2.622 m/s.</w:t>
            </w:r>
          </w:p>
        </w:tc>
      </w:tr>
      <w:tr>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Fuel used by the maneuver</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0.46 L</w:t>
            </w:r>
          </w:p>
        </w:tc>
        <w:tc>
          <w:tcPr>
            <w:tcW w:type="dxa" w:w="4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1.332 m/s ÷ 250 m/s × 87.2 L (see section 4).</w:t>
            </w:r>
          </w:p>
        </w:tc>
      </w:tr>
    </w:tbl>
    <w:p>
      <w:pPr>
        <w:spacing w:after="80"/>
      </w:pPr>
    </w:p>
    <w:p>
      <w:pPr>
        <w:pStyle w:val="Heading2"/>
        <w:spacing w:after="100" w:before="220"/>
      </w:pPr>
      <w:r>
        <w:rPr>
          <w:rFonts w:ascii="Calibri" w:cs="Calibri" w:eastAsia="Calibri" w:hAnsi="Calibri"/>
          <w:b/>
          <w:bCs/>
          <w:color w:val="1F3A5F"/>
          <w:sz w:val="24"/>
          <w:szCs w:val="24"/>
        </w:rPr>
        <w:t xml:space="preserve">3.4 How Pc itself is calculated</w:t>
      </w:r>
    </w:p>
    <w:p>
      <w:pPr>
        <w:spacing w:after="120"/>
      </w:pPr>
      <w:r>
        <w:rPr>
          <w:rFonts w:ascii="Calibri" w:cs="Calibri" w:eastAsia="Calibri" w:hAnsi="Calibri"/>
        </w:rPr>
        <w:t xml:space="preserve">Pc is calculated with the Foster 2-D method (sdrp/astro/pc.py). At closest approach the relative position and the combined covariance are projected on the plane perpendicular to the relative velocity. Pc is the integral of the 2-D Gaussian probability density over a circle of radius equal to the sum of the two object radii (the hard-body radius), evaluated with Gauss-Legendre quadrature in polar coordinates.</w:t>
      </w:r>
    </w:p>
    <w:p>
      <w:pPr>
        <w:pStyle w:val="Heading1"/>
        <w:spacing w:after="140" w:before="320"/>
      </w:pPr>
      <w:r>
        <w:rPr>
          <w:rFonts w:ascii="Calibri" w:cs="Calibri" w:eastAsia="Calibri" w:hAnsi="Calibri"/>
          <w:b/>
          <w:bCs/>
          <w:color w:val="1F3A5F"/>
          <w:sz w:val="30"/>
          <w:szCs w:val="30"/>
        </w:rPr>
        <w:t xml:space="preserve">4. The fuel budget</w:t>
      </w:r>
    </w:p>
    <w:p>
      <w:pPr>
        <w:pStyle w:val="Heading2"/>
        <w:spacing w:after="100" w:before="220"/>
      </w:pPr>
      <w:r>
        <w:rPr>
          <w:rFonts w:ascii="Calibri" w:cs="Calibri" w:eastAsia="Calibri" w:hAnsi="Calibri"/>
          <w:b/>
          <w:bCs/>
          <w:color w:val="1F3A5F"/>
          <w:sz w:val="24"/>
          <w:szCs w:val="24"/>
        </w:rPr>
        <w:t xml:space="preserve">4.1 Assumptions (sdrp/ops/lifecycle.py)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tblHeader/>
        </w:trPr>
        <w:tc>
          <w:tcPr>
            <w:tcW w:type="dxa" w:w="18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Orbit regime</w:t>
            </w:r>
          </w:p>
        </w:tc>
        <w:tc>
          <w:tcPr>
            <w:tcW w:type="dxa" w:w="19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Design life</w:t>
            </w:r>
          </w:p>
        </w:tc>
        <w:tc>
          <w:tcPr>
            <w:tcW w:type="dxa" w:w="19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Total Δv budget</w:t>
            </w:r>
          </w:p>
        </w:tc>
        <w:tc>
          <w:tcPr>
            <w:tcW w:type="dxa" w:w="19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Backup reserve</w:t>
            </w:r>
          </w:p>
        </w:tc>
        <w:tc>
          <w:tcPr>
            <w:tcW w:type="dxa" w:w="186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Station-keeping</w:t>
            </w:r>
          </w:p>
        </w:tc>
      </w:tr>
      <w:tr>
        <w:tc>
          <w:tcPr>
            <w:tcW w:type="dxa" w:w="1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LEO</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7 years</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250 m/s</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20 %</w:t>
            </w:r>
          </w:p>
        </w:tc>
        <w:tc>
          <w:tcPr>
            <w:tcW w:type="dxa" w:w="1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12 m/s per year</w:t>
            </w:r>
          </w:p>
        </w:tc>
      </w:tr>
      <w:tr>
        <w:tc>
          <w:tcPr>
            <w:tcW w:type="dxa" w:w="1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MEO</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12 years</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600 m/s</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20 %</w:t>
            </w:r>
          </w:p>
        </w:tc>
        <w:tc>
          <w:tcPr>
            <w:tcW w:type="dxa" w:w="1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15 m/s per year</w:t>
            </w:r>
          </w:p>
        </w:tc>
      </w:tr>
      <w:tr>
        <w:tc>
          <w:tcPr>
            <w:tcW w:type="dxa" w:w="1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GEO</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15 years</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1,500 m/s</w:t>
            </w:r>
          </w:p>
        </w:tc>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20 %</w:t>
            </w:r>
          </w:p>
        </w:tc>
        <w:tc>
          <w:tcPr>
            <w:tcW w:type="dxa" w:w="18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50 m/s per year</w:t>
            </w:r>
          </w:p>
        </w:tc>
      </w:tr>
    </w:tbl>
    <w:p>
      <w:pPr>
        <w:spacing w:after="80"/>
      </w:pPr>
    </w:p>
    <w:p>
      <w:pPr>
        <w:spacing w:after="120"/>
      </w:pPr>
      <w:r>
        <w:rPr>
          <w:rFonts w:ascii="Calibri" w:cs="Calibri" w:eastAsia="Calibri" w:hAnsi="Calibri"/>
        </w:rPr>
        <w:t xml:space="preserve">Neither TLEs nor public catalogs give propellant levels, so the budget is assumed. The launch year comes from the international designator in the TLE. The share of design life already used scales the fuel down linearly. If you put real figures in data/fuel.json, they replace the assumption.</w:t>
      </w:r>
    </w:p>
    <w:p>
      <w:pPr>
        <w:shd w:fill="F1F4F8" w:val="clear"/>
        <w:spacing w:after="120" w:before="60"/>
        <w:ind w:left="360"/>
      </w:pPr>
      <w:r>
        <w:rPr>
          <w:rFonts w:ascii="Consolas" w:cs="Consolas" w:eastAsia="Consolas" w:hAnsi="Consolas"/>
          <w:sz w:val="20"/>
          <w:szCs w:val="20"/>
        </w:rPr>
        <w:t xml:space="preserve">used share = age ÷ design life</w:t>
      </w:r>
      <w:r>
        <w:rPr>
          <w:rFonts w:ascii="Consolas" w:cs="Consolas" w:eastAsia="Consolas" w:hAnsi="Consolas"/>
          <w:sz w:val="20"/>
          <w:szCs w:val="20"/>
        </w:rPr>
        <w:br/>
        <w:t xml:space="preserve">remaining Δv = total × (1 − used share)</w:t>
      </w:r>
      <w:r>
        <w:rPr>
          <w:rFonts w:ascii="Consolas" w:cs="Consolas" w:eastAsia="Consolas" w:hAnsi="Consolas"/>
          <w:sz w:val="20"/>
          <w:szCs w:val="20"/>
        </w:rPr>
        <w:br/>
        <w:t xml:space="preserve">usable Δv = remaining − (reserve fraction × total)</w:t>
      </w:r>
    </w:p>
    <w:p>
      <w:pPr>
        <w:pStyle w:val="Heading2"/>
        <w:spacing w:after="100" w:before="220"/>
      </w:pPr>
      <w:r>
        <w:rPr>
          <w:rFonts w:ascii="Calibri" w:cs="Calibri" w:eastAsia="Calibri" w:hAnsi="Calibri"/>
          <w:b/>
          <w:bCs/>
          <w:color w:val="1F3A5F"/>
          <w:sz w:val="24"/>
          <w:szCs w:val="24"/>
        </w:rPr>
        <w:t xml:space="preserve">4.2 Converting Δv to litres</w:t>
      </w:r>
    </w:p>
    <w:p>
      <w:pPr>
        <w:spacing w:after="120"/>
      </w:pPr>
      <w:r>
        <w:rPr>
          <w:rFonts w:ascii="Calibri" w:cs="Calibri" w:eastAsia="Calibri" w:hAnsi="Calibri"/>
        </w:rPr>
        <w:t xml:space="preserve">The rocket equation gives the propellant needed: hydrazine, Isp 220 s, density 1.004 kg/L.</w:t>
      </w:r>
    </w:p>
    <w:p>
      <w:pPr>
        <w:shd w:fill="F1F4F8" w:val="clear"/>
        <w:spacing w:after="120" w:before="60"/>
        <w:ind w:left="360"/>
      </w:pPr>
      <w:r>
        <w:rPr>
          <w:rFonts w:ascii="Consolas" w:cs="Consolas" w:eastAsia="Consolas" w:hAnsi="Consolas"/>
          <w:sz w:val="20"/>
          <w:szCs w:val="20"/>
        </w:rPr>
        <w:t xml:space="preserve">tank litres = mass × (1 − exp(−total Δv ÷ (Isp × 9.80665))) ÷ density</w:t>
      </w:r>
    </w:p>
    <w:p>
      <w:pPr>
        <w:spacing w:after="120"/>
      </w:pPr>
      <w:r>
        <w:rPr>
          <w:rFonts w:ascii="Calibri" w:cs="Calibri" w:eastAsia="Calibri" w:hAnsi="Calibri"/>
        </w:rPr>
        <w:t xml:space="preserve">The screenshot's 87.2 L full tank for 250 m/s corresponds to a satellite mass of about 800 kg. A maneuver's litres are its share of the Δv budget times the tank volume.</w:t>
      </w:r>
    </w:p>
    <w:p>
      <w:pPr>
        <w:pStyle w:val="Heading2"/>
        <w:spacing w:after="100" w:before="220"/>
      </w:pPr>
      <w:r>
        <w:rPr>
          <w:rFonts w:ascii="Calibri" w:cs="Calibri" w:eastAsia="Calibri" w:hAnsi="Calibri"/>
          <w:b/>
          <w:bCs/>
          <w:color w:val="1F3A5F"/>
          <w:sz w:val="24"/>
          <w:szCs w:val="24"/>
        </w:rPr>
        <w:t xml:space="preserve">4.3 Reading the fuel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60"/>
      </w:tblGrid>
      <w:tr>
        <w:trPr>
          <w:tblHeader/>
        </w:trPr>
        <w:tc>
          <w:tcPr>
            <w:tcW w:type="dxa" w:w="33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Row</w:t>
            </w:r>
          </w:p>
        </w:tc>
        <w:tc>
          <w:tcPr>
            <w:tcW w:type="dxa" w:w="13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Value</w:t>
            </w:r>
          </w:p>
        </w:tc>
        <w:tc>
          <w:tcPr>
            <w:tcW w:type="dxa" w:w="476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Calculation</w:t>
            </w:r>
          </w:p>
        </w:tc>
      </w:tr>
      <w:t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Full tank at launch</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250.0 m/s · 87.2 L</w:t>
            </w:r>
          </w:p>
        </w:tc>
        <w:tc>
          <w:tcPr>
            <w:tcW w:type="dxa" w:w="47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Total Δv budget for LEO.</w:t>
            </w:r>
          </w:p>
        </w:tc>
      </w:tr>
      <w:t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Used so far (4.8 y of 7 y)</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170.6 m/s · 68.2 %</w:t>
            </w:r>
          </w:p>
        </w:tc>
        <w:tc>
          <w:tcPr>
            <w:tcW w:type="dxa" w:w="47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250 × 4.77 ÷ 7 years of design life used.</w:t>
            </w:r>
          </w:p>
        </w:tc>
      </w:tr>
      <w:t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Left now</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79.4 m/s · 31.8 %</w:t>
            </w:r>
          </w:p>
        </w:tc>
        <w:tc>
          <w:tcPr>
            <w:tcW w:type="dxa" w:w="47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250 − 170.6.</w:t>
            </w:r>
          </w:p>
        </w:tc>
      </w:tr>
      <w:t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of which backup</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50.0 m/s · 17.4 L</w:t>
            </w:r>
          </w:p>
        </w:tc>
        <w:tc>
          <w:tcPr>
            <w:tcW w:type="dxa" w:w="47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20 % of 250 m/s, never used for avoidance.</w:t>
            </w:r>
          </w:p>
        </w:tc>
      </w:tr>
      <w:t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of which usable</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29.4 m/s · 10.3 L</w:t>
            </w:r>
          </w:p>
        </w:tc>
        <w:tc>
          <w:tcPr>
            <w:tcW w:type="dxa" w:w="47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79.4 − 50.0.</w:t>
            </w:r>
          </w:p>
        </w:tc>
      </w:tr>
      <w:t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Used by this maneuver</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1.3 m/s · 0.46 L</w:t>
            </w:r>
          </w:p>
        </w:tc>
        <w:tc>
          <w:tcPr>
            <w:tcW w:type="dxa" w:w="47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Total Δv of the burn plus its return.</w:t>
            </w:r>
          </w:p>
        </w:tc>
      </w:tr>
      <w:t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Usable fuel left after</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28.1 m/s · 9.80 L</w:t>
            </w:r>
          </w:p>
        </w:tc>
        <w:tc>
          <w:tcPr>
            <w:tcW w:type="dxa" w:w="47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29.4 − 1.33.</w:t>
            </w:r>
          </w:p>
        </w:tc>
      </w:tr>
    </w:tbl>
    <w:p>
      <w:pPr>
        <w:spacing w:after="80"/>
      </w:pPr>
    </w:p>
    <w:p>
      <w:pPr>
        <w:pStyle w:val="Heading2"/>
        <w:spacing w:after="100" w:before="220"/>
      </w:pPr>
      <w:r>
        <w:rPr>
          <w:rFonts w:ascii="Calibri" w:cs="Calibri" w:eastAsia="Calibri" w:hAnsi="Calibri"/>
          <w:b/>
          <w:bCs/>
          <w:color w:val="1F3A5F"/>
          <w:sz w:val="24"/>
          <w:szCs w:val="24"/>
        </w:rPr>
        <w:t xml:space="preserve">4.4 Remaining life and the 'more debris' scenarios</w:t>
      </w:r>
    </w:p>
    <w:p>
      <w:pPr>
        <w:spacing w:after="120"/>
      </w:pPr>
      <w:r>
        <w:rPr>
          <w:rFonts w:ascii="Calibri" w:cs="Calibri" w:eastAsia="Calibri" w:hAnsi="Calibri"/>
        </w:rPr>
        <w:t xml:space="preserve">Remaining life on usable fuel is the usable Δv divided by the average Δv spent per year of normal operation (250 ÷ 7 = 35.7 m/s per year):</w:t>
      </w:r>
    </w:p>
    <w:p>
      <w:pPr>
        <w:shd w:fill="F1F4F8" w:val="clear"/>
        <w:spacing w:after="120" w:before="60"/>
        <w:ind w:left="360"/>
      </w:pPr>
      <w:r>
        <w:rPr>
          <w:rFonts w:ascii="Consolas" w:cs="Consolas" w:eastAsia="Consolas" w:hAnsi="Consolas"/>
          <w:sz w:val="20"/>
          <w:szCs w:val="20"/>
        </w:rPr>
        <w:t xml:space="preserve">before: 29.4 ÷ 35.7 = 0.8 y        after: 28.1 ÷ 35.7 = 0.8 y</w:t>
      </w:r>
      <w:r>
        <w:rPr>
          <w:rFonts w:ascii="Consolas" w:cs="Consolas" w:eastAsia="Consolas" w:hAnsi="Consolas"/>
          <w:sz w:val="20"/>
          <w:szCs w:val="20"/>
        </w:rPr>
        <w:br/>
        <w:t xml:space="preserve">life lost to the maneuver = 1.332 ÷ 35.7 × 365 ≈ 14 days</w:t>
      </w:r>
    </w:p>
    <w:p>
      <w:pPr>
        <w:spacing w:after="120"/>
      </w:pPr>
      <w:r>
        <w:rPr>
          <w:rFonts w:ascii="Calibri" w:cs="Calibri" w:eastAsia="Calibri" w:hAnsi="Calibri"/>
        </w:rPr>
        <w:t xml:space="preserve">The scenario table asks how long the usable fuel lasts if there are r red encounters per year, each costing the same 1.332 m/s:</w:t>
      </w:r>
    </w:p>
    <w:p>
      <w:pPr>
        <w:shd w:fill="F1F4F8" w:val="clear"/>
        <w:spacing w:after="120" w:before="60"/>
        <w:ind w:left="360"/>
      </w:pPr>
      <w:r>
        <w:rPr>
          <w:rFonts w:ascii="Consolas" w:cs="Consolas" w:eastAsia="Consolas" w:hAnsi="Consolas"/>
          <w:sz w:val="20"/>
          <w:szCs w:val="20"/>
        </w:rPr>
        <w:t xml:space="preserve">years = usable Δv after ÷ (35.7 + r × 1.332)        maneuvers possible = floor(r ×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000"/>
        <w:gridCol w:w="2660"/>
      </w:tblGrid>
      <w:tr>
        <w:trPr>
          <w:tblHeader/>
        </w:trPr>
        <w:tc>
          <w:tcPr>
            <w:tcW w:type="dxa" w:w="30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Scenario</w:t>
            </w:r>
          </w:p>
        </w:tc>
        <w:tc>
          <w:tcPr>
            <w:tcW w:type="dxa" w:w="17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Maneuvers</w:t>
            </w:r>
          </w:p>
        </w:tc>
        <w:tc>
          <w:tcPr>
            <w:tcW w:type="dxa" w:w="200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Fuel lasts</w:t>
            </w:r>
          </w:p>
        </w:tc>
        <w:tc>
          <w:tcPr>
            <w:tcW w:type="dxa" w:w="2660"/>
            <w:tcBorders>
              <w:top w:val="single" w:color="BFC5CC" w:sz="4"/>
              <w:left w:val="single" w:color="BFC5CC" w:sz="4"/>
              <w:bottom w:val="single" w:color="BFC5CC" w:sz="4"/>
              <w:right w:val="single" w:color="BFC5CC" w:sz="4"/>
            </w:tcBorders>
            <w:shd w:fill="1F3A5F" w:val="clear"/>
            <w:tcMar>
              <w:top w:type="dxa" w:w="70"/>
              <w:left w:type="dxa" w:w="100"/>
              <w:bottom w:type="dxa" w:w="70"/>
              <w:right w:type="dxa" w:w="100"/>
            </w:tcMar>
          </w:tcPr>
          <w:p>
            <w:r>
              <w:rPr>
                <w:rFonts w:ascii="Calibri" w:cs="Calibri" w:eastAsia="Calibri" w:hAnsi="Calibri"/>
                <w:b/>
                <w:bCs/>
                <w:color w:val="FFFFFF"/>
                <w:sz w:val="19"/>
                <w:szCs w:val="19"/>
              </w:rPr>
              <w:t xml:space="preserve">Versus design life (2.2 y left)</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no more close encounters</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0.8 y</w:t>
            </w:r>
          </w:p>
        </w:tc>
        <w:tc>
          <w:tcPr>
            <w:tcW w:type="dxa" w:w="26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as planned</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 red encounters per year</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0.7 y</w:t>
            </w:r>
          </w:p>
        </w:tc>
        <w:tc>
          <w:tcPr>
            <w:tcW w:type="dxa" w:w="26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1.5 y earlier</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5 red encounters per year</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3</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0.7 y</w:t>
            </w:r>
          </w:p>
        </w:tc>
        <w:tc>
          <w:tcPr>
            <w:tcW w:type="dxa" w:w="26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1.5 y earlier</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10 red encounters per year</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5</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0.6 y</w:t>
            </w:r>
          </w:p>
        </w:tc>
        <w:tc>
          <w:tcPr>
            <w:tcW w:type="dxa" w:w="26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1.6 y earlier</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20 red encounters per year</w:t>
            </w:r>
          </w:p>
        </w:tc>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9</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0.5 y</w:t>
            </w:r>
          </w:p>
        </w:tc>
        <w:tc>
          <w:tcPr>
            <w:tcW w:type="dxa" w:w="266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1.7 y earlier</w:t>
            </w:r>
          </w:p>
        </w:tc>
      </w:tr>
    </w:tbl>
    <w:p>
      <w:pPr>
        <w:pBdr>
          <w:left w:val="single" w:color="D9822B" w:sz="18" w:space="8"/>
        </w:pBdr>
        <w:spacing w:after="140" w:before="80"/>
        <w:ind w:left="240"/>
      </w:pPr>
      <w:r>
        <w:rPr>
          <w:rFonts w:ascii="Calibri" w:cs="Calibri" w:eastAsia="Calibri" w:hAnsi="Calibri"/>
          <w:sz w:val="21"/>
          <w:szCs w:val="21"/>
        </w:rPr>
        <w:t xml:space="preserve">The encounter rates are scenarios, not forecasts. The dashboard also says '2.3 years of station-keeping' for the fuel left, which divides 28.1 m/s by 12 m/s per year. That uses a lower yearly use than the 35.7 m/s per year above, so the two life figures describe different assumptions and should not be compared directly.</w:t>
      </w:r>
    </w:p>
    <w:p>
      <w:pPr>
        <w:pStyle w:val="Heading1"/>
        <w:spacing w:after="140" w:before="320"/>
      </w:pPr>
      <w:r>
        <w:rPr>
          <w:rFonts w:ascii="Calibri" w:cs="Calibri" w:eastAsia="Calibri" w:hAnsi="Calibri"/>
          <w:b/>
          <w:bCs/>
          <w:color w:val="1F3A5F"/>
          <w:sz w:val="30"/>
          <w:szCs w:val="30"/>
        </w:rPr>
        <w:t xml:space="preserve">5. Limits to keep in mind</w:t>
      </w:r>
    </w:p>
    <w:p>
      <w:pPr>
        <w:pStyle w:val="ListParagraph"/>
        <w:numPr>
          <w:ilvl w:val="0"/>
          <w:numId w:val="2"/>
        </w:numPr>
        <w:spacing w:after="60"/>
      </w:pPr>
      <w:r>
        <w:rPr>
          <w:rFonts w:ascii="Calibri" w:cs="Calibri" w:eastAsia="Calibri" w:hAnsi="Calibri"/>
        </w:rPr>
        <w:t xml:space="preserve">Offline results validate the algorithms, not the real world. For decisions, use live data.</w:t>
      </w:r>
    </w:p>
    <w:p>
      <w:pPr>
        <w:pStyle w:val="ListParagraph"/>
        <w:numPr>
          <w:ilvl w:val="0"/>
          <w:numId w:val="2"/>
        </w:numPr>
        <w:spacing w:after="60"/>
      </w:pPr>
      <w:r>
        <w:rPr>
          <w:rFonts w:ascii="Calibri" w:cs="Calibri" w:eastAsia="Calibri" w:hAnsi="Calibri"/>
        </w:rPr>
        <w:t xml:space="preserve">False-alert, missed-collision and Brier figures are simulated. Real collisions are too rare to measure them.</w:t>
      </w:r>
    </w:p>
    <w:p>
      <w:pPr>
        <w:pStyle w:val="ListParagraph"/>
        <w:numPr>
          <w:ilvl w:val="0"/>
          <w:numId w:val="2"/>
        </w:numPr>
        <w:spacing w:after="60"/>
      </w:pPr>
      <w:r>
        <w:rPr>
          <w:rFonts w:ascii="Calibri" w:cs="Calibri" w:eastAsia="Calibri" w:hAnsi="Calibri"/>
        </w:rPr>
        <w:t xml:space="preserve">The CDM hit rate rests on 20 messages and is uncertain by about ± 12 percentage points.</w:t>
      </w:r>
    </w:p>
    <w:p>
      <w:pPr>
        <w:pStyle w:val="ListParagraph"/>
        <w:numPr>
          <w:ilvl w:val="0"/>
          <w:numId w:val="2"/>
        </w:numPr>
        <w:spacing w:after="60"/>
      </w:pPr>
      <w:r>
        <w:rPr>
          <w:rFonts w:ascii="Calibri" w:cs="Calibri" w:eastAsia="Calibri" w:hAnsi="Calibri"/>
        </w:rPr>
        <w:t xml:space="preserve">Fuel and design life are assumptions by orbit regime. Real operator data should replace them in data/fuel.json.</w:t>
      </w:r>
    </w:p>
    <w:p>
      <w:pPr>
        <w:pStyle w:val="ListParagraph"/>
        <w:numPr>
          <w:ilvl w:val="0"/>
          <w:numId w:val="2"/>
        </w:numPr>
        <w:spacing w:after="60"/>
      </w:pPr>
      <w:r>
        <w:rPr>
          <w:rFonts w:ascii="Calibri" w:cs="Calibri" w:eastAsia="Calibri" w:hAnsi="Calibri"/>
        </w:rPr>
        <w:t xml:space="preserve">The maneuver planner uses linear Clohessy-Wiltshire dynamics. Verify any recommended burn with a high-fidelity propagator before it is uploaded.</w:t>
      </w:r>
    </w:p>
    <w:p>
      <w:pPr>
        <w:pStyle w:val="ListParagraph"/>
        <w:numPr>
          <w:ilvl w:val="0"/>
          <w:numId w:val="2"/>
        </w:numPr>
        <w:spacing w:after="60"/>
      </w:pPr>
      <w:r>
        <w:rPr>
          <w:rFonts w:ascii="Calibri" w:cs="Calibri" w:eastAsia="Calibri" w:hAnsi="Calibri"/>
        </w:rPr>
        <w:t xml:space="preserve">The live-mode covariance fit still needs work: it produced very large covariances and no alerts in the last live run.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KPIs and the avoidance maneuver are calculated</dc:title>
  <dc:creator>Space Debris Risk Prediction</dc:creator>
  <cp:lastModifiedBy>Un-named</cp:lastModifiedBy>
  <cp:revision>1</cp:revision>
  <dcterms:created xsi:type="dcterms:W3CDTF">2026-10-11T10:04:56.430Z</dcterms:created>
  <dcterms:modified xsi:type="dcterms:W3CDTF">2026-10-11T10:04:56.431Z</dcterms:modified>
</cp:coreProperties>
</file>

<file path=docProps/custom.xml><?xml version="1.0" encoding="utf-8"?>
<Properties xmlns="http://schemas.openxmlformats.org/officeDocument/2006/custom-properties" xmlns:vt="http://schemas.openxmlformats.org/officeDocument/2006/docPropsVTypes"/>
</file>