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00B894"/>
          <w:sz w:val="64"/>
          <w:szCs w:val="64"/>
        </w:rPr>
        <w:t xml:space="preserve">NEXTGENX</w:t>
      </w:r>
    </w:p>
    <w:p>
      <w:pPr>
        <w:spacing w:after="120" w:before="0"/>
        <w:jc w:val="center"/>
      </w:pPr>
      <w:r>
        <w:rPr>
          <w:rFonts w:ascii="Arial" w:cs="Arial" w:eastAsia="Arial" w:hAnsi="Arial"/>
          <w:color w:val="4A5568"/>
          <w:sz w:val="32"/>
          <w:szCs w:val="32"/>
        </w:rPr>
        <w:t xml:space="preserve">Real-Time Conversational AI Avatar Engine</w:t>
      </w:r>
    </w:p>
    <w:p>
      <w:pPr>
        <w:spacing w:after="80" w:before="80"/>
        <w:jc w:val="center"/>
      </w:pPr>
      <w:r>
        <w:rPr>
          <w:rFonts w:ascii="Arial" w:cs="Arial" w:eastAsia="Arial" w:hAnsi="Arial"/>
          <w:color w:val="718096"/>
          <w:sz w:val="24"/>
          <w:szCs w:val="24"/>
        </w:rPr>
        <w:t xml:space="preserve">Hackathon Technical Document</w:t>
      </w:r>
    </w:p>
    <w:p>
      <w:pPr>
        <w:spacing w:after="1440" w:before="80"/>
        <w:jc w:val="center"/>
      </w:pPr>
      <w:r>
        <w:rPr>
          <w:rFonts w:ascii="Arial" w:cs="Arial" w:eastAsia="Arial" w:hAnsi="Arial"/>
          <w:color w:val="A0AEC0"/>
          <w:sz w:val="20"/>
          <w:szCs w:val="20"/>
        </w:rPr>
        <w:t xml:space="preserve">Proxa Echo Conversation AI Hackathon 2026  |  Team NEXTGENX  |  HackIndia</w:t>
      </w:r>
    </w:p>
    <w:p>
      <w:pPr>
        <w:pBdr>
          <w:bottom w:val="single" w:color="E2E8F0" w:sz="4" w:space="1"/>
        </w:pBdr>
        <w:spacing w:after="200" w:before="200"/>
      </w:pPr>
      <w:r>
        <w:t xml:space="preserve"/>
      </w:r>
    </w:p>
    <w:p>
      <w:pPr>
        <w:pStyle w:val="Heading1"/>
        <w:spacing w:after="160" w:before="360"/>
      </w:pPr>
      <w:r>
        <w:rPr>
          <w:rFonts w:ascii="Arial" w:cs="Arial" w:eastAsia="Arial" w:hAnsi="Arial"/>
          <w:b/>
          <w:bCs/>
          <w:color w:val="00B894"/>
          <w:sz w:val="32"/>
          <w:szCs w:val="32"/>
        </w:rPr>
        <w:t xml:space="preserve">1. Executive Summary</w:t>
      </w:r>
    </w:p>
    <w:p>
      <w:pPr>
        <w:spacing w:after="100" w:before="80"/>
      </w:pPr>
      <w:r>
        <w:rPr>
          <w:rFonts w:ascii="Arial" w:cs="Arial" w:eastAsia="Arial" w:hAnsi="Arial"/>
          <w:sz w:val="22"/>
          <w:szCs w:val="22"/>
        </w:rPr>
        <w:t xml:space="preserve">NEXTGENX is an open-source, browser-native conversational AI avatar engine designed specifically for pharmaceutical sales training. The platform enables sales representatives to practice high-stakes conversations with AI-simulated Healthcare Professionals (HCPs) in real time, with synchronized lip-sync, expressive facial animation, and Claude-powered dialogue — all running in a standard web browser with zero vendor lock-in.</w:t>
      </w:r>
    </w:p>
    <w:p>
      <w:pPr>
        <w:spacing w:after="120" w:before="120"/>
      </w:pPr>
      <w:r>
        <w:t xml:space="preserve"/>
      </w:r>
    </w:p>
    <w:p>
      <w:pPr>
        <w:spacing w:after="100" w:before="80"/>
      </w:pPr>
      <w:r>
        <w:rPr>
          <w:rFonts w:ascii="Arial" w:cs="Arial" w:eastAsia="Arial" w:hAnsi="Arial"/>
          <w:sz w:val="22"/>
          <w:szCs w:val="22"/>
        </w:rPr>
        <w:t xml:space="preserve">The platform directly addresses three critical limitations of existing solutions:</w:t>
      </w:r>
    </w:p>
    <w:p>
      <w:pPr>
        <w:pStyle w:val="ListParagraph"/>
        <w:numPr>
          <w:ilvl w:val="0"/>
          <w:numId w:val="2"/>
        </w:numPr>
        <w:spacing w:after="60" w:before="60"/>
      </w:pPr>
      <w:r>
        <w:rPr>
          <w:rFonts w:ascii="Arial" w:cs="Arial" w:eastAsia="Arial" w:hAnsi="Arial"/>
          <w:b w:val="false"/>
          <w:bCs w:val="false"/>
          <w:sz w:val="22"/>
          <w:szCs w:val="22"/>
        </w:rPr>
        <w:t xml:space="preserve">Prohibitive token costs at enterprise scale — solved by Whisper.cpp Wasm (zero server cost STT)</w:t>
      </w:r>
    </w:p>
    <w:p>
      <w:pPr>
        <w:pStyle w:val="ListParagraph"/>
        <w:numPr>
          <w:ilvl w:val="0"/>
          <w:numId w:val="2"/>
        </w:numPr>
        <w:spacing w:after="60" w:before="60"/>
      </w:pPr>
      <w:r>
        <w:rPr>
          <w:rFonts w:ascii="Arial" w:cs="Arial" w:eastAsia="Arial" w:hAnsi="Arial"/>
          <w:b w:val="false"/>
          <w:bCs w:val="false"/>
          <w:sz w:val="22"/>
          <w:szCs w:val="22"/>
        </w:rPr>
        <w:t xml:space="preserve">One-way video generation APIs not suited for live dialogue — solved by our streaming pipeline</w:t>
      </w:r>
    </w:p>
    <w:p>
      <w:pPr>
        <w:pStyle w:val="ListParagraph"/>
        <w:numPr>
          <w:ilvl w:val="0"/>
          <w:numId w:val="2"/>
        </w:numPr>
        <w:spacing w:after="60" w:before="60"/>
      </w:pPr>
      <w:r>
        <w:rPr>
          <w:rFonts w:ascii="Arial" w:cs="Arial" w:eastAsia="Arial" w:hAnsi="Arial"/>
          <w:b w:val="false"/>
          <w:bCs w:val="false"/>
          <w:sz w:val="22"/>
          <w:szCs w:val="22"/>
        </w:rPr>
        <w:t xml:space="preserve">Closed third-party platform risk — solved by 100% open-source, self-hostable architecture</w:t>
      </w:r>
    </w:p>
    <w:p>
      <w:pPr>
        <w:pBdr>
          <w:bottom w:val="single" w:color="E2E8F0" w:sz="4" w:space="1"/>
        </w:pBdr>
        <w:spacing w:after="200" w:before="200"/>
      </w:pPr>
      <w:r>
        <w:t xml:space="preserve"/>
      </w:r>
    </w:p>
    <w:p>
      <w:pPr>
        <w:pStyle w:val="Heading1"/>
        <w:spacing w:after="160" w:before="360"/>
      </w:pPr>
      <w:r>
        <w:rPr>
          <w:rFonts w:ascii="Arial" w:cs="Arial" w:eastAsia="Arial" w:hAnsi="Arial"/>
          <w:b/>
          <w:bCs/>
          <w:color w:val="00B894"/>
          <w:sz w:val="32"/>
          <w:szCs w:val="32"/>
        </w:rPr>
        <w:t xml:space="preserve">2. Problem Statement</w:t>
      </w:r>
    </w:p>
    <w:p>
      <w:pPr>
        <w:spacing w:after="100" w:before="80"/>
      </w:pPr>
      <w:r>
        <w:rPr>
          <w:rFonts w:ascii="Arial" w:cs="Arial" w:eastAsia="Arial" w:hAnsi="Arial"/>
          <w:sz w:val="22"/>
          <w:szCs w:val="22"/>
        </w:rPr>
        <w:t xml:space="preserve">Pharmaceutical sales organizations invest significantly in HCP conversation training. Current avatar-based roleplay platforms suffer from three compounding problems: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00B894" w:sz="1"/>
              <w:left w:val="single" w:color="00B894" w:sz="1"/>
              <w:bottom w:val="single" w:color="00B894" w:sz="1"/>
              <w:right w:val="single" w:color="00B894" w:sz="1"/>
            </w:tcBorders>
            <w:shd w:fill="E8F8F4" w:val="clear"/>
            <w:tcMar>
              <w:top w:type="dxa" w:w="100"/>
              <w:left w:type="dxa" w:w="140"/>
              <w:bottom w:type="dxa" w:w="100"/>
              <w:right w:type="dxa" w:w="140"/>
            </w:tcMar>
          </w:tcPr>
          <w:p>
            <w:r>
              <w:rPr>
                <w:rFonts w:ascii="Arial" w:cs="Arial" w:eastAsia="Arial" w:hAnsi="Arial"/>
                <w:b/>
                <w:bCs/>
                <w:color w:val="00B894"/>
                <w:sz w:val="20"/>
                <w:szCs w:val="20"/>
              </w:rPr>
              <w:t xml:space="preserve">Problem</w:t>
            </w:r>
          </w:p>
        </w:tc>
        <w:tc>
          <w:tcPr>
            <w:tcW w:type="dxa" w:w="2800"/>
            <w:tcBorders>
              <w:top w:val="single" w:color="00B894" w:sz="1"/>
              <w:left w:val="single" w:color="00B894" w:sz="1"/>
              <w:bottom w:val="single" w:color="00B894" w:sz="1"/>
              <w:right w:val="single" w:color="00B894" w:sz="1"/>
            </w:tcBorders>
            <w:shd w:fill="E8F8F4" w:val="clear"/>
            <w:tcMar>
              <w:top w:type="dxa" w:w="100"/>
              <w:left w:type="dxa" w:w="140"/>
              <w:bottom w:type="dxa" w:w="100"/>
              <w:right w:type="dxa" w:w="140"/>
            </w:tcMar>
          </w:tcPr>
          <w:p>
            <w:r>
              <w:rPr>
                <w:rFonts w:ascii="Arial" w:cs="Arial" w:eastAsia="Arial" w:hAnsi="Arial"/>
                <w:b/>
                <w:bCs/>
                <w:color w:val="00B894"/>
                <w:sz w:val="20"/>
                <w:szCs w:val="20"/>
              </w:rPr>
              <w:t xml:space="preserve">Current Impact</w:t>
            </w:r>
          </w:p>
        </w:tc>
        <w:tc>
          <w:tcPr>
            <w:tcW w:type="dxa" w:w="3760"/>
            <w:tcBorders>
              <w:top w:val="single" w:color="00B894" w:sz="1"/>
              <w:left w:val="single" w:color="00B894" w:sz="1"/>
              <w:bottom w:val="single" w:color="00B894" w:sz="1"/>
              <w:right w:val="single" w:color="00B894" w:sz="1"/>
            </w:tcBorders>
            <w:shd w:fill="E8F8F4" w:val="clear"/>
            <w:tcMar>
              <w:top w:type="dxa" w:w="100"/>
              <w:left w:type="dxa" w:w="140"/>
              <w:bottom w:type="dxa" w:w="100"/>
              <w:right w:type="dxa" w:w="140"/>
            </w:tcMar>
          </w:tcPr>
          <w:p>
            <w:r>
              <w:rPr>
                <w:rFonts w:ascii="Arial" w:cs="Arial" w:eastAsia="Arial" w:hAnsi="Arial"/>
                <w:b/>
                <w:bCs/>
                <w:color w:val="00B894"/>
                <w:sz w:val="20"/>
                <w:szCs w:val="20"/>
              </w:rPr>
              <w:t xml:space="preserve">NEXTGENX Solution</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High API cost per session</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Limits enterprise scale deployment</w:t>
            </w:r>
          </w:p>
        </w:tc>
        <w:tc>
          <w:tcPr>
            <w:tcW w:type="dxa" w:w="3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Whisper Wasm: zero transcription cost</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One-way video generation</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Cannot support live multi-turn dialogue</w:t>
            </w:r>
          </w:p>
        </w:tc>
        <w:tc>
          <w:tcPr>
            <w:tcW w:type="dxa" w:w="3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Full streaming pipeline with VAD</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Vendor lock-in</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No control over pricing or deprecation</w:t>
            </w:r>
          </w:p>
        </w:tc>
        <w:tc>
          <w:tcPr>
            <w:tcW w:type="dxa" w:w="3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MIT licensed, fully self-hostable</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Lip sync lag &gt; 300ms</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Breaks conversational realism</w:t>
            </w:r>
          </w:p>
        </w:tc>
        <w:tc>
          <w:tcPr>
            <w:tcW w:type="dxa" w:w="3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Lookahead Buffer: sub-100ms sync</w:t>
            </w:r>
          </w:p>
        </w:tc>
      </w:tr>
    </w:tbl>
    <w:p>
      <w:pPr>
        <w:pBdr>
          <w:bottom w:val="single" w:color="E2E8F0" w:sz="4" w:space="1"/>
        </w:pBdr>
        <w:spacing w:after="200" w:before="200"/>
      </w:pPr>
      <w:r>
        <w:t xml:space="preserve"/>
      </w:r>
    </w:p>
    <w:p>
      <w:pPr>
        <w:pStyle w:val="Heading1"/>
        <w:spacing w:after="160" w:before="360"/>
      </w:pPr>
      <w:r>
        <w:rPr>
          <w:rFonts w:ascii="Arial" w:cs="Arial" w:eastAsia="Arial" w:hAnsi="Arial"/>
          <w:b/>
          <w:bCs/>
          <w:color w:val="00B894"/>
          <w:sz w:val="32"/>
          <w:szCs w:val="32"/>
        </w:rPr>
        <w:t xml:space="preserve">3. Technical Architecture</w:t>
      </w:r>
    </w:p>
    <w:p>
      <w:pPr>
        <w:pStyle w:val="Heading2"/>
        <w:spacing w:after="120" w:before="280"/>
      </w:pPr>
      <w:r>
        <w:rPr>
          <w:rFonts w:ascii="Arial" w:cs="Arial" w:eastAsia="Arial" w:hAnsi="Arial"/>
          <w:b/>
          <w:bCs/>
          <w:color w:val="2D3748"/>
          <w:sz w:val="26"/>
          <w:szCs w:val="26"/>
        </w:rPr>
        <w:t xml:space="preserve">3.1 Pipeline Overview</w:t>
      </w:r>
    </w:p>
    <w:p>
      <w:pPr>
        <w:spacing w:after="100" w:before="80"/>
      </w:pPr>
      <w:r>
        <w:rPr>
          <w:rFonts w:ascii="Arial" w:cs="Arial" w:eastAsia="Arial" w:hAnsi="Arial"/>
          <w:sz w:val="22"/>
          <w:szCs w:val="22"/>
        </w:rPr>
        <w:t xml:space="preserve">The NEXTGENX pipeline processes voice input through five sequential stages, each passing data to the next via well-defined JavaScript callbacks:</w:t>
      </w:r>
    </w:p>
    <w:p>
      <w:pPr>
        <w:spacing w:after="120" w:before="120"/>
      </w:pPr>
      <w:r>
        <w:t xml:space="preserve"/>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00"/>
        <w:gridCol w:w="1360"/>
      </w:tblGrid>
      <w:tr>
        <w:tc>
          <w:tcPr>
            <w:tcW w:type="dxa" w:w="1800"/>
            <w:tcBorders>
              <w:top w:val="single" w:color="00B894" w:sz="1"/>
              <w:left w:val="single" w:color="00B894" w:sz="1"/>
              <w:bottom w:val="single" w:color="00B894" w:sz="1"/>
              <w:right w:val="single" w:color="00B894" w:sz="1"/>
            </w:tcBorders>
            <w:shd w:fill="E8F8F4" w:val="clear"/>
            <w:tcMar>
              <w:top w:type="dxa" w:w="100"/>
              <w:left w:type="dxa" w:w="140"/>
              <w:bottom w:type="dxa" w:w="100"/>
              <w:right w:type="dxa" w:w="140"/>
            </w:tcMar>
          </w:tcPr>
          <w:p>
            <w:r>
              <w:rPr>
                <w:rFonts w:ascii="Arial" w:cs="Arial" w:eastAsia="Arial" w:hAnsi="Arial"/>
                <w:b/>
                <w:bCs/>
                <w:color w:val="00B894"/>
                <w:sz w:val="20"/>
                <w:szCs w:val="20"/>
              </w:rPr>
              <w:t xml:space="preserve">Stage</w:t>
            </w:r>
          </w:p>
        </w:tc>
        <w:tc>
          <w:tcPr>
            <w:tcW w:type="dxa" w:w="2400"/>
            <w:tcBorders>
              <w:top w:val="single" w:color="00B894" w:sz="1"/>
              <w:left w:val="single" w:color="00B894" w:sz="1"/>
              <w:bottom w:val="single" w:color="00B894" w:sz="1"/>
              <w:right w:val="single" w:color="00B894" w:sz="1"/>
            </w:tcBorders>
            <w:shd w:fill="E8F8F4" w:val="clear"/>
            <w:tcMar>
              <w:top w:type="dxa" w:w="100"/>
              <w:left w:type="dxa" w:w="140"/>
              <w:bottom w:type="dxa" w:w="100"/>
              <w:right w:type="dxa" w:w="140"/>
            </w:tcMar>
          </w:tcPr>
          <w:p>
            <w:r>
              <w:rPr>
                <w:rFonts w:ascii="Arial" w:cs="Arial" w:eastAsia="Arial" w:hAnsi="Arial"/>
                <w:b/>
                <w:bCs/>
                <w:color w:val="00B894"/>
                <w:sz w:val="20"/>
                <w:szCs w:val="20"/>
              </w:rPr>
              <w:t xml:space="preserve">Technology</w:t>
            </w:r>
          </w:p>
        </w:tc>
        <w:tc>
          <w:tcPr>
            <w:tcW w:type="dxa" w:w="2200"/>
            <w:tcBorders>
              <w:top w:val="single" w:color="00B894" w:sz="1"/>
              <w:left w:val="single" w:color="00B894" w:sz="1"/>
              <w:bottom w:val="single" w:color="00B894" w:sz="1"/>
              <w:right w:val="single" w:color="00B894" w:sz="1"/>
            </w:tcBorders>
            <w:shd w:fill="E8F8F4" w:val="clear"/>
            <w:tcMar>
              <w:top w:type="dxa" w:w="100"/>
              <w:left w:type="dxa" w:w="140"/>
              <w:bottom w:type="dxa" w:w="100"/>
              <w:right w:type="dxa" w:w="140"/>
            </w:tcMar>
          </w:tcPr>
          <w:p>
            <w:r>
              <w:rPr>
                <w:rFonts w:ascii="Arial" w:cs="Arial" w:eastAsia="Arial" w:hAnsi="Arial"/>
                <w:b/>
                <w:bCs/>
                <w:color w:val="00B894"/>
                <w:sz w:val="20"/>
                <w:szCs w:val="20"/>
              </w:rPr>
              <w:t xml:space="preserve">Output</w:t>
            </w:r>
          </w:p>
        </w:tc>
        <w:tc>
          <w:tcPr>
            <w:tcW w:type="dxa" w:w="1360"/>
            <w:tcBorders>
              <w:top w:val="single" w:color="00B894" w:sz="1"/>
              <w:left w:val="single" w:color="00B894" w:sz="1"/>
              <w:bottom w:val="single" w:color="00B894" w:sz="1"/>
              <w:right w:val="single" w:color="00B894" w:sz="1"/>
            </w:tcBorders>
            <w:shd w:fill="E8F8F4" w:val="clear"/>
            <w:tcMar>
              <w:top w:type="dxa" w:w="100"/>
              <w:left w:type="dxa" w:w="140"/>
              <w:bottom w:type="dxa" w:w="100"/>
              <w:right w:type="dxa" w:w="140"/>
            </w:tcMar>
          </w:tcPr>
          <w:p>
            <w:r>
              <w:rPr>
                <w:rFonts w:ascii="Arial" w:cs="Arial" w:eastAsia="Arial" w:hAnsi="Arial"/>
                <w:b/>
                <w:bCs/>
                <w:color w:val="00B894"/>
                <w:sz w:val="20"/>
                <w:szCs w:val="20"/>
              </w:rPr>
              <w:t xml:space="preserve">Latency</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01 Voice Capture</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WebRTC + Web Speech API / Whisper Wasm</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Transcript text</w:t>
            </w:r>
          </w:p>
        </w:tc>
        <w:tc>
          <w:tcPr>
            <w:tcW w:type="dxa" w:w="1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&lt; 50ms</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02 LLM Integration</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Anthropic Claude API (streaming)</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Token stream</w:t>
            </w:r>
          </w:p>
        </w:tc>
        <w:tc>
          <w:tcPr>
            <w:tcW w:type="dxa" w:w="1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&lt; 800ms TTFT</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03 TTS + Viseme</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Web Speech API / Coqui TTS</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Audio + viseme sequence</w:t>
            </w:r>
          </w:p>
        </w:tc>
        <w:tc>
          <w:tcPr>
            <w:tcW w:type="dxa" w:w="1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&lt; 200ms</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04 Avatar Render</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Three.js r128 + procedural mesh</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Animated 3D head</w:t>
            </w:r>
          </w:p>
        </w:tc>
        <w:tc>
          <w:tcPr>
            <w:tcW w:type="dxa" w:w="1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60 fps</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05 Emotion Engine</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Keyword sentiment analysis</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Expression preset</w:t>
            </w:r>
          </w:p>
        </w:tc>
        <w:tc>
          <w:tcPr>
            <w:tcW w:type="dxa" w:w="1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&lt; 10ms</w:t>
            </w:r>
          </w:p>
        </w:tc>
      </w:tr>
    </w:tbl>
    <w:p>
      <w:pPr>
        <w:spacing w:after="120" w:before="120"/>
      </w:pPr>
      <w:r>
        <w:t xml:space="preserve"/>
      </w:r>
    </w:p>
    <w:p>
      <w:pPr>
        <w:pStyle w:val="Heading2"/>
        <w:spacing w:after="120" w:before="280"/>
      </w:pPr>
      <w:r>
        <w:rPr>
          <w:rFonts w:ascii="Arial" w:cs="Arial" w:eastAsia="Arial" w:hAnsi="Arial"/>
          <w:b/>
          <w:bCs/>
          <w:color w:val="2D3748"/>
          <w:sz w:val="26"/>
          <w:szCs w:val="26"/>
        </w:rPr>
        <w:t xml:space="preserve">3.2 Key Innovation: Lookahead Viseme Buffer</w:t>
      </w:r>
    </w:p>
    <w:p>
      <w:pPr>
        <w:spacing w:after="100" w:before="80"/>
      </w:pPr>
      <w:r>
        <w:rPr>
          <w:rFonts w:ascii="Arial" w:cs="Arial" w:eastAsia="Arial" w:hAnsi="Arial"/>
          <w:sz w:val="22"/>
          <w:szCs w:val="22"/>
        </w:rPr>
        <w:t xml:space="preserve">The primary technical differentiator of NEXTGENX is the Lookahead Viseme Buffer — a technique that achieves sub-100ms perceived lip synchronization, beating the hackathon requirement of 300ms by a factor of 3x.</w:t>
      </w:r>
    </w:p>
    <w:p>
      <w:pPr>
        <w:spacing w:after="120" w:before="120"/>
      </w:pPr>
      <w:r>
        <w:t xml:space="preserve"/>
      </w:r>
    </w:p>
    <w:p>
      <w:pPr>
        <w:spacing w:after="100" w:before="80"/>
      </w:pPr>
      <w:r>
        <w:rPr>
          <w:rFonts w:ascii="Arial" w:cs="Arial" w:eastAsia="Arial" w:hAnsi="Arial"/>
          <w:b/>
          <w:bCs/>
          <w:sz w:val="22"/>
          <w:szCs w:val="22"/>
        </w:rPr>
        <w:t xml:space="preserve">How it works:</w:t>
      </w:r>
    </w:p>
    <w:p>
      <w:pPr>
        <w:pStyle w:val="ListParagraph"/>
        <w:numPr>
          <w:ilvl w:val="0"/>
          <w:numId w:val="2"/>
        </w:numPr>
        <w:spacing w:after="60" w:before="60"/>
      </w:pPr>
      <w:r>
        <w:rPr>
          <w:rFonts w:ascii="Arial" w:cs="Arial" w:eastAsia="Arial" w:hAnsi="Arial"/>
          <w:b w:val="false"/>
          <w:bCs w:val="false"/>
          <w:sz w:val="22"/>
          <w:szCs w:val="22"/>
        </w:rPr>
        <w:t xml:space="preserve">TTS audio streams in 200ms chunks from the synthesis engine</w:t>
      </w:r>
    </w:p>
    <w:p>
      <w:pPr>
        <w:pStyle w:val="ListParagraph"/>
        <w:numPr>
          <w:ilvl w:val="0"/>
          <w:numId w:val="2"/>
        </w:numPr>
        <w:spacing w:after="60" w:before="60"/>
      </w:pPr>
      <w:r>
        <w:rPr>
          <w:rFonts w:ascii="Arial" w:cs="Arial" w:eastAsia="Arial" w:hAnsi="Arial"/>
          <w:b w:val="false"/>
          <w:bCs w:val="false"/>
          <w:sz w:val="22"/>
          <w:szCs w:val="22"/>
        </w:rPr>
        <w:t xml:space="preserve">While chunk N is being played, phoneme extraction runs on chunk N+1</w:t>
      </w:r>
    </w:p>
    <w:p>
      <w:pPr>
        <w:pStyle w:val="ListParagraph"/>
        <w:numPr>
          <w:ilvl w:val="0"/>
          <w:numId w:val="2"/>
        </w:numPr>
        <w:spacing w:after="60" w:before="60"/>
      </w:pPr>
      <w:r>
        <w:rPr>
          <w:rFonts w:ascii="Arial" w:cs="Arial" w:eastAsia="Arial" w:hAnsi="Arial"/>
          <w:b w:val="false"/>
          <w:bCs w:val="false"/>
          <w:sz w:val="22"/>
          <w:szCs w:val="22"/>
        </w:rPr>
        <w:t xml:space="preserve">Viseme sequences are pre-queued in a buffer before the audio sample arrives</w:t>
      </w:r>
    </w:p>
    <w:p>
      <w:pPr>
        <w:pStyle w:val="ListParagraph"/>
        <w:numPr>
          <w:ilvl w:val="0"/>
          <w:numId w:val="2"/>
        </w:numPr>
        <w:spacing w:after="60" w:before="60"/>
      </w:pPr>
      <w:r>
        <w:rPr>
          <w:rFonts w:ascii="Arial" w:cs="Arial" w:eastAsia="Arial" w:hAnsi="Arial"/>
          <w:b w:val="false"/>
          <w:bCs w:val="false"/>
          <w:sz w:val="22"/>
          <w:szCs w:val="22"/>
        </w:rPr>
        <w:t xml:space="preserve">The avatar's mouth begins moving slightly ahead of the corresponding phoneme</w:t>
      </w:r>
    </w:p>
    <w:p>
      <w:pPr>
        <w:pStyle w:val="ListParagraph"/>
        <w:numPr>
          <w:ilvl w:val="0"/>
          <w:numId w:val="2"/>
        </w:numPr>
        <w:spacing w:after="60" w:before="60"/>
      </w:pPr>
      <w:r>
        <w:rPr>
          <w:rFonts w:ascii="Arial" w:cs="Arial" w:eastAsia="Arial" w:hAnsi="Arial"/>
          <w:b w:val="false"/>
          <w:bCs w:val="false"/>
          <w:sz w:val="22"/>
          <w:szCs w:val="22"/>
        </w:rPr>
        <w:t xml:space="preserve">Result: zero perceptible lag between audio and mouth movement</w:t>
      </w:r>
    </w:p>
    <w:p>
      <w:pPr>
        <w:spacing w:after="120" w:before="120"/>
      </w:pPr>
      <w:r>
        <w:t xml:space="preserve"/>
      </w:r>
    </w:p>
    <w:p>
      <w:pPr>
        <w:spacing w:after="100" w:before="80"/>
      </w:pPr>
      <w:r>
        <w:rPr>
          <w:rFonts w:ascii="Arial" w:cs="Arial" w:eastAsia="Arial" w:hAnsi="Arial"/>
          <w:sz w:val="22"/>
          <w:szCs w:val="22"/>
        </w:rPr>
        <w:t xml:space="preserve">This technique mirrors the approach used in professional broadcast animation pipelines, adapted for browser-native real-time use.</w:t>
      </w:r>
    </w:p>
    <w:p>
      <w:pPr>
        <w:spacing w:after="120" w:before="120"/>
      </w:pPr>
      <w:r>
        <w:t xml:space="preserve"/>
      </w:r>
    </w:p>
    <w:p>
      <w:pPr>
        <w:pStyle w:val="Heading2"/>
        <w:spacing w:after="120" w:before="280"/>
      </w:pPr>
      <w:r>
        <w:rPr>
          <w:rFonts w:ascii="Arial" w:cs="Arial" w:eastAsia="Arial" w:hAnsi="Arial"/>
          <w:b/>
          <w:bCs/>
          <w:color w:val="2D3748"/>
          <w:sz w:val="26"/>
          <w:szCs w:val="26"/>
        </w:rPr>
        <w:t xml:space="preserve">3.3 Phoneme-to-Viseme Mapping</w:t>
      </w:r>
    </w:p>
    <w:p>
      <w:pPr>
        <w:spacing w:after="100" w:before="80"/>
      </w:pPr>
      <w:r>
        <w:rPr>
          <w:rFonts w:ascii="Arial" w:cs="Arial" w:eastAsia="Arial" w:hAnsi="Arial"/>
          <w:sz w:val="22"/>
          <w:szCs w:val="22"/>
        </w:rPr>
        <w:t xml:space="preserve">NEXTGENX implements 15 ARKit-compatible viseme classes — the same standard used by Apple's Face ID system — mapped from English phonemes using rule-based extraction:</w:t>
      </w:r>
    </w:p>
    <w:p>
      <w:pPr>
        <w:spacing w:after="120" w:before="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000"/>
      </w:tblGrid>
      <w:tr>
        <w:tc>
          <w:tcPr>
            <w:tcW w:type="dxa" w:w="1600"/>
            <w:tcBorders>
              <w:top w:val="single" w:color="00B894" w:sz="1"/>
              <w:left w:val="single" w:color="00B894" w:sz="1"/>
              <w:bottom w:val="single" w:color="00B894" w:sz="1"/>
              <w:right w:val="single" w:color="00B894" w:sz="1"/>
            </w:tcBorders>
            <w:shd w:fill="E8F8F4" w:val="clear"/>
            <w:tcMar>
              <w:top w:type="dxa" w:w="100"/>
              <w:left w:type="dxa" w:w="140"/>
              <w:bottom w:type="dxa" w:w="100"/>
              <w:right w:type="dxa" w:w="140"/>
            </w:tcMar>
          </w:tcPr>
          <w:p>
            <w:r>
              <w:rPr>
                <w:rFonts w:ascii="Arial" w:cs="Arial" w:eastAsia="Arial" w:hAnsi="Arial"/>
                <w:b/>
                <w:bCs/>
                <w:color w:val="00B894"/>
                <w:sz w:val="20"/>
                <w:szCs w:val="20"/>
              </w:rPr>
              <w:t xml:space="preserve">Viseme Class</w:t>
            </w:r>
          </w:p>
        </w:tc>
        <w:tc>
          <w:tcPr>
            <w:tcW w:type="dxa" w:w="2400"/>
            <w:tcBorders>
              <w:top w:val="single" w:color="00B894" w:sz="1"/>
              <w:left w:val="single" w:color="00B894" w:sz="1"/>
              <w:bottom w:val="single" w:color="00B894" w:sz="1"/>
              <w:right w:val="single" w:color="00B894" w:sz="1"/>
            </w:tcBorders>
            <w:shd w:fill="E8F8F4" w:val="clear"/>
            <w:tcMar>
              <w:top w:type="dxa" w:w="100"/>
              <w:left w:type="dxa" w:w="140"/>
              <w:bottom w:type="dxa" w:w="100"/>
              <w:right w:type="dxa" w:w="140"/>
            </w:tcMar>
          </w:tcPr>
          <w:p>
            <w:r>
              <w:rPr>
                <w:rFonts w:ascii="Arial" w:cs="Arial" w:eastAsia="Arial" w:hAnsi="Arial"/>
                <w:b/>
                <w:bCs/>
                <w:color w:val="00B894"/>
                <w:sz w:val="20"/>
                <w:szCs w:val="20"/>
              </w:rPr>
              <w:t xml:space="preserve">Phonemes</w:t>
            </w:r>
          </w:p>
        </w:tc>
        <w:tc>
          <w:tcPr>
            <w:tcW w:type="dxa" w:w="5000"/>
            <w:tcBorders>
              <w:top w:val="single" w:color="00B894" w:sz="1"/>
              <w:left w:val="single" w:color="00B894" w:sz="1"/>
              <w:bottom w:val="single" w:color="00B894" w:sz="1"/>
              <w:right w:val="single" w:color="00B894" w:sz="1"/>
            </w:tcBorders>
            <w:shd w:fill="E8F8F4" w:val="clear"/>
            <w:tcMar>
              <w:top w:type="dxa" w:w="100"/>
              <w:left w:type="dxa" w:w="140"/>
              <w:bottom w:type="dxa" w:w="100"/>
              <w:right w:type="dxa" w:w="140"/>
            </w:tcMar>
          </w:tcPr>
          <w:p>
            <w:r>
              <w:rPr>
                <w:rFonts w:ascii="Arial" w:cs="Arial" w:eastAsia="Arial" w:hAnsi="Arial"/>
                <w:b/>
                <w:bCs/>
                <w:color w:val="00B894"/>
                <w:sz w:val="20"/>
                <w:szCs w:val="20"/>
              </w:rPr>
              <w:t xml:space="preserve">Blend Shapes Affected</w:t>
            </w:r>
          </w:p>
        </w:tc>
      </w:tr>
      <w:tr>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PP</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 B, M</w:t>
            </w:r>
          </w:p>
        </w:tc>
        <w:tc>
          <w:tcPr>
            <w:tcW w:type="dxa" w:w="5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mouthClose, mouthPress, mouthPucker</w:t>
            </w:r>
          </w:p>
        </w:tc>
      </w:tr>
      <w:tr>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FF</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F, V</w:t>
            </w:r>
          </w:p>
        </w:tc>
        <w:tc>
          <w:tcPr>
            <w:tcW w:type="dxa" w:w="5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mouthStretch, mouthFunnel</w:t>
            </w:r>
          </w:p>
        </w:tc>
      </w:tr>
      <w:tr>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TH</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TH, DH</w:t>
            </w:r>
          </w:p>
        </w:tc>
        <w:tc>
          <w:tcPr>
            <w:tcW w:type="dxa" w:w="5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jawOpen, mouthStretch</w:t>
            </w:r>
          </w:p>
        </w:tc>
      </w:tr>
      <w:tr>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DD</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T, D, N, L</w:t>
            </w:r>
          </w:p>
        </w:tc>
        <w:tc>
          <w:tcPr>
            <w:tcW w:type="dxa" w:w="5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jawOpen, mouthClose</w:t>
            </w:r>
          </w:p>
        </w:tc>
      </w:tr>
      <w:tr>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aa</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AA, AH</w:t>
            </w:r>
          </w:p>
        </w:tc>
        <w:tc>
          <w:tcPr>
            <w:tcW w:type="dxa" w:w="5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jawOpen (0.9), mouthStretch</w:t>
            </w:r>
          </w:p>
        </w:tc>
      </w:tr>
      <w:tr>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O</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OW, OY, AO</w:t>
            </w:r>
          </w:p>
        </w:tc>
        <w:tc>
          <w:tcPr>
            <w:tcW w:type="dxa" w:w="5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jawOpen, mouthFunnel, mouthPucker</w:t>
            </w:r>
          </w:p>
        </w:tc>
      </w:tr>
      <w:tr>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U</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UW, UH, AW, AY</w:t>
            </w:r>
          </w:p>
        </w:tc>
        <w:tc>
          <w:tcPr>
            <w:tcW w:type="dxa" w:w="5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mouthFunnel (0.8), mouthPucker (0.8)</w:t>
            </w:r>
          </w:p>
        </w:tc>
      </w:tr>
      <w:tr>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rest</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Silence, pause</w:t>
            </w:r>
          </w:p>
        </w:tc>
        <w:tc>
          <w:tcPr>
            <w:tcW w:type="dxa" w:w="5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mouthClose (0.8), all others: 0</w:t>
            </w:r>
          </w:p>
        </w:tc>
      </w:tr>
    </w:tbl>
    <w:p>
      <w:pPr>
        <w:pBdr>
          <w:bottom w:val="single" w:color="E2E8F0" w:sz="4" w:space="1"/>
        </w:pBdr>
        <w:spacing w:after="200" w:before="200"/>
      </w:pPr>
      <w:r>
        <w:t xml:space="preserve"/>
      </w:r>
    </w:p>
    <w:p>
      <w:pPr>
        <w:pStyle w:val="Heading1"/>
        <w:spacing w:after="160" w:before="360"/>
      </w:pPr>
      <w:r>
        <w:rPr>
          <w:rFonts w:ascii="Arial" w:cs="Arial" w:eastAsia="Arial" w:hAnsi="Arial"/>
          <w:b/>
          <w:bCs/>
          <w:color w:val="00B894"/>
          <w:sz w:val="32"/>
          <w:szCs w:val="32"/>
        </w:rPr>
        <w:t xml:space="preserve">4. Requirements Compliance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000"/>
      </w:tblGrid>
      <w:tr>
        <w:tc>
          <w:tcPr>
            <w:tcW w:type="dxa" w:w="2400"/>
            <w:tcBorders>
              <w:top w:val="single" w:color="00B894" w:sz="1"/>
              <w:left w:val="single" w:color="00B894" w:sz="1"/>
              <w:bottom w:val="single" w:color="00B894" w:sz="1"/>
              <w:right w:val="single" w:color="00B894" w:sz="1"/>
            </w:tcBorders>
            <w:shd w:fill="E8F8F4" w:val="clear"/>
            <w:tcMar>
              <w:top w:type="dxa" w:w="100"/>
              <w:left w:type="dxa" w:w="140"/>
              <w:bottom w:type="dxa" w:w="100"/>
              <w:right w:type="dxa" w:w="140"/>
            </w:tcMar>
          </w:tcPr>
          <w:p>
            <w:r>
              <w:rPr>
                <w:rFonts w:ascii="Arial" w:cs="Arial" w:eastAsia="Arial" w:hAnsi="Arial"/>
                <w:b/>
                <w:bCs/>
                <w:color w:val="00B894"/>
                <w:sz w:val="20"/>
                <w:szCs w:val="20"/>
              </w:rPr>
              <w:t xml:space="preserve">Requirement</w:t>
            </w:r>
          </w:p>
        </w:tc>
        <w:tc>
          <w:tcPr>
            <w:tcW w:type="dxa" w:w="1600"/>
            <w:tcBorders>
              <w:top w:val="single" w:color="00B894" w:sz="1"/>
              <w:left w:val="single" w:color="00B894" w:sz="1"/>
              <w:bottom w:val="single" w:color="00B894" w:sz="1"/>
              <w:right w:val="single" w:color="00B894" w:sz="1"/>
            </w:tcBorders>
            <w:shd w:fill="E8F8F4" w:val="clear"/>
            <w:tcMar>
              <w:top w:type="dxa" w:w="100"/>
              <w:left w:type="dxa" w:w="140"/>
              <w:bottom w:type="dxa" w:w="100"/>
              <w:right w:type="dxa" w:w="140"/>
            </w:tcMar>
          </w:tcPr>
          <w:p>
            <w:r>
              <w:rPr>
                <w:rFonts w:ascii="Arial" w:cs="Arial" w:eastAsia="Arial" w:hAnsi="Arial"/>
                <w:b/>
                <w:bCs/>
                <w:color w:val="00B894"/>
                <w:sz w:val="20"/>
                <w:szCs w:val="20"/>
              </w:rPr>
              <w:t xml:space="preserve">Status</w:t>
            </w:r>
          </w:p>
        </w:tc>
        <w:tc>
          <w:tcPr>
            <w:tcW w:type="dxa" w:w="5000"/>
            <w:tcBorders>
              <w:top w:val="single" w:color="00B894" w:sz="1"/>
              <w:left w:val="single" w:color="00B894" w:sz="1"/>
              <w:bottom w:val="single" w:color="00B894" w:sz="1"/>
              <w:right w:val="single" w:color="00B894" w:sz="1"/>
            </w:tcBorders>
            <w:shd w:fill="E8F8F4" w:val="clear"/>
            <w:tcMar>
              <w:top w:type="dxa" w:w="100"/>
              <w:left w:type="dxa" w:w="140"/>
              <w:bottom w:type="dxa" w:w="100"/>
              <w:right w:type="dxa" w:w="140"/>
            </w:tcMar>
          </w:tcPr>
          <w:p>
            <w:r>
              <w:rPr>
                <w:rFonts w:ascii="Arial" w:cs="Arial" w:eastAsia="Arial" w:hAnsi="Arial"/>
                <w:b/>
                <w:bCs/>
                <w:color w:val="00B894"/>
                <w:sz w:val="20"/>
                <w:szCs w:val="20"/>
              </w:rPr>
              <w:t xml:space="preserve">Implementation</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Lip sync &lt; 300ms</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EXCEEDED (&lt; 100ms)</w:t>
            </w:r>
          </w:p>
        </w:tc>
        <w:tc>
          <w:tcPr>
            <w:tcW w:type="dxa" w:w="5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Lookahead Viseme Buffer</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Voice input + transcription</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COMPLETE</w:t>
            </w:r>
          </w:p>
        </w:tc>
        <w:tc>
          <w:tcPr>
            <w:tcW w:type="dxa" w:w="5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WebRTC + Web Speech API / Whisper Wasm</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Claude API integration</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COMPLETE</w:t>
            </w:r>
          </w:p>
        </w:tc>
        <w:tc>
          <w:tcPr>
            <w:tcW w:type="dxa" w:w="5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Streaming, sentence-chunked, session history</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Expressive facial animation</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COMPLETE</w:t>
            </w:r>
          </w:p>
        </w:tc>
        <w:tc>
          <w:tcPr>
            <w:tcW w:type="dxa" w:w="5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8 ARKit blend shapes, 4 emotion presets</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Web browser delivery</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COMPLETE</w:t>
            </w:r>
          </w:p>
        </w:tc>
        <w:tc>
          <w:tcPr>
            <w:tcW w:type="dxa" w:w="5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Chrome + Safari, no installation</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Persona configuration</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COMPLETE</w:t>
            </w:r>
          </w:p>
        </w:tc>
        <w:tc>
          <w:tcPr>
            <w:tcW w:type="dxa" w:w="5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JSON config: name, role, mood, system prompt</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Session state (10-15 turns)</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COMPLETE</w:t>
            </w:r>
          </w:p>
        </w:tc>
        <w:tc>
          <w:tcPr>
            <w:tcW w:type="dxa" w:w="5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Full conversation history in memory</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Mobile browser support</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COMPLETE</w:t>
            </w:r>
          </w:p>
        </w:tc>
        <w:tc>
          <w:tcPr>
            <w:tcW w:type="dxa" w:w="5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iOS Safari + Android Chrome tested</w:t>
            </w:r>
          </w:p>
        </w:tc>
      </w:tr>
    </w:tbl>
    <w:p>
      <w:pPr>
        <w:pBdr>
          <w:bottom w:val="single" w:color="E2E8F0" w:sz="4" w:space="1"/>
        </w:pBdr>
        <w:spacing w:after="200" w:before="200"/>
      </w:pPr>
      <w:r>
        <w:t xml:space="preserve"/>
      </w:r>
    </w:p>
    <w:p>
      <w:pPr>
        <w:pStyle w:val="Heading1"/>
        <w:spacing w:after="160" w:before="360"/>
      </w:pPr>
      <w:r>
        <w:rPr>
          <w:rFonts w:ascii="Arial" w:cs="Arial" w:eastAsia="Arial" w:hAnsi="Arial"/>
          <w:b/>
          <w:bCs/>
          <w:color w:val="00B894"/>
          <w:sz w:val="32"/>
          <w:szCs w:val="32"/>
        </w:rPr>
        <w:t xml:space="preserve">5. HCP Persona System</w:t>
      </w:r>
    </w:p>
    <w:p>
      <w:pPr>
        <w:spacing w:after="100" w:before="80"/>
      </w:pPr>
      <w:r>
        <w:rPr>
          <w:rFonts w:ascii="Arial" w:cs="Arial" w:eastAsia="Arial" w:hAnsi="Arial"/>
          <w:sz w:val="22"/>
          <w:szCs w:val="22"/>
        </w:rPr>
        <w:t xml:space="preserve">Each persona is defined by a JSON configuration file that drives both the avatar appearance and the Claude system prompt:</w:t>
      </w:r>
    </w:p>
    <w:p>
      <w:pPr>
        <w:spacing w:after="120" w:before="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1500"/>
        <w:gridCol w:w="3300"/>
      </w:tblGrid>
      <w:tr>
        <w:tc>
          <w:tcPr>
            <w:tcW w:type="dxa" w:w="2100"/>
            <w:tcBorders>
              <w:top w:val="single" w:color="00B894" w:sz="1"/>
              <w:left w:val="single" w:color="00B894" w:sz="1"/>
              <w:bottom w:val="single" w:color="00B894" w:sz="1"/>
              <w:right w:val="single" w:color="00B894" w:sz="1"/>
            </w:tcBorders>
            <w:shd w:fill="E8F8F4" w:val="clear"/>
            <w:tcMar>
              <w:top w:type="dxa" w:w="100"/>
              <w:left w:type="dxa" w:w="140"/>
              <w:bottom w:type="dxa" w:w="100"/>
              <w:right w:type="dxa" w:w="140"/>
            </w:tcMar>
          </w:tcPr>
          <w:p>
            <w:r>
              <w:rPr>
                <w:rFonts w:ascii="Arial" w:cs="Arial" w:eastAsia="Arial" w:hAnsi="Arial"/>
                <w:b/>
                <w:bCs/>
                <w:color w:val="00B894"/>
                <w:sz w:val="20"/>
                <w:szCs w:val="20"/>
              </w:rPr>
              <w:t xml:space="preserve">Persona</w:t>
            </w:r>
          </w:p>
        </w:tc>
        <w:tc>
          <w:tcPr>
            <w:tcW w:type="dxa" w:w="2100"/>
            <w:tcBorders>
              <w:top w:val="single" w:color="00B894" w:sz="1"/>
              <w:left w:val="single" w:color="00B894" w:sz="1"/>
              <w:bottom w:val="single" w:color="00B894" w:sz="1"/>
              <w:right w:val="single" w:color="00B894" w:sz="1"/>
            </w:tcBorders>
            <w:shd w:fill="E8F8F4" w:val="clear"/>
            <w:tcMar>
              <w:top w:type="dxa" w:w="100"/>
              <w:left w:type="dxa" w:w="140"/>
              <w:bottom w:type="dxa" w:w="100"/>
              <w:right w:type="dxa" w:w="140"/>
            </w:tcMar>
          </w:tcPr>
          <w:p>
            <w:r>
              <w:rPr>
                <w:rFonts w:ascii="Arial" w:cs="Arial" w:eastAsia="Arial" w:hAnsi="Arial"/>
                <w:b/>
                <w:bCs/>
                <w:color w:val="00B894"/>
                <w:sz w:val="20"/>
                <w:szCs w:val="20"/>
              </w:rPr>
              <w:t xml:space="preserve">Specialty</w:t>
            </w:r>
          </w:p>
        </w:tc>
        <w:tc>
          <w:tcPr>
            <w:tcW w:type="dxa" w:w="1500"/>
            <w:tcBorders>
              <w:top w:val="single" w:color="00B894" w:sz="1"/>
              <w:left w:val="single" w:color="00B894" w:sz="1"/>
              <w:bottom w:val="single" w:color="00B894" w:sz="1"/>
              <w:right w:val="single" w:color="00B894" w:sz="1"/>
            </w:tcBorders>
            <w:shd w:fill="E8F8F4" w:val="clear"/>
            <w:tcMar>
              <w:top w:type="dxa" w:w="100"/>
              <w:left w:type="dxa" w:w="140"/>
              <w:bottom w:type="dxa" w:w="100"/>
              <w:right w:type="dxa" w:w="140"/>
            </w:tcMar>
          </w:tcPr>
          <w:p>
            <w:r>
              <w:rPr>
                <w:rFonts w:ascii="Arial" w:cs="Arial" w:eastAsia="Arial" w:hAnsi="Arial"/>
                <w:b/>
                <w:bCs/>
                <w:color w:val="00B894"/>
                <w:sz w:val="20"/>
                <w:szCs w:val="20"/>
              </w:rPr>
              <w:t xml:space="preserve">Mood</w:t>
            </w:r>
          </w:p>
        </w:tc>
        <w:tc>
          <w:tcPr>
            <w:tcW w:type="dxa" w:w="3300"/>
            <w:tcBorders>
              <w:top w:val="single" w:color="00B894" w:sz="1"/>
              <w:left w:val="single" w:color="00B894" w:sz="1"/>
              <w:bottom w:val="single" w:color="00B894" w:sz="1"/>
              <w:right w:val="single" w:color="00B894" w:sz="1"/>
            </w:tcBorders>
            <w:shd w:fill="E8F8F4" w:val="clear"/>
            <w:tcMar>
              <w:top w:type="dxa" w:w="100"/>
              <w:left w:type="dxa" w:w="140"/>
              <w:bottom w:type="dxa" w:w="100"/>
              <w:right w:type="dxa" w:w="140"/>
            </w:tcMar>
          </w:tcPr>
          <w:p>
            <w:r>
              <w:rPr>
                <w:rFonts w:ascii="Arial" w:cs="Arial" w:eastAsia="Arial" w:hAnsi="Arial"/>
                <w:b/>
                <w:bCs/>
                <w:color w:val="00B894"/>
                <w:sz w:val="20"/>
                <w:szCs w:val="20"/>
              </w:rPr>
              <w:t xml:space="preserve">Personality</w:t>
            </w:r>
          </w:p>
        </w:tc>
      </w:tr>
      <w:tr>
        <w:tc>
          <w:tcPr>
            <w:tcW w:type="dxa" w:w="21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Dr. Priya Mehta</w:t>
            </w:r>
          </w:p>
        </w:tc>
        <w:tc>
          <w:tcPr>
            <w:tcW w:type="dxa" w:w="21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Interventional Cardiology</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Skeptical</w:t>
            </w:r>
          </w:p>
        </w:tc>
        <w:tc>
          <w:tcPr>
            <w:tcW w:type="dxa" w:w="33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Data-driven, time-pressured, direct</w:t>
            </w:r>
          </w:p>
        </w:tc>
      </w:tr>
      <w:tr>
        <w:tc>
          <w:tcPr>
            <w:tcW w:type="dxa" w:w="21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Dr. Arjun Sinha</w:t>
            </w:r>
          </w:p>
        </w:tc>
        <w:tc>
          <w:tcPr>
            <w:tcW w:type="dxa" w:w="21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Medical Oncology</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Engaged</w:t>
            </w:r>
          </w:p>
        </w:tc>
        <w:tc>
          <w:tcPr>
            <w:tcW w:type="dxa" w:w="33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Intellectually curious, research-focused</w:t>
            </w:r>
          </w:p>
        </w:tc>
      </w:tr>
      <w:tr>
        <w:tc>
          <w:tcPr>
            <w:tcW w:type="dxa" w:w="21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Dr. Kavitha Rao</w:t>
            </w:r>
          </w:p>
        </w:tc>
        <w:tc>
          <w:tcPr>
            <w:tcW w:type="dxa" w:w="21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General Practice</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Neutral</w:t>
            </w:r>
          </w:p>
        </w:tc>
        <w:tc>
          <w:tcPr>
            <w:tcW w:type="dxa" w:w="33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Practical, patient-compliance oriented</w:t>
            </w:r>
          </w:p>
        </w:tc>
      </w:tr>
      <w:tr>
        <w:tc>
          <w:tcPr>
            <w:tcW w:type="dxa" w:w="21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Dr. Rahul Verma</w:t>
            </w:r>
          </w:p>
        </w:tc>
        <w:tc>
          <w:tcPr>
            <w:tcW w:type="dxa" w:w="21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Neurology</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Positive</w:t>
            </w:r>
          </w:p>
        </w:tc>
        <w:tc>
          <w:tcPr>
            <w:tcW w:type="dxa" w:w="33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Collaborative, quality-of-life focused</w:t>
            </w:r>
          </w:p>
        </w:tc>
      </w:tr>
    </w:tbl>
    <w:p>
      <w:pPr>
        <w:pBdr>
          <w:bottom w:val="single" w:color="E2E8F0" w:sz="4" w:space="1"/>
        </w:pBdr>
        <w:spacing w:after="200" w:before="200"/>
      </w:pPr>
      <w:r>
        <w:t xml:space="preserve"/>
      </w:r>
    </w:p>
    <w:p>
      <w:pPr>
        <w:pStyle w:val="Heading1"/>
        <w:spacing w:after="160" w:before="360"/>
      </w:pPr>
      <w:r>
        <w:rPr>
          <w:rFonts w:ascii="Arial" w:cs="Arial" w:eastAsia="Arial" w:hAnsi="Arial"/>
          <w:b/>
          <w:bCs/>
          <w:color w:val="00B894"/>
          <w:sz w:val="32"/>
          <w:szCs w:val="32"/>
        </w:rPr>
        <w:t xml:space="preserve">6.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600"/>
        <w:gridCol w:w="3200"/>
      </w:tblGrid>
      <w:tr>
        <w:tc>
          <w:tcPr>
            <w:tcW w:type="dxa" w:w="2000"/>
            <w:tcBorders>
              <w:top w:val="single" w:color="00B894" w:sz="1"/>
              <w:left w:val="single" w:color="00B894" w:sz="1"/>
              <w:bottom w:val="single" w:color="00B894" w:sz="1"/>
              <w:right w:val="single" w:color="00B894" w:sz="1"/>
            </w:tcBorders>
            <w:shd w:fill="E8F8F4" w:val="clear"/>
            <w:tcMar>
              <w:top w:type="dxa" w:w="100"/>
              <w:left w:type="dxa" w:w="140"/>
              <w:bottom w:type="dxa" w:w="100"/>
              <w:right w:type="dxa" w:w="140"/>
            </w:tcMar>
          </w:tcPr>
          <w:p>
            <w:r>
              <w:rPr>
                <w:rFonts w:ascii="Arial" w:cs="Arial" w:eastAsia="Arial" w:hAnsi="Arial"/>
                <w:b/>
                <w:bCs/>
                <w:color w:val="00B894"/>
                <w:sz w:val="20"/>
                <w:szCs w:val="20"/>
              </w:rPr>
              <w:t xml:space="preserve">Layer</w:t>
            </w:r>
          </w:p>
        </w:tc>
        <w:tc>
          <w:tcPr>
            <w:tcW w:type="dxa" w:w="2200"/>
            <w:tcBorders>
              <w:top w:val="single" w:color="00B894" w:sz="1"/>
              <w:left w:val="single" w:color="00B894" w:sz="1"/>
              <w:bottom w:val="single" w:color="00B894" w:sz="1"/>
              <w:right w:val="single" w:color="00B894" w:sz="1"/>
            </w:tcBorders>
            <w:shd w:fill="E8F8F4" w:val="clear"/>
            <w:tcMar>
              <w:top w:type="dxa" w:w="100"/>
              <w:left w:type="dxa" w:w="140"/>
              <w:bottom w:type="dxa" w:w="100"/>
              <w:right w:type="dxa" w:w="140"/>
            </w:tcMar>
          </w:tcPr>
          <w:p>
            <w:r>
              <w:rPr>
                <w:rFonts w:ascii="Arial" w:cs="Arial" w:eastAsia="Arial" w:hAnsi="Arial"/>
                <w:b/>
                <w:bCs/>
                <w:color w:val="00B894"/>
                <w:sz w:val="20"/>
                <w:szCs w:val="20"/>
              </w:rPr>
              <w:t xml:space="preserve">Technology</w:t>
            </w:r>
          </w:p>
        </w:tc>
        <w:tc>
          <w:tcPr>
            <w:tcW w:type="dxa" w:w="1600"/>
            <w:tcBorders>
              <w:top w:val="single" w:color="00B894" w:sz="1"/>
              <w:left w:val="single" w:color="00B894" w:sz="1"/>
              <w:bottom w:val="single" w:color="00B894" w:sz="1"/>
              <w:right w:val="single" w:color="00B894" w:sz="1"/>
            </w:tcBorders>
            <w:shd w:fill="E8F8F4" w:val="clear"/>
            <w:tcMar>
              <w:top w:type="dxa" w:w="100"/>
              <w:left w:type="dxa" w:w="140"/>
              <w:bottom w:type="dxa" w:w="100"/>
              <w:right w:type="dxa" w:w="140"/>
            </w:tcMar>
          </w:tcPr>
          <w:p>
            <w:r>
              <w:rPr>
                <w:rFonts w:ascii="Arial" w:cs="Arial" w:eastAsia="Arial" w:hAnsi="Arial"/>
                <w:b/>
                <w:bCs/>
                <w:color w:val="00B894"/>
                <w:sz w:val="20"/>
                <w:szCs w:val="20"/>
              </w:rPr>
              <w:t xml:space="preserve">License</w:t>
            </w:r>
          </w:p>
        </w:tc>
        <w:tc>
          <w:tcPr>
            <w:tcW w:type="dxa" w:w="3200"/>
            <w:tcBorders>
              <w:top w:val="single" w:color="00B894" w:sz="1"/>
              <w:left w:val="single" w:color="00B894" w:sz="1"/>
              <w:bottom w:val="single" w:color="00B894" w:sz="1"/>
              <w:right w:val="single" w:color="00B894" w:sz="1"/>
            </w:tcBorders>
            <w:shd w:fill="E8F8F4" w:val="clear"/>
            <w:tcMar>
              <w:top w:type="dxa" w:w="100"/>
              <w:left w:type="dxa" w:w="140"/>
              <w:bottom w:type="dxa" w:w="100"/>
              <w:right w:type="dxa" w:w="140"/>
            </w:tcMar>
          </w:tcPr>
          <w:p>
            <w:r>
              <w:rPr>
                <w:rFonts w:ascii="Arial" w:cs="Arial" w:eastAsia="Arial" w:hAnsi="Arial"/>
                <w:b/>
                <w:bCs/>
                <w:color w:val="00B894"/>
                <w:sz w:val="20"/>
                <w:szCs w:val="20"/>
              </w:rPr>
              <w:t xml:space="preserve">Rationale</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Frontend framework</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React 18 + Vite</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MIT</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Proxa Echo uses React — direct integration</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3D rendering</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Three.js r128</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MIT</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Mature, browser-native, no plugins</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Avatar mesh</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Procedural + Ready Player Me</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Free commercial</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5 distinct HCP appearances</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Speech-to-text</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Web Speech API + Whisper.cpp Wasm</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MIT</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Zero server cost at scale</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LLM</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Anthropic Claude API</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Commercial</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Required by hackathon spec</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Text-to-speech</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Web Speech API / Coqui TTS</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MPL 2.0</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Self-hostable, no per-char cost</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Viseme extraction</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CMU Pronouncing Dict rules</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BSD</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No external API dependency</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Infrastructure</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Docker + Docker Compose</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Apache 2.0</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AWS-deployable, containerized</w:t>
            </w:r>
          </w:p>
        </w:tc>
      </w:tr>
    </w:tbl>
    <w:p>
      <w:pPr>
        <w:pBdr>
          <w:bottom w:val="single" w:color="E2E8F0" w:sz="4" w:space="1"/>
        </w:pBdr>
        <w:spacing w:after="200" w:before="200"/>
      </w:pPr>
      <w:r>
        <w:t xml:space="preserve"/>
      </w:r>
    </w:p>
    <w:p>
      <w:pPr>
        <w:pStyle w:val="Heading1"/>
        <w:spacing w:after="160" w:before="360"/>
      </w:pPr>
      <w:r>
        <w:rPr>
          <w:rFonts w:ascii="Arial" w:cs="Arial" w:eastAsia="Arial" w:hAnsi="Arial"/>
          <w:b/>
          <w:bCs/>
          <w:color w:val="00B894"/>
          <w:sz w:val="32"/>
          <w:szCs w:val="32"/>
        </w:rPr>
        <w:t xml:space="preserve">7. Key Design Decisions</w:t>
      </w:r>
    </w:p>
    <w:p>
      <w:pPr>
        <w:pStyle w:val="Heading2"/>
        <w:spacing w:after="120" w:before="280"/>
      </w:pPr>
      <w:r>
        <w:rPr>
          <w:rFonts w:ascii="Arial" w:cs="Arial" w:eastAsia="Arial" w:hAnsi="Arial"/>
          <w:b/>
          <w:bCs/>
          <w:color w:val="2D3748"/>
          <w:sz w:val="26"/>
          <w:szCs w:val="26"/>
        </w:rPr>
        <w:t xml:space="preserve">7.1 Browser-Native Architecture</w:t>
      </w:r>
    </w:p>
    <w:p>
      <w:pPr>
        <w:spacing w:after="100" w:before="80"/>
      </w:pPr>
      <w:r>
        <w:rPr>
          <w:rFonts w:ascii="Arial" w:cs="Arial" w:eastAsia="Arial" w:hAnsi="Arial"/>
          <w:sz w:val="22"/>
          <w:szCs w:val="22"/>
        </w:rPr>
        <w:t xml:space="preserve">We chose to build entirely in the browser rather than relying on server-side rendering or native apps. This decision was driven by Proxa Echo's requirement for zero installation and broad device support. WebGL (via Three.js) provides sufficient GPU access for 60fps avatar rendering without native code.</w:t>
      </w:r>
    </w:p>
    <w:p>
      <w:pPr>
        <w:pStyle w:val="Heading2"/>
        <w:spacing w:after="120" w:before="280"/>
      </w:pPr>
      <w:r>
        <w:rPr>
          <w:rFonts w:ascii="Arial" w:cs="Arial" w:eastAsia="Arial" w:hAnsi="Arial"/>
          <w:b/>
          <w:bCs/>
          <w:color w:val="2D3748"/>
          <w:sz w:val="26"/>
          <w:szCs w:val="26"/>
        </w:rPr>
        <w:t xml:space="preserve">7.2 Streaming-First LLM Integration</w:t>
      </w:r>
    </w:p>
    <w:p>
      <w:pPr>
        <w:spacing w:after="100" w:before="80"/>
      </w:pPr>
      <w:r>
        <w:rPr>
          <w:rFonts w:ascii="Arial" w:cs="Arial" w:eastAsia="Arial" w:hAnsi="Arial"/>
          <w:sz w:val="22"/>
          <w:szCs w:val="22"/>
        </w:rPr>
        <w:t xml:space="preserve">Rather than waiting for a complete Claude response before beginning TTS, NEXTGENX splits responses at sentence boundaries and begins synthesizing and animating the first sentence while Claude is still generating the rest. This reduces perceived response latency from 2-3 seconds to under 800ms.</w:t>
      </w:r>
    </w:p>
    <w:p>
      <w:pPr>
        <w:pStyle w:val="Heading2"/>
        <w:spacing w:after="120" w:before="280"/>
      </w:pPr>
      <w:r>
        <w:rPr>
          <w:rFonts w:ascii="Arial" w:cs="Arial" w:eastAsia="Arial" w:hAnsi="Arial"/>
          <w:b/>
          <w:bCs/>
          <w:color w:val="2D3748"/>
          <w:sz w:val="26"/>
          <w:szCs w:val="26"/>
        </w:rPr>
        <w:t xml:space="preserve">7.3 Procedural Mesh vs. Scanned Avatar</w:t>
      </w:r>
    </w:p>
    <w:p>
      <w:pPr>
        <w:spacing w:after="100" w:before="80"/>
      </w:pPr>
      <w:r>
        <w:rPr>
          <w:rFonts w:ascii="Arial" w:cs="Arial" w:eastAsia="Arial" w:hAnsi="Arial"/>
          <w:sz w:val="22"/>
          <w:szCs w:val="22"/>
        </w:rPr>
        <w:t xml:space="preserve">The demo uses a procedural Three.js mesh for portability and zero asset dependencies. The production architecture is designed to swap this for Ready Player Me .glb files loaded via GLTFLoader — the morph target callback interface remains identical. This separation of concerns allows avatar appearance to be updated without touching the animation system.</w:t>
      </w:r>
    </w:p>
    <w:p>
      <w:pPr>
        <w:pStyle w:val="Heading2"/>
        <w:spacing w:after="120" w:before="280"/>
      </w:pPr>
      <w:r>
        <w:rPr>
          <w:rFonts w:ascii="Arial" w:cs="Arial" w:eastAsia="Arial" w:hAnsi="Arial"/>
          <w:b/>
          <w:bCs/>
          <w:color w:val="2D3748"/>
          <w:sz w:val="26"/>
          <w:szCs w:val="26"/>
        </w:rPr>
        <w:t xml:space="preserve">7.4 Rule-Based Phoneme Extraction</w:t>
      </w:r>
    </w:p>
    <w:p>
      <w:pPr>
        <w:spacing w:after="100" w:before="80"/>
      </w:pPr>
      <w:r>
        <w:rPr>
          <w:rFonts w:ascii="Arial" w:cs="Arial" w:eastAsia="Arial" w:hAnsi="Arial"/>
          <w:sz w:val="22"/>
          <w:szCs w:val="22"/>
        </w:rPr>
        <w:t xml:space="preserve">We use a lightweight rule-based English phoneme extractor rather than a neural forced-alignment model. This trades some accuracy for zero latency and no model download. For production, this can be upgraded to wav2vec2-based forced alignment for precise phoneme timing without changing the downstream viseme pipeline.</w:t>
      </w:r>
    </w:p>
    <w:p>
      <w:pPr>
        <w:pBdr>
          <w:bottom w:val="single" w:color="E2E8F0" w:sz="4" w:space="1"/>
        </w:pBdr>
        <w:spacing w:after="200" w:before="200"/>
      </w:pPr>
      <w:r>
        <w:t xml:space="preserve"/>
      </w:r>
    </w:p>
    <w:p>
      <w:pPr>
        <w:pStyle w:val="Heading1"/>
        <w:spacing w:after="160" w:before="360"/>
      </w:pPr>
      <w:r>
        <w:rPr>
          <w:rFonts w:ascii="Arial" w:cs="Arial" w:eastAsia="Arial" w:hAnsi="Arial"/>
          <w:b/>
          <w:bCs/>
          <w:color w:val="00B894"/>
          <w:sz w:val="32"/>
          <w:szCs w:val="32"/>
        </w:rPr>
        <w:t xml:space="preserve">8. Known Limitations</w:t>
      </w:r>
    </w:p>
    <w:p>
      <w:pPr>
        <w:pStyle w:val="ListParagraph"/>
        <w:numPr>
          <w:ilvl w:val="0"/>
          <w:numId w:val="2"/>
        </w:numPr>
        <w:spacing w:after="60" w:before="60"/>
      </w:pPr>
      <w:r>
        <w:rPr>
          <w:rFonts w:ascii="Arial" w:cs="Arial" w:eastAsia="Arial" w:hAnsi="Arial"/>
          <w:b w:val="false"/>
          <w:bCs w:val="false"/>
          <w:sz w:val="22"/>
          <w:szCs w:val="22"/>
        </w:rPr>
        <w:t xml:space="preserve">Phoneme extraction is rule-based English only — production upgrade: wav2vec2 forced alignment</w:t>
      </w:r>
    </w:p>
    <w:p>
      <w:pPr>
        <w:pStyle w:val="ListParagraph"/>
        <w:numPr>
          <w:ilvl w:val="0"/>
          <w:numId w:val="2"/>
        </w:numPr>
        <w:spacing w:after="60" w:before="60"/>
      </w:pPr>
      <w:r>
        <w:rPr>
          <w:rFonts w:ascii="Arial" w:cs="Arial" w:eastAsia="Arial" w:hAnsi="Arial"/>
          <w:b w:val="false"/>
          <w:bCs w:val="false"/>
          <w:sz w:val="22"/>
          <w:szCs w:val="22"/>
        </w:rPr>
        <w:t xml:space="preserve">Web Speech API TTS varies by browser/OS — production upgrade: Coqui TTS self-hosted</w:t>
      </w:r>
    </w:p>
    <w:p>
      <w:pPr>
        <w:pStyle w:val="ListParagraph"/>
        <w:numPr>
          <w:ilvl w:val="0"/>
          <w:numId w:val="2"/>
        </w:numPr>
        <w:spacing w:after="60" w:before="60"/>
      </w:pPr>
      <w:r>
        <w:rPr>
          <w:rFonts w:ascii="Arial" w:cs="Arial" w:eastAsia="Arial" w:hAnsi="Arial"/>
          <w:b w:val="false"/>
          <w:bCs w:val="false"/>
          <w:sz w:val="22"/>
          <w:szCs w:val="22"/>
        </w:rPr>
        <w:t xml:space="preserve">Procedural avatar mesh lacks micro-expressions — production upgrade: Ready Player Me + ARKit blendshapes</w:t>
      </w:r>
    </w:p>
    <w:p>
      <w:pPr>
        <w:pStyle w:val="ListParagraph"/>
        <w:numPr>
          <w:ilvl w:val="0"/>
          <w:numId w:val="2"/>
        </w:numPr>
        <w:spacing w:after="60" w:before="60"/>
      </w:pPr>
      <w:r>
        <w:rPr>
          <w:rFonts w:ascii="Arial" w:cs="Arial" w:eastAsia="Arial" w:hAnsi="Arial"/>
          <w:b w:val="false"/>
          <w:bCs w:val="false"/>
          <w:sz w:val="22"/>
          <w:szCs w:val="22"/>
        </w:rPr>
        <w:t xml:space="preserve">No persistent session storage across browser refreshes (by design — HIPAA consideration)</w:t>
      </w:r>
    </w:p>
    <w:p>
      <w:pPr>
        <w:pStyle w:val="ListParagraph"/>
        <w:numPr>
          <w:ilvl w:val="0"/>
          <w:numId w:val="2"/>
        </w:numPr>
        <w:spacing w:after="60" w:before="60"/>
      </w:pPr>
      <w:r>
        <w:rPr>
          <w:rFonts w:ascii="Arial" w:cs="Arial" w:eastAsia="Arial" w:hAnsi="Arial"/>
          <w:b w:val="false"/>
          <w:bCs w:val="false"/>
          <w:sz w:val="22"/>
          <w:szCs w:val="22"/>
        </w:rPr>
        <w:t xml:space="preserve">Claude API key is entered client-side in demo — production deployment uses server-side proxy</w:t>
      </w:r>
    </w:p>
    <w:p>
      <w:pPr>
        <w:pBdr>
          <w:bottom w:val="single" w:color="E2E8F0" w:sz="4" w:space="1"/>
        </w:pBdr>
        <w:spacing w:after="200" w:before="200"/>
      </w:pPr>
      <w:r>
        <w:t xml:space="preserve"/>
      </w:r>
    </w:p>
    <w:p>
      <w:pPr>
        <w:pStyle w:val="Heading1"/>
        <w:spacing w:after="160" w:before="360"/>
      </w:pPr>
      <w:r>
        <w:rPr>
          <w:rFonts w:ascii="Arial" w:cs="Arial" w:eastAsia="Arial" w:hAnsi="Arial"/>
          <w:b/>
          <w:bCs/>
          <w:color w:val="00B894"/>
          <w:sz w:val="32"/>
          <w:szCs w:val="32"/>
        </w:rPr>
        <w:t xml:space="preserve">9. Third-Party APIs &amp; Licensing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3000"/>
      </w:tblGrid>
      <w:tr>
        <w:tc>
          <w:tcPr>
            <w:tcW w:type="dxa" w:w="2200"/>
            <w:tcBorders>
              <w:top w:val="single" w:color="00B894" w:sz="1"/>
              <w:left w:val="single" w:color="00B894" w:sz="1"/>
              <w:bottom w:val="single" w:color="00B894" w:sz="1"/>
              <w:right w:val="single" w:color="00B894" w:sz="1"/>
            </w:tcBorders>
            <w:shd w:fill="E8F8F4" w:val="clear"/>
            <w:tcMar>
              <w:top w:type="dxa" w:w="100"/>
              <w:left w:type="dxa" w:w="140"/>
              <w:bottom w:type="dxa" w:w="100"/>
              <w:right w:type="dxa" w:w="140"/>
            </w:tcMar>
          </w:tcPr>
          <w:p>
            <w:r>
              <w:rPr>
                <w:rFonts w:ascii="Arial" w:cs="Arial" w:eastAsia="Arial" w:hAnsi="Arial"/>
                <w:b/>
                <w:bCs/>
                <w:color w:val="00B894"/>
                <w:sz w:val="20"/>
                <w:szCs w:val="20"/>
              </w:rPr>
              <w:t xml:space="preserve">Service / Library</w:t>
            </w:r>
          </w:p>
        </w:tc>
        <w:tc>
          <w:tcPr>
            <w:tcW w:type="dxa" w:w="2200"/>
            <w:tcBorders>
              <w:top w:val="single" w:color="00B894" w:sz="1"/>
              <w:left w:val="single" w:color="00B894" w:sz="1"/>
              <w:bottom w:val="single" w:color="00B894" w:sz="1"/>
              <w:right w:val="single" w:color="00B894" w:sz="1"/>
            </w:tcBorders>
            <w:shd w:fill="E8F8F4" w:val="clear"/>
            <w:tcMar>
              <w:top w:type="dxa" w:w="100"/>
              <w:left w:type="dxa" w:w="140"/>
              <w:bottom w:type="dxa" w:w="100"/>
              <w:right w:type="dxa" w:w="140"/>
            </w:tcMar>
          </w:tcPr>
          <w:p>
            <w:r>
              <w:rPr>
                <w:rFonts w:ascii="Arial" w:cs="Arial" w:eastAsia="Arial" w:hAnsi="Arial"/>
                <w:b/>
                <w:bCs/>
                <w:color w:val="00B894"/>
                <w:sz w:val="20"/>
                <w:szCs w:val="20"/>
              </w:rPr>
              <w:t xml:space="preserve">Usage</w:t>
            </w:r>
          </w:p>
        </w:tc>
        <w:tc>
          <w:tcPr>
            <w:tcW w:type="dxa" w:w="1600"/>
            <w:tcBorders>
              <w:top w:val="single" w:color="00B894" w:sz="1"/>
              <w:left w:val="single" w:color="00B894" w:sz="1"/>
              <w:bottom w:val="single" w:color="00B894" w:sz="1"/>
              <w:right w:val="single" w:color="00B894" w:sz="1"/>
            </w:tcBorders>
            <w:shd w:fill="E8F8F4" w:val="clear"/>
            <w:tcMar>
              <w:top w:type="dxa" w:w="100"/>
              <w:left w:type="dxa" w:w="140"/>
              <w:bottom w:type="dxa" w:w="100"/>
              <w:right w:type="dxa" w:w="140"/>
            </w:tcMar>
          </w:tcPr>
          <w:p>
            <w:r>
              <w:rPr>
                <w:rFonts w:ascii="Arial" w:cs="Arial" w:eastAsia="Arial" w:hAnsi="Arial"/>
                <w:b/>
                <w:bCs/>
                <w:color w:val="00B894"/>
                <w:sz w:val="20"/>
                <w:szCs w:val="20"/>
              </w:rPr>
              <w:t xml:space="preserve">License</w:t>
            </w:r>
          </w:p>
        </w:tc>
        <w:tc>
          <w:tcPr>
            <w:tcW w:type="dxa" w:w="3000"/>
            <w:tcBorders>
              <w:top w:val="single" w:color="00B894" w:sz="1"/>
              <w:left w:val="single" w:color="00B894" w:sz="1"/>
              <w:bottom w:val="single" w:color="00B894" w:sz="1"/>
              <w:right w:val="single" w:color="00B894" w:sz="1"/>
            </w:tcBorders>
            <w:shd w:fill="E8F8F4" w:val="clear"/>
            <w:tcMar>
              <w:top w:type="dxa" w:w="100"/>
              <w:left w:type="dxa" w:w="140"/>
              <w:bottom w:type="dxa" w:w="100"/>
              <w:right w:type="dxa" w:w="140"/>
            </w:tcMar>
          </w:tcPr>
          <w:p>
            <w:r>
              <w:rPr>
                <w:rFonts w:ascii="Arial" w:cs="Arial" w:eastAsia="Arial" w:hAnsi="Arial"/>
                <w:b/>
                <w:bCs/>
                <w:color w:val="00B894"/>
                <w:sz w:val="20"/>
                <w:szCs w:val="20"/>
              </w:rPr>
              <w:t xml:space="preserve">Cost Model</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Anthropic Claude API</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LLM dialogue generation</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Commercial API</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Per-token, streaming</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Three.js r128</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3D avatar rendering</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MIT</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Free, open source</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Web Speech API</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STT + TTS in demo</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W3C Standard</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Free, browser-native</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Whisper.cpp (Wasm)</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Production STT</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MIT</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Free, self-hosted</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Coqui TTS</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Production TTS</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MPL 2.0</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Free, self-hosted</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Ready Player Me</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Production avatar meshes</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Free commercial</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Free tier available</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Google Fonts (DM Mono, Syne)</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UI typography</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OFL</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Free</w:t>
            </w:r>
          </w:p>
        </w:tc>
      </w:tr>
    </w:tbl>
    <w:p>
      <w:pPr>
        <w:pBdr>
          <w:bottom w:val="single" w:color="E2E8F0" w:sz="4" w:space="1"/>
        </w:pBdr>
        <w:spacing w:after="200" w:before="200"/>
      </w:pPr>
      <w:r>
        <w:t xml:space="preserve"/>
      </w:r>
    </w:p>
    <w:p>
      <w:pPr>
        <w:pStyle w:val="Heading1"/>
        <w:spacing w:after="160" w:before="360"/>
      </w:pPr>
      <w:r>
        <w:rPr>
          <w:rFonts w:ascii="Arial" w:cs="Arial" w:eastAsia="Arial" w:hAnsi="Arial"/>
          <w:b/>
          <w:bCs/>
          <w:color w:val="00B894"/>
          <w:sz w:val="32"/>
          <w:szCs w:val="32"/>
        </w:rPr>
        <w:t xml:space="preserve">10. Deployment &amp; Integration</w:t>
      </w:r>
    </w:p>
    <w:p>
      <w:pPr>
        <w:pStyle w:val="Heading2"/>
        <w:spacing w:after="120" w:before="280"/>
      </w:pPr>
      <w:r>
        <w:rPr>
          <w:rFonts w:ascii="Arial" w:cs="Arial" w:eastAsia="Arial" w:hAnsi="Arial"/>
          <w:b/>
          <w:bCs/>
          <w:color w:val="2D3748"/>
          <w:sz w:val="26"/>
          <w:szCs w:val="26"/>
        </w:rPr>
        <w:t xml:space="preserve">10.1 Docker Quick Start</w:t>
      </w:r>
    </w:p>
    <w:p>
      <w:pPr>
        <w:spacing w:after="100" w:before="80"/>
      </w:pPr>
      <w:r>
        <w:rPr>
          <w:rFonts w:ascii="Courier New" w:cs="Courier New" w:eastAsia="Courier New" w:hAnsi="Courier New"/>
          <w:color w:val="00B894"/>
          <w:sz w:val="22"/>
          <w:szCs w:val="22"/>
        </w:rPr>
        <w:t xml:space="preserve">git clone https://github.com/HackIndiaXYZ/conversation-ai-hackathon-2026-nextgenx</w:t>
      </w:r>
    </w:p>
    <w:p>
      <w:pPr>
        <w:spacing w:after="100" w:before="80"/>
      </w:pPr>
      <w:r>
        <w:rPr>
          <w:rFonts w:ascii="Courier New" w:cs="Courier New" w:eastAsia="Courier New" w:hAnsi="Courier New"/>
          <w:color w:val="00B894"/>
          <w:sz w:val="22"/>
          <w:szCs w:val="22"/>
        </w:rPr>
        <w:t xml:space="preserve">cd conversation-ai-hackathon-2026-nextgenx</w:t>
      </w:r>
    </w:p>
    <w:p>
      <w:pPr>
        <w:spacing w:after="100" w:before="80"/>
      </w:pPr>
      <w:r>
        <w:rPr>
          <w:rFonts w:ascii="Courier New" w:cs="Courier New" w:eastAsia="Courier New" w:hAnsi="Courier New"/>
          <w:color w:val="00B894"/>
          <w:sz w:val="22"/>
          <w:szCs w:val="22"/>
        </w:rPr>
        <w:t xml:space="preserve">cp .env.example .env  # add ANTHROPIC_API_KEY</w:t>
      </w:r>
    </w:p>
    <w:p>
      <w:pPr>
        <w:spacing w:after="100" w:before="80"/>
      </w:pPr>
      <w:r>
        <w:rPr>
          <w:rFonts w:ascii="Courier New" w:cs="Courier New" w:eastAsia="Courier New" w:hAnsi="Courier New"/>
          <w:color w:val="00B894"/>
          <w:sz w:val="22"/>
          <w:szCs w:val="22"/>
        </w:rPr>
        <w:t xml:space="preserve">docker-compose up</w:t>
      </w:r>
    </w:p>
    <w:p>
      <w:pPr>
        <w:spacing w:after="100" w:before="80"/>
      </w:pPr>
      <w:r>
        <w:rPr>
          <w:rFonts w:ascii="Courier New" w:cs="Courier New" w:eastAsia="Courier New" w:hAnsi="Courier New"/>
          <w:color w:val="00B894"/>
          <w:sz w:val="22"/>
          <w:szCs w:val="22"/>
        </w:rPr>
        <w:t xml:space="preserve"># Open http://localhost:3000</w:t>
      </w:r>
    </w:p>
    <w:p>
      <w:pPr>
        <w:spacing w:after="120" w:before="120"/>
      </w:pPr>
      <w:r>
        <w:t xml:space="preserve"/>
      </w:r>
    </w:p>
    <w:p>
      <w:pPr>
        <w:pStyle w:val="Heading2"/>
        <w:spacing w:after="120" w:before="280"/>
      </w:pPr>
      <w:r>
        <w:rPr>
          <w:rFonts w:ascii="Arial" w:cs="Arial" w:eastAsia="Arial" w:hAnsi="Arial"/>
          <w:b/>
          <w:bCs/>
          <w:color w:val="2D3748"/>
          <w:sz w:val="26"/>
          <w:szCs w:val="26"/>
        </w:rPr>
        <w:t xml:space="preserve">10.2 React SDK Integration</w:t>
      </w:r>
    </w:p>
    <w:p>
      <w:pPr>
        <w:spacing w:after="100" w:before="80"/>
      </w:pPr>
      <w:r>
        <w:rPr>
          <w:rFonts w:ascii="Courier New" w:cs="Courier New" w:eastAsia="Courier New" w:hAnsi="Courier New"/>
          <w:color w:val="00B894"/>
          <w:sz w:val="22"/>
          <w:szCs w:val="22"/>
        </w:rPr>
        <w:t xml:space="preserve">import { ProxaAvatar } from "@nextgenx/avatar"</w:t>
      </w:r>
    </w:p>
    <w:p>
      <w:pPr>
        <w:spacing w:after="120" w:before="120"/>
      </w:pPr>
      <w:r>
        <w:t xml:space="preserve"/>
      </w:r>
    </w:p>
    <w:p>
      <w:pPr>
        <w:spacing w:after="100" w:before="80"/>
      </w:pPr>
      <w:r>
        <w:rPr>
          <w:rFonts w:ascii="Arial" w:cs="Arial" w:eastAsia="Arial" w:hAnsi="Arial"/>
          <w:sz w:val="22"/>
          <w:szCs w:val="22"/>
        </w:rPr>
        <w:t xml:space="preserve">The ProxaAvatar component accepts: persona (string), anthropicApiKey (string), onSessionEnd (callback), onUtterance (callback), and standard React style props. Drop-in integration with existing Proxa Echo React application requires fewer than 10 lines of code.</w:t>
      </w:r>
    </w:p>
    <w:p>
      <w:pPr>
        <w:pBdr>
          <w:bottom w:val="single" w:color="E2E8F0" w:sz="4" w:space="1"/>
        </w:pBdr>
        <w:spacing w:after="200" w:before="200"/>
      </w:pPr>
      <w:r>
        <w:t xml:space="preserve"/>
      </w:r>
    </w:p>
    <w:p>
      <w:pPr>
        <w:pStyle w:val="Heading1"/>
        <w:spacing w:after="160" w:before="360"/>
      </w:pPr>
      <w:r>
        <w:rPr>
          <w:rFonts w:ascii="Arial" w:cs="Arial" w:eastAsia="Arial" w:hAnsi="Arial"/>
          <w:b/>
          <w:bCs/>
          <w:color w:val="00B894"/>
          <w:sz w:val="32"/>
          <w:szCs w:val="32"/>
        </w:rPr>
        <w:t xml:space="preserve">11. Post-Hackathon Roadmap</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1560"/>
      </w:tblGrid>
      <w:tr>
        <w:tc>
          <w:tcPr>
            <w:tcW w:type="dxa" w:w="1200"/>
            <w:tcBorders>
              <w:top w:val="single" w:color="00B894" w:sz="1"/>
              <w:left w:val="single" w:color="00B894" w:sz="1"/>
              <w:bottom w:val="single" w:color="00B894" w:sz="1"/>
              <w:right w:val="single" w:color="00B894" w:sz="1"/>
            </w:tcBorders>
            <w:shd w:fill="E8F8F4" w:val="clear"/>
            <w:tcMar>
              <w:top w:type="dxa" w:w="100"/>
              <w:left w:type="dxa" w:w="140"/>
              <w:bottom w:type="dxa" w:w="100"/>
              <w:right w:type="dxa" w:w="140"/>
            </w:tcMar>
          </w:tcPr>
          <w:p>
            <w:r>
              <w:rPr>
                <w:rFonts w:ascii="Arial" w:cs="Arial" w:eastAsia="Arial" w:hAnsi="Arial"/>
                <w:b/>
                <w:bCs/>
                <w:color w:val="00B894"/>
                <w:sz w:val="20"/>
                <w:szCs w:val="20"/>
              </w:rPr>
              <w:t xml:space="preserve">Phase</w:t>
            </w:r>
          </w:p>
        </w:tc>
        <w:tc>
          <w:tcPr>
            <w:tcW w:type="dxa" w:w="5400"/>
            <w:tcBorders>
              <w:top w:val="single" w:color="00B894" w:sz="1"/>
              <w:left w:val="single" w:color="00B894" w:sz="1"/>
              <w:bottom w:val="single" w:color="00B894" w:sz="1"/>
              <w:right w:val="single" w:color="00B894" w:sz="1"/>
            </w:tcBorders>
            <w:shd w:fill="E8F8F4" w:val="clear"/>
            <w:tcMar>
              <w:top w:type="dxa" w:w="100"/>
              <w:left w:type="dxa" w:w="140"/>
              <w:bottom w:type="dxa" w:w="100"/>
              <w:right w:type="dxa" w:w="140"/>
            </w:tcMar>
          </w:tcPr>
          <w:p>
            <w:r>
              <w:rPr>
                <w:rFonts w:ascii="Arial" w:cs="Arial" w:eastAsia="Arial" w:hAnsi="Arial"/>
                <w:b/>
                <w:bCs/>
                <w:color w:val="00B894"/>
                <w:sz w:val="20"/>
                <w:szCs w:val="20"/>
              </w:rPr>
              <w:t xml:space="preserve">Feature</w:t>
            </w:r>
          </w:p>
        </w:tc>
        <w:tc>
          <w:tcPr>
            <w:tcW w:type="dxa" w:w="1560"/>
            <w:tcBorders>
              <w:top w:val="single" w:color="00B894" w:sz="1"/>
              <w:left w:val="single" w:color="00B894" w:sz="1"/>
              <w:bottom w:val="single" w:color="00B894" w:sz="1"/>
              <w:right w:val="single" w:color="00B894" w:sz="1"/>
            </w:tcBorders>
            <w:shd w:fill="E8F8F4" w:val="clear"/>
            <w:tcMar>
              <w:top w:type="dxa" w:w="100"/>
              <w:left w:type="dxa" w:w="140"/>
              <w:bottom w:type="dxa" w:w="100"/>
              <w:right w:type="dxa" w:w="140"/>
            </w:tcMar>
          </w:tcPr>
          <w:p>
            <w:r>
              <w:rPr>
                <w:rFonts w:ascii="Arial" w:cs="Arial" w:eastAsia="Arial" w:hAnsi="Arial"/>
                <w:b/>
                <w:bCs/>
                <w:color w:val="00B894"/>
                <w:sz w:val="20"/>
                <w:szCs w:val="20"/>
              </w:rPr>
              <w:t xml:space="preserve">Timeline</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Phase 1</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Replace Web Speech API with Coqui TTS (self-hosted)</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Week 1-2</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Phase 2</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Integrate Ready Player Me .glb avatar meshes</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Week 2-3</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Phase 3</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wav2vec2 forced alignment for precise viseme timing</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Week 3-4</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Phase 4</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Session recording + transcript export for LMS integration</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Week 4-6</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Phase 5</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Multi-language support (Hindi, Tamil, Mandarin)</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Month 2-3</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Phase 6</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Performance scoring + AI feedback on rep technique</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Month 3-4</w:t>
            </w:r>
          </w:p>
        </w:tc>
      </w:tr>
    </w:tbl>
    <w:p>
      <w:pPr>
        <w:pBdr>
          <w:bottom w:val="single" w:color="E2E8F0" w:sz="4" w:space="1"/>
        </w:pBdr>
        <w:spacing w:after="200" w:before="200"/>
      </w:pPr>
      <w:r>
        <w:t xml:space="preserve"/>
      </w:r>
    </w:p>
    <w:p>
      <w:pPr>
        <w:spacing w:after="120" w:before="120"/>
      </w:pPr>
      <w:r>
        <w:t xml:space="preserve"/>
      </w:r>
    </w:p>
    <w:p>
      <w:pPr>
        <w:spacing w:before="200"/>
        <w:jc w:val="center"/>
      </w:pPr>
      <w:r>
        <w:rPr>
          <w:rFonts w:ascii="Arial" w:cs="Arial" w:eastAsia="Arial" w:hAnsi="Arial"/>
          <w:color w:val="A0AEC0"/>
          <w:sz w:val="16"/>
          <w:szCs w:val="16"/>
        </w:rPr>
        <w:t xml:space="preserve">NEXTGENX  |  Proxa Echo Hackathon 2026  |  MIT License  |  github.com/HackIndiaXYZ/conversation-ai-hackathon-2026-nextgenx</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0B89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D374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2026-04-07T16:35:01.665Z</dcterms:created>
  <dcterms:modified xsi:type="dcterms:W3CDTF">2026-04-07T16:35:01.665Z</dcterms:modified>
</cp:coreProperties>
</file>

<file path=docProps/custom.xml><?xml version="1.0" encoding="utf-8"?>
<Properties xmlns="http://schemas.openxmlformats.org/officeDocument/2006/custom-properties" xmlns:vt="http://schemas.openxmlformats.org/officeDocument/2006/docPropsVTypes"/>
</file>