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F543F"/>
          <w:sz w:val="18"/>
        </w:rPr>
        <w:t>ACME  /  RESEARCH &amp; STRATEGY</w:t>
      </w:r>
    </w:p>
    <w:p>
      <w:pPr>
        <w:pStyle w:val="Title"/>
      </w:pPr>
      <w:r>
        <w:t>A year of meaningful growth.</w:t>
      </w:r>
    </w:p>
    <w:p>
      <w:pPr>
        <w:pStyle w:val="Subtitle"/>
      </w:pPr>
      <w:r>
        <w:t>FY 2025  •  FICTIONAL DEMO DOCUMENT</w:t>
      </w:r>
    </w:p>
    <w:p>
      <w:r>
        <w:t>Revenue increased by 24%, driven primarily by expansion within enterprise accounts.</w:t>
      </w:r>
    </w:p>
    <w:p>
      <w:r>
        <w:t>Enterprise customers represented 62% of total revenue.</w:t>
      </w:r>
    </w:p>
    <w:p>
      <w:r>
        <w:t>Net revenue retention reached 118%, reflecting deeper adoption and sustained customer engagement.</w:t>
      </w:r>
    </w:p>
    <w:p>
      <w:r>
        <w:t>The finance team paired commercial momentum with a disciplined approach to investment. This report brings the key findings into one place.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</w:tcPr>
          <w:p>
            <w:r>
              <w:t>SOURCE</w:t>
            </w:r>
          </w:p>
        </w:tc>
        <w:tc>
          <w:tcPr>
            <w:tcW w:type="dxa" w:w="4104"/>
          </w:tcPr>
          <w:p>
            <w:r>
              <w:t>REVIEW STATUS</w:t>
            </w:r>
          </w:p>
        </w:tc>
      </w:tr>
      <w:tr>
        <w:tc>
          <w:tcPr>
            <w:tcW w:type="dxa" w:w="4104"/>
          </w:tcPr>
          <w:p>
            <w:r>
              <w:t>Annual review</w:t>
            </w:r>
          </w:p>
        </w:tc>
        <w:tc>
          <w:tcPr>
            <w:tcW w:type="dxa" w:w="4104"/>
          </w:tcPr>
          <w:p>
            <w:r>
              <w:t>Prepared sample</w:t>
            </w:r>
          </w:p>
        </w:tc>
      </w:tr>
    </w:tbl>
    <w:p>
      <w:r>
        <w:br w:type="page"/>
      </w:r>
    </w:p>
    <w:p>
      <w:r>
        <w:rPr>
          <w:color w:val="DF543F"/>
          <w:sz w:val="18"/>
        </w:rPr>
        <w:t>ACME  /  RESEARCH &amp; STRATEGY</w:t>
      </w:r>
    </w:p>
    <w:p>
      <w:pPr>
        <w:pStyle w:val="Title"/>
      </w:pPr>
      <w:r>
        <w:t>A clear plan for the year ahead.</w:t>
      </w:r>
    </w:p>
    <w:p>
      <w:pPr>
        <w:pStyle w:val="Subtitle"/>
      </w:pPr>
      <w:r>
        <w:t>FY 2025  •  FICTIONAL DEMO DOCUMENT</w:t>
      </w:r>
    </w:p>
    <w:p>
      <w:r>
        <w:t>The principal planning risks are slower enterprise purchase cycles and increased infrastructure costs.</w:t>
      </w:r>
    </w:p>
    <w:p>
      <w:r>
        <w:t>The team will prioritize customer retention and platform reliability.</w:t>
      </w:r>
    </w:p>
    <w:p>
      <w:r>
        <w:t>Investments will be introduced in stages, with quarterly checkpoints to review progress.</w:t>
      </w:r>
    </w:p>
    <w:p>
      <w:r>
        <w:t>The next planning review is scheduled for 15 November 2025.</w:t>
      </w:r>
    </w:p>
    <w:sectPr w:rsidR="00FC693F" w:rsidRPr="0006063C" w:rsidSect="00034616">
      <w:footerReference w:type="default" r:id="rId9"/>
      <w:pgSz w:w="10080" w:h="1296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• Fictional sample for the Citely product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27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7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27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