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 alpha.</w:t>
      </w:r>
    </w:p>
    <w:p>
      <w:r>
        <w:t>The margin improved materially this quarter.</w:t>
      </w:r>
    </w:p>
    <w:p>
      <w:r>
        <w:t>Middle bravo.</w:t>
      </w:r>
    </w:p>
    <w:p>
      <w:r>
        <w:t>The margin improved materially this quarter.</w:t>
      </w:r>
    </w:p>
    <w:p>
      <w:r>
        <w:t>Middle charlie.</w:t>
      </w:r>
    </w:p>
    <w:p>
      <w:r>
        <w:t>The margin improved materially this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unique AAA</w:t>
            </w:r>
          </w:p>
        </w:tc>
        <w:tc>
          <w:tcPr>
            <w:tcW w:type="dxa" w:w="4320"/>
          </w:tcPr>
          <w:p>
            <w:r>
              <w:t>The margin improved materially this quarter.</w:t>
            </w:r>
          </w:p>
        </w:tc>
      </w:tr>
      <w:tr>
        <w:tc>
          <w:tcPr>
            <w:tcW w:type="dxa" w:w="4320"/>
          </w:tcPr>
          <w:p>
            <w:r>
              <w:t>Cell unique BBB</w:t>
            </w:r>
          </w:p>
        </w:tc>
        <w:tc>
          <w:tcPr>
            <w:tcW w:type="dxa" w:w="4320"/>
          </w:tcPr>
          <w:p>
            <w:r>
              <w:t>Narrow NBSP and ﬁ ligature and café</w:t>
            </w:r>
          </w:p>
        </w:tc>
      </w:tr>
    </w:tbl>
    <w:p>
      <w:r>
        <w:t>Tail delta.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Repeated header 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Repeated header 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