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2"/>
        </w:rPr>
        <w:t>Product Requirements Document (PRD)</w:t>
      </w:r>
    </w:p>
    <w:p>
      <w:pPr>
        <w:jc w:val="center"/>
      </w:pPr>
      <w:r>
        <w:rPr>
          <w:i/>
          <w:color w:val="666666"/>
          <w:sz w:val="22"/>
        </w:rPr>
        <w:t>AgentForge — AI employee generator for websites and applications</w:t>
      </w:r>
    </w:p>
    <w:p>
      <w:pPr>
        <w:jc w:val="center"/>
      </w:pPr>
      <w:r>
        <w:rPr>
          <w:color w:val="666666"/>
          <w:sz w:val="18"/>
        </w:rPr>
        <w:t>AgentForge | Build Documentation Pack | v1.0</w:t>
      </w:r>
    </w:p>
    <w:p/>
    <w:p>
      <w:pPr>
        <w:pStyle w:val="Heading1"/>
      </w:pPr>
      <w:r>
        <w:t>1. Product vision</w:t>
      </w:r>
    </w:p>
    <w:p>
      <w:r>
        <w:t>AgentForge turns a business description and its existing digital content into a deployable AI employee. The product removes the need for small teams to design prompts, RAG pipelines, knowledge bases, tool schemas, or conversational flows from scratch.</w:t>
      </w:r>
    </w:p>
    <w:p>
      <w:pPr>
        <w:pStyle w:val="Heading1"/>
      </w:pPr>
      <w:r>
        <w:t>2. Problem statement</w:t>
      </w:r>
    </w:p>
    <w:p>
      <w:r>
        <w:t>Most organizations have useful information scattered across websites, PDFs, FAQs, databases and staff knowledge. They want customers to get instant answers and take routine actions, but configuring reliable AI support is technically difficult. Existing support tools can be powerful but still require setup, content preparation, workflows and ongoing tuning.</w:t>
      </w:r>
    </w:p>
    <w:p>
      <w:pPr>
        <w:pStyle w:val="Heading1"/>
      </w:pPr>
      <w:r>
        <w:t>3. Target users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8"/>
              </w:rPr>
              <w:t>Persona</w:t>
            </w:r>
          </w:p>
        </w:tc>
        <w:tc>
          <w:tcPr>
            <w:tcW w:type="dxa" w:w="3408"/>
            <w:shd w:fill="D9EAF7"/>
            <w:vAlign w:val="center"/>
          </w:tcPr>
          <w:p>
            <w:r/>
            <w:r>
              <w:rPr>
                <w:b/>
                <w:sz w:val="18"/>
              </w:rPr>
              <w:t>Need</w:t>
            </w:r>
          </w:p>
        </w:tc>
        <w:tc>
          <w:tcPr>
            <w:tcW w:type="dxa" w:w="3408"/>
            <w:shd w:fill="D9EAF7"/>
            <w:vAlign w:val="center"/>
          </w:tcPr>
          <w:p>
            <w:r/>
            <w:r>
              <w:rPr>
                <w:b/>
                <w:sz w:val="18"/>
              </w:rPr>
              <w:t>Primary outcome</w:t>
            </w:r>
          </w:p>
        </w:tc>
      </w:tr>
      <w:tr>
        <w:tc>
          <w:tcPr>
            <w:tcW w:type="dxa" w:w="3408"/>
          </w:tcPr>
          <w:p>
            <w:r/>
            <w:r>
              <w:rPr>
                <w:b w:val="0"/>
                <w:sz w:val="18"/>
              </w:rPr>
              <w:t>SMB owner</w:t>
            </w:r>
          </w:p>
        </w:tc>
        <w:tc>
          <w:tcPr>
            <w:tcW w:type="dxa" w:w="3408"/>
          </w:tcPr>
          <w:p>
            <w:r/>
            <w:r>
              <w:rPr>
                <w:b w:val="0"/>
                <w:sz w:val="18"/>
              </w:rPr>
              <w:t>Fast setup, low technical effort</w:t>
            </w:r>
          </w:p>
        </w:tc>
        <w:tc>
          <w:tcPr>
            <w:tcW w:type="dxa" w:w="3408"/>
          </w:tcPr>
          <w:p>
            <w:r/>
            <w:r>
              <w:rPr>
                <w:b w:val="0"/>
                <w:sz w:val="18"/>
              </w:rPr>
              <w:t>Working AI employee</w:t>
            </w:r>
          </w:p>
        </w:tc>
      </w:tr>
      <w:tr>
        <w:tc>
          <w:tcPr>
            <w:tcW w:type="dxa" w:w="3408"/>
          </w:tcPr>
          <w:p>
            <w:r/>
            <w:r>
              <w:rPr>
                <w:b w:val="0"/>
                <w:sz w:val="18"/>
              </w:rPr>
              <w:t>Operations manager</w:t>
            </w:r>
          </w:p>
        </w:tc>
        <w:tc>
          <w:tcPr>
            <w:tcW w:type="dxa" w:w="3408"/>
          </w:tcPr>
          <w:p>
            <w:r/>
            <w:r>
              <w:rPr>
                <w:b w:val="0"/>
                <w:sz w:val="18"/>
              </w:rPr>
              <w:t>Control knowledge and rules</w:t>
            </w:r>
          </w:p>
        </w:tc>
        <w:tc>
          <w:tcPr>
            <w:tcW w:type="dxa" w:w="3408"/>
          </w:tcPr>
          <w:p>
            <w:r/>
            <w:r>
              <w:rPr>
                <w:b w:val="0"/>
                <w:sz w:val="18"/>
              </w:rPr>
              <w:t>Reliable automation</w:t>
            </w:r>
          </w:p>
        </w:tc>
      </w:tr>
      <w:tr>
        <w:tc>
          <w:tcPr>
            <w:tcW w:type="dxa" w:w="3408"/>
          </w:tcPr>
          <w:p>
            <w:r/>
            <w:r>
              <w:rPr>
                <w:b w:val="0"/>
                <w:sz w:val="18"/>
              </w:rPr>
              <w:t>Customer</w:t>
            </w:r>
          </w:p>
        </w:tc>
        <w:tc>
          <w:tcPr>
            <w:tcW w:type="dxa" w:w="3408"/>
          </w:tcPr>
          <w:p>
            <w:r/>
            <w:r>
              <w:rPr>
                <w:b w:val="0"/>
                <w:sz w:val="18"/>
              </w:rPr>
              <w:t>Quick answers/actions</w:t>
            </w:r>
          </w:p>
        </w:tc>
        <w:tc>
          <w:tcPr>
            <w:tcW w:type="dxa" w:w="3408"/>
          </w:tcPr>
          <w:p>
            <w:r/>
            <w:r>
              <w:rPr>
                <w:b w:val="0"/>
                <w:sz w:val="18"/>
              </w:rPr>
              <w:t>Fast resolution</w:t>
            </w:r>
          </w:p>
        </w:tc>
      </w:tr>
      <w:tr>
        <w:tc>
          <w:tcPr>
            <w:tcW w:type="dxa" w:w="3408"/>
          </w:tcPr>
          <w:p>
            <w:r/>
            <w:r>
              <w:rPr>
                <w:b w:val="0"/>
                <w:sz w:val="18"/>
              </w:rPr>
              <w:t>Developer/integrator</w:t>
            </w:r>
          </w:p>
        </w:tc>
        <w:tc>
          <w:tcPr>
            <w:tcW w:type="dxa" w:w="3408"/>
          </w:tcPr>
          <w:p>
            <w:r/>
            <w:r>
              <w:rPr>
                <w:b w:val="0"/>
                <w:sz w:val="18"/>
              </w:rPr>
              <w:t>Simple deployment</w:t>
            </w:r>
          </w:p>
        </w:tc>
        <w:tc>
          <w:tcPr>
            <w:tcW w:type="dxa" w:w="3408"/>
          </w:tcPr>
          <w:p>
            <w:r/>
            <w:r>
              <w:rPr>
                <w:b w:val="0"/>
                <w:sz w:val="18"/>
              </w:rPr>
              <w:t>One script/API</w:t>
            </w:r>
          </w:p>
        </w:tc>
      </w:tr>
      <w:tr>
        <w:tc>
          <w:tcPr>
            <w:tcW w:type="dxa" w:w="3408"/>
          </w:tcPr>
          <w:p>
            <w:r/>
            <w:r>
              <w:rPr>
                <w:b w:val="0"/>
                <w:sz w:val="18"/>
              </w:rPr>
              <w:t>Admin</w:t>
            </w:r>
          </w:p>
        </w:tc>
        <w:tc>
          <w:tcPr>
            <w:tcW w:type="dxa" w:w="3408"/>
          </w:tcPr>
          <w:p>
            <w:r/>
            <w:r>
              <w:rPr>
                <w:b w:val="0"/>
                <w:sz w:val="18"/>
              </w:rPr>
              <w:t>Visibility and control</w:t>
            </w:r>
          </w:p>
        </w:tc>
        <w:tc>
          <w:tcPr>
            <w:tcW w:type="dxa" w:w="3408"/>
          </w:tcPr>
          <w:p>
            <w:r/>
            <w:r>
              <w:rPr>
                <w:b w:val="0"/>
                <w:sz w:val="18"/>
              </w:rPr>
              <w:t>Analytics and governance</w:t>
            </w:r>
          </w:p>
        </w:tc>
      </w:tr>
    </w:tbl>
    <w:p/>
    <w:p>
      <w:pPr>
        <w:pStyle w:val="Heading1"/>
      </w:pPr>
      <w:r>
        <w:t>4. Value proposition</w:t>
      </w:r>
    </w:p>
    <w:p>
      <w:r>
        <w:t>Tell AgentForge what you do. Connect what you already have. Get an AI employee that understands your organization and can talk, answer, act, and escalate.</w:t>
      </w:r>
    </w:p>
    <w:p>
      <w:pPr>
        <w:pStyle w:val="Heading1"/>
      </w:pPr>
      <w:r>
        <w:t>5. User journey</w:t>
      </w:r>
    </w:p>
    <w:p>
      <w:pPr>
        <w:pStyle w:val="ListNumber"/>
      </w:pPr>
      <w:r>
        <w:t>Create workspace and business profile.</w:t>
      </w:r>
    </w:p>
    <w:p>
      <w:pPr>
        <w:pStyle w:val="ListNumber"/>
      </w:pPr>
      <w:r>
        <w:t>Enter website URL or choose a manual setup path.</w:t>
      </w:r>
    </w:p>
    <w:p>
      <w:pPr>
        <w:pStyle w:val="ListNumber"/>
      </w:pPr>
      <w:r>
        <w:t>AgentForge crawls approved pages and drafts a business profile.</w:t>
      </w:r>
    </w:p>
    <w:p>
      <w:pPr>
        <w:pStyle w:val="ListNumber"/>
      </w:pPr>
      <w:r>
        <w:t>AI onboarding interviewer asks only the questions needed to remove ambiguity.</w:t>
      </w:r>
    </w:p>
    <w:p>
      <w:pPr>
        <w:pStyle w:val="ListNumber"/>
      </w:pPr>
      <w:r>
        <w:t>System builds the initial knowledge base and agent policy.</w:t>
      </w:r>
    </w:p>
    <w:p>
      <w:pPr>
        <w:pStyle w:val="ListNumber"/>
      </w:pPr>
      <w:r>
        <w:t>Owner reviews the generated profile, knowledge and allowed actions.</w:t>
      </w:r>
    </w:p>
    <w:p>
      <w:pPr>
        <w:pStyle w:val="ListNumber"/>
      </w:pPr>
      <w:r>
        <w:t>Owner publishes a chat widget and optionally connects voice.</w:t>
      </w:r>
    </w:p>
    <w:p>
      <w:pPr>
        <w:pStyle w:val="ListNumber"/>
      </w:pPr>
      <w:r>
        <w:t>Customers chat/call; agent answers using grounded information and approved tools.</w:t>
      </w:r>
    </w:p>
    <w:p>
      <w:pPr>
        <w:pStyle w:val="ListNumber"/>
      </w:pPr>
      <w:r>
        <w:t>Owner monitors conversations, outcomes and unresolved questions.</w:t>
      </w:r>
    </w:p>
    <w:p>
      <w:pPr>
        <w:pStyle w:val="Heading1"/>
      </w:pPr>
      <w:r>
        <w:t>6. 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vAlign w:val="center"/>
          </w:tcPr>
          <w:p>
            <w:r/>
            <w:r>
              <w:rPr>
                <w:b/>
                <w:sz w:val="18"/>
              </w:rPr>
              <w:t>ID</w:t>
            </w:r>
          </w:p>
        </w:tc>
        <w:tc>
          <w:tcPr>
            <w:tcW w:type="dxa" w:w="3408"/>
            <w:shd w:fill="D9EAF7"/>
            <w:vAlign w:val="center"/>
          </w:tcPr>
          <w:p>
            <w:r/>
            <w:r>
              <w:rPr>
                <w:b/>
                <w:sz w:val="18"/>
              </w:rPr>
              <w:t>Requirement</w:t>
            </w:r>
          </w:p>
        </w:tc>
        <w:tc>
          <w:tcPr>
            <w:tcW w:type="dxa" w:w="3408"/>
            <w:shd w:fill="D9EAF7"/>
            <w:vAlign w:val="center"/>
          </w:tcPr>
          <w:p>
            <w:r/>
            <w:r>
              <w:rPr>
                <w:b/>
                <w:sz w:val="18"/>
              </w:rPr>
              <w:t>Acceptance</w:t>
            </w:r>
          </w:p>
        </w:tc>
      </w:tr>
      <w:tr>
        <w:tc>
          <w:tcPr>
            <w:tcW w:type="dxa" w:w="3408"/>
          </w:tcPr>
          <w:p>
            <w:r/>
            <w:r>
              <w:rPr>
                <w:b w:val="0"/>
                <w:sz w:val="18"/>
              </w:rPr>
              <w:t>FR-01</w:t>
            </w:r>
          </w:p>
        </w:tc>
        <w:tc>
          <w:tcPr>
            <w:tcW w:type="dxa" w:w="3408"/>
          </w:tcPr>
          <w:p>
            <w:r/>
            <w:r>
              <w:rPr>
                <w:b w:val="0"/>
                <w:sz w:val="18"/>
              </w:rPr>
              <w:t>Workspace creation</w:t>
            </w:r>
          </w:p>
        </w:tc>
        <w:tc>
          <w:tcPr>
            <w:tcW w:type="dxa" w:w="3408"/>
          </w:tcPr>
          <w:p>
            <w:r/>
            <w:r>
              <w:rPr>
                <w:b w:val="0"/>
                <w:sz w:val="18"/>
              </w:rPr>
              <w:t>System creates isolated tenant/workspace with owner identity.</w:t>
            </w:r>
          </w:p>
        </w:tc>
      </w:tr>
      <w:tr>
        <w:tc>
          <w:tcPr>
            <w:tcW w:type="dxa" w:w="3408"/>
          </w:tcPr>
          <w:p>
            <w:r/>
            <w:r>
              <w:rPr>
                <w:b w:val="0"/>
                <w:sz w:val="18"/>
              </w:rPr>
              <w:t>FR-02</w:t>
            </w:r>
          </w:p>
        </w:tc>
        <w:tc>
          <w:tcPr>
            <w:tcW w:type="dxa" w:w="3408"/>
          </w:tcPr>
          <w:p>
            <w:r/>
            <w:r>
              <w:rPr>
                <w:b w:val="0"/>
                <w:sz w:val="18"/>
              </w:rPr>
              <w:t>AI onboarding</w:t>
            </w:r>
          </w:p>
        </w:tc>
        <w:tc>
          <w:tcPr>
            <w:tcW w:type="dxa" w:w="3408"/>
          </w:tcPr>
          <w:p>
            <w:r/>
            <w:r>
              <w:rPr>
                <w:b w:val="0"/>
                <w:sz w:val="18"/>
              </w:rPr>
              <w:t>System generates follow-up questions based on missing/uncertain business facts.</w:t>
            </w:r>
          </w:p>
        </w:tc>
      </w:tr>
      <w:tr>
        <w:tc>
          <w:tcPr>
            <w:tcW w:type="dxa" w:w="3408"/>
          </w:tcPr>
          <w:p>
            <w:r/>
            <w:r>
              <w:rPr>
                <w:b w:val="0"/>
                <w:sz w:val="18"/>
              </w:rPr>
              <w:t>FR-03</w:t>
            </w:r>
          </w:p>
        </w:tc>
        <w:tc>
          <w:tcPr>
            <w:tcW w:type="dxa" w:w="3408"/>
          </w:tcPr>
          <w:p>
            <w:r/>
            <w:r>
              <w:rPr>
                <w:b w:val="0"/>
                <w:sz w:val="18"/>
              </w:rPr>
              <w:t>Website ingestion</w:t>
            </w:r>
          </w:p>
        </w:tc>
        <w:tc>
          <w:tcPr>
            <w:tcW w:type="dxa" w:w="3408"/>
          </w:tcPr>
          <w:p>
            <w:r/>
            <w:r>
              <w:rPr>
                <w:b w:val="0"/>
                <w:sz w:val="18"/>
              </w:rPr>
              <w:t>System crawls allowlisted website pages, extracts readable content and records source URLs.</w:t>
            </w:r>
          </w:p>
        </w:tc>
      </w:tr>
      <w:tr>
        <w:tc>
          <w:tcPr>
            <w:tcW w:type="dxa" w:w="3408"/>
          </w:tcPr>
          <w:p>
            <w:r/>
            <w:r>
              <w:rPr>
                <w:b w:val="0"/>
                <w:sz w:val="18"/>
              </w:rPr>
              <w:t>FR-04</w:t>
            </w:r>
          </w:p>
        </w:tc>
        <w:tc>
          <w:tcPr>
            <w:tcW w:type="dxa" w:w="3408"/>
          </w:tcPr>
          <w:p>
            <w:r/>
            <w:r>
              <w:rPr>
                <w:b w:val="0"/>
                <w:sz w:val="18"/>
              </w:rPr>
              <w:t>Knowledge management</w:t>
            </w:r>
          </w:p>
        </w:tc>
        <w:tc>
          <w:tcPr>
            <w:tcW w:type="dxa" w:w="3408"/>
          </w:tcPr>
          <w:p>
            <w:r/>
            <w:r>
              <w:rPr>
                <w:b w:val="0"/>
                <w:sz w:val="18"/>
              </w:rPr>
              <w:t>Admin can view, update, disable and re-index knowledge sources.</w:t>
            </w:r>
          </w:p>
        </w:tc>
      </w:tr>
      <w:tr>
        <w:tc>
          <w:tcPr>
            <w:tcW w:type="dxa" w:w="3408"/>
          </w:tcPr>
          <w:p>
            <w:r/>
            <w:r>
              <w:rPr>
                <w:b w:val="0"/>
                <w:sz w:val="18"/>
              </w:rPr>
              <w:t>FR-05</w:t>
            </w:r>
          </w:p>
        </w:tc>
        <w:tc>
          <w:tcPr>
            <w:tcW w:type="dxa" w:w="3408"/>
          </w:tcPr>
          <w:p>
            <w:r/>
            <w:r>
              <w:rPr>
                <w:b w:val="0"/>
                <w:sz w:val="18"/>
              </w:rPr>
              <w:t>Agent policy</w:t>
            </w:r>
          </w:p>
        </w:tc>
        <w:tc>
          <w:tcPr>
            <w:tcW w:type="dxa" w:w="3408"/>
          </w:tcPr>
          <w:p>
            <w:r/>
            <w:r>
              <w:rPr>
                <w:b w:val="0"/>
                <w:sz w:val="18"/>
              </w:rPr>
              <w:t>Admin can edit tone, forbidden claims, escalation rules, business hours and action permissions.</w:t>
            </w:r>
          </w:p>
        </w:tc>
      </w:tr>
      <w:tr>
        <w:tc>
          <w:tcPr>
            <w:tcW w:type="dxa" w:w="3408"/>
          </w:tcPr>
          <w:p>
            <w:r/>
            <w:r>
              <w:rPr>
                <w:b w:val="0"/>
                <w:sz w:val="18"/>
              </w:rPr>
              <w:t>FR-06</w:t>
            </w:r>
          </w:p>
        </w:tc>
        <w:tc>
          <w:tcPr>
            <w:tcW w:type="dxa" w:w="3408"/>
          </w:tcPr>
          <w:p>
            <w:r/>
            <w:r>
              <w:rPr>
                <w:b w:val="0"/>
                <w:sz w:val="18"/>
              </w:rPr>
              <w:t>Grounded chat</w:t>
            </w:r>
          </w:p>
        </w:tc>
        <w:tc>
          <w:tcPr>
            <w:tcW w:type="dxa" w:w="3408"/>
          </w:tcPr>
          <w:p>
            <w:r/>
            <w:r>
              <w:rPr>
                <w:b w:val="0"/>
                <w:sz w:val="18"/>
              </w:rPr>
              <w:t>Agent answers from indexed sources and must avoid unsupported factual claims.</w:t>
            </w:r>
          </w:p>
        </w:tc>
      </w:tr>
      <w:tr>
        <w:tc>
          <w:tcPr>
            <w:tcW w:type="dxa" w:w="3408"/>
          </w:tcPr>
          <w:p>
            <w:r/>
            <w:r>
              <w:rPr>
                <w:b w:val="0"/>
                <w:sz w:val="18"/>
              </w:rPr>
              <w:t>FR-07</w:t>
            </w:r>
          </w:p>
        </w:tc>
        <w:tc>
          <w:tcPr>
            <w:tcW w:type="dxa" w:w="3408"/>
          </w:tcPr>
          <w:p>
            <w:r/>
            <w:r>
              <w:rPr>
                <w:b w:val="0"/>
                <w:sz w:val="18"/>
              </w:rPr>
              <w:t>Tool calling</w:t>
            </w:r>
          </w:p>
        </w:tc>
        <w:tc>
          <w:tcPr>
            <w:tcW w:type="dxa" w:w="3408"/>
          </w:tcPr>
          <w:p>
            <w:r/>
            <w:r>
              <w:rPr>
                <w:b w:val="0"/>
                <w:sz w:val="18"/>
              </w:rPr>
              <w:t>Agent can invoke allowlisted actions with validation and confirmation requirements.</w:t>
            </w:r>
          </w:p>
        </w:tc>
      </w:tr>
      <w:tr>
        <w:tc>
          <w:tcPr>
            <w:tcW w:type="dxa" w:w="3408"/>
          </w:tcPr>
          <w:p>
            <w:r/>
            <w:r>
              <w:rPr>
                <w:b w:val="0"/>
                <w:sz w:val="18"/>
              </w:rPr>
              <w:t>FR-08</w:t>
            </w:r>
          </w:p>
        </w:tc>
        <w:tc>
          <w:tcPr>
            <w:tcW w:type="dxa" w:w="3408"/>
          </w:tcPr>
          <w:p>
            <w:r/>
            <w:r>
              <w:rPr>
                <w:b w:val="0"/>
                <w:sz w:val="18"/>
              </w:rPr>
              <w:t>Human escalation</w:t>
            </w:r>
          </w:p>
        </w:tc>
        <w:tc>
          <w:tcPr>
            <w:tcW w:type="dxa" w:w="3408"/>
          </w:tcPr>
          <w:p>
            <w:r/>
            <w:r>
              <w:rPr>
                <w:b w:val="0"/>
                <w:sz w:val="18"/>
              </w:rPr>
              <w:t>Agent can route conversation to a human or capture a callback/contact request.</w:t>
            </w:r>
          </w:p>
        </w:tc>
      </w:tr>
      <w:tr>
        <w:tc>
          <w:tcPr>
            <w:tcW w:type="dxa" w:w="3408"/>
          </w:tcPr>
          <w:p>
            <w:r/>
            <w:r>
              <w:rPr>
                <w:b w:val="0"/>
                <w:sz w:val="18"/>
              </w:rPr>
              <w:t>FR-09</w:t>
            </w:r>
          </w:p>
        </w:tc>
        <w:tc>
          <w:tcPr>
            <w:tcW w:type="dxa" w:w="3408"/>
          </w:tcPr>
          <w:p>
            <w:r/>
            <w:r>
              <w:rPr>
                <w:b w:val="0"/>
                <w:sz w:val="18"/>
              </w:rPr>
              <w:t>Embeddable widget</w:t>
            </w:r>
          </w:p>
        </w:tc>
        <w:tc>
          <w:tcPr>
            <w:tcW w:type="dxa" w:w="3408"/>
          </w:tcPr>
          <w:p>
            <w:r/>
            <w:r>
              <w:rPr>
                <w:b w:val="0"/>
                <w:sz w:val="18"/>
              </w:rPr>
              <w:t>System provides an installable script/snippet scoped to the workspace.</w:t>
            </w:r>
          </w:p>
        </w:tc>
      </w:tr>
      <w:tr>
        <w:tc>
          <w:tcPr>
            <w:tcW w:type="dxa" w:w="3408"/>
          </w:tcPr>
          <w:p>
            <w:r/>
            <w:r>
              <w:rPr>
                <w:b w:val="0"/>
                <w:sz w:val="18"/>
              </w:rPr>
              <w:t>FR-10</w:t>
            </w:r>
          </w:p>
        </w:tc>
        <w:tc>
          <w:tcPr>
            <w:tcW w:type="dxa" w:w="3408"/>
          </w:tcPr>
          <w:p>
            <w:r/>
            <w:r>
              <w:rPr>
                <w:b w:val="0"/>
                <w:sz w:val="18"/>
              </w:rPr>
              <w:t>Voice</w:t>
            </w:r>
          </w:p>
        </w:tc>
        <w:tc>
          <w:tcPr>
            <w:tcW w:type="dxa" w:w="3408"/>
          </w:tcPr>
          <w:p>
            <w:r/>
            <w:r>
              <w:rPr>
                <w:b w:val="0"/>
                <w:sz w:val="18"/>
              </w:rPr>
              <w:t>User can speak to the same business agent through a voice provider.</w:t>
            </w:r>
          </w:p>
        </w:tc>
      </w:tr>
      <w:tr>
        <w:tc>
          <w:tcPr>
            <w:tcW w:type="dxa" w:w="3408"/>
          </w:tcPr>
          <w:p>
            <w:r/>
            <w:r>
              <w:rPr>
                <w:b w:val="0"/>
                <w:sz w:val="18"/>
              </w:rPr>
              <w:t>FR-11</w:t>
            </w:r>
          </w:p>
        </w:tc>
        <w:tc>
          <w:tcPr>
            <w:tcW w:type="dxa" w:w="3408"/>
          </w:tcPr>
          <w:p>
            <w:r/>
            <w:r>
              <w:rPr>
                <w:b w:val="0"/>
                <w:sz w:val="18"/>
              </w:rPr>
              <w:t>Analytics</w:t>
            </w:r>
          </w:p>
        </w:tc>
        <w:tc>
          <w:tcPr>
            <w:tcW w:type="dxa" w:w="3408"/>
          </w:tcPr>
          <w:p>
            <w:r/>
            <w:r>
              <w:rPr>
                <w:b w:val="0"/>
                <w:sz w:val="18"/>
              </w:rPr>
              <w:t>System records session, resolution, tool use, escalation and latency metrics.</w:t>
            </w:r>
          </w:p>
        </w:tc>
      </w:tr>
      <w:tr>
        <w:tc>
          <w:tcPr>
            <w:tcW w:type="dxa" w:w="3408"/>
          </w:tcPr>
          <w:p>
            <w:r/>
            <w:r>
              <w:rPr>
                <w:b w:val="0"/>
                <w:sz w:val="18"/>
              </w:rPr>
              <w:t>FR-12</w:t>
            </w:r>
          </w:p>
        </w:tc>
        <w:tc>
          <w:tcPr>
            <w:tcW w:type="dxa" w:w="3408"/>
          </w:tcPr>
          <w:p>
            <w:r/>
            <w:r>
              <w:rPr>
                <w:b w:val="0"/>
                <w:sz w:val="18"/>
              </w:rPr>
              <w:t>Web3 identity</w:t>
            </w:r>
          </w:p>
        </w:tc>
        <w:tc>
          <w:tcPr>
            <w:tcW w:type="dxa" w:w="3408"/>
          </w:tcPr>
          <w:p>
            <w:r/>
            <w:r>
              <w:rPr>
                <w:b w:val="0"/>
                <w:sz w:val="18"/>
              </w:rPr>
              <w:t>System can publish a non-sensitive business/agent fingerprint and verify it later.</w:t>
            </w:r>
          </w:p>
        </w:tc>
      </w:tr>
      <w:tr>
        <w:tc>
          <w:tcPr>
            <w:tcW w:type="dxa" w:w="3408"/>
          </w:tcPr>
          <w:p>
            <w:r/>
            <w:r>
              <w:rPr>
                <w:b w:val="0"/>
                <w:sz w:val="18"/>
              </w:rPr>
              <w:t>FR-13</w:t>
            </w:r>
          </w:p>
        </w:tc>
        <w:tc>
          <w:tcPr>
            <w:tcW w:type="dxa" w:w="3408"/>
          </w:tcPr>
          <w:p>
            <w:r/>
            <w:r>
              <w:rPr>
                <w:b w:val="0"/>
                <w:sz w:val="18"/>
              </w:rPr>
              <w:t>Audit log</w:t>
            </w:r>
          </w:p>
        </w:tc>
        <w:tc>
          <w:tcPr>
            <w:tcW w:type="dxa" w:w="3408"/>
          </w:tcPr>
          <w:p>
            <w:r/>
            <w:r>
              <w:rPr>
                <w:b w:val="0"/>
                <w:sz w:val="18"/>
              </w:rPr>
              <w:t>Admin can see configuration changes and high-risk agent actions.</w:t>
            </w:r>
          </w:p>
        </w:tc>
      </w:tr>
      <w:tr>
        <w:tc>
          <w:tcPr>
            <w:tcW w:type="dxa" w:w="3408"/>
          </w:tcPr>
          <w:p>
            <w:r/>
            <w:r>
              <w:rPr>
                <w:b w:val="0"/>
                <w:sz w:val="18"/>
              </w:rPr>
              <w:t>FR-14</w:t>
            </w:r>
          </w:p>
        </w:tc>
        <w:tc>
          <w:tcPr>
            <w:tcW w:type="dxa" w:w="3408"/>
          </w:tcPr>
          <w:p>
            <w:r/>
            <w:r>
              <w:rPr>
                <w:b w:val="0"/>
                <w:sz w:val="18"/>
              </w:rPr>
              <w:t>Tenant isolation</w:t>
            </w:r>
          </w:p>
        </w:tc>
        <w:tc>
          <w:tcPr>
            <w:tcW w:type="dxa" w:w="3408"/>
          </w:tcPr>
          <w:p>
            <w:r/>
            <w:r>
              <w:rPr>
                <w:b w:val="0"/>
                <w:sz w:val="18"/>
              </w:rPr>
              <w:t>No business can retrieve another tenant’s knowledge, conversations or credentials.</w:t>
            </w:r>
          </w:p>
        </w:tc>
      </w:tr>
    </w:tbl>
    <w:p/>
    <w:p>
      <w:pPr>
        <w:pStyle w:val="Heading1"/>
      </w:pPr>
      <w:r>
        <w:t>7. Non-functional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shd w:fill="D9EAF7"/>
            <w:vAlign w:val="center"/>
          </w:tcPr>
          <w:p>
            <w:r/>
            <w:r>
              <w:rPr>
                <w:b/>
                <w:sz w:val="18"/>
              </w:rPr>
              <w:t>Area</w:t>
            </w:r>
          </w:p>
        </w:tc>
        <w:tc>
          <w:tcPr>
            <w:tcW w:type="dxa" w:w="5112"/>
            <w:shd w:fill="D9EAF7"/>
            <w:vAlign w:val="center"/>
          </w:tcPr>
          <w:p>
            <w:r/>
            <w:r>
              <w:rPr>
                <w:b/>
                <w:sz w:val="18"/>
              </w:rPr>
              <w:t>Target</w:t>
            </w:r>
          </w:p>
        </w:tc>
      </w:tr>
      <w:tr>
        <w:tc>
          <w:tcPr>
            <w:tcW w:type="dxa" w:w="5112"/>
          </w:tcPr>
          <w:p>
            <w:r/>
            <w:r>
              <w:rPr>
                <w:b w:val="0"/>
                <w:sz w:val="18"/>
              </w:rPr>
              <w:t>Availability</w:t>
            </w:r>
          </w:p>
        </w:tc>
        <w:tc>
          <w:tcPr>
            <w:tcW w:type="dxa" w:w="5112"/>
          </w:tcPr>
          <w:p>
            <w:r/>
            <w:r>
              <w:rPr>
                <w:b w:val="0"/>
                <w:sz w:val="18"/>
              </w:rPr>
              <w:t>Best-effort hackathon; production target 99.5%+ for core API</w:t>
            </w:r>
          </w:p>
        </w:tc>
      </w:tr>
      <w:tr>
        <w:tc>
          <w:tcPr>
            <w:tcW w:type="dxa" w:w="5112"/>
          </w:tcPr>
          <w:p>
            <w:r/>
            <w:r>
              <w:rPr>
                <w:b w:val="0"/>
                <w:sz w:val="18"/>
              </w:rPr>
              <w:t>Latency</w:t>
            </w:r>
          </w:p>
        </w:tc>
        <w:tc>
          <w:tcPr>
            <w:tcW w:type="dxa" w:w="5112"/>
          </w:tcPr>
          <w:p>
            <w:r/>
            <w:r>
              <w:rPr>
                <w:b w:val="0"/>
                <w:sz w:val="18"/>
              </w:rPr>
              <w:t>Typical grounded chat first token &lt; 3 s; action result &lt; 8 s excluding provider delay</w:t>
            </w:r>
          </w:p>
        </w:tc>
      </w:tr>
      <w:tr>
        <w:tc>
          <w:tcPr>
            <w:tcW w:type="dxa" w:w="5112"/>
          </w:tcPr>
          <w:p>
            <w:r/>
            <w:r>
              <w:rPr>
                <w:b w:val="0"/>
                <w:sz w:val="18"/>
              </w:rPr>
              <w:t>Security</w:t>
            </w:r>
          </w:p>
        </w:tc>
        <w:tc>
          <w:tcPr>
            <w:tcW w:type="dxa" w:w="5112"/>
          </w:tcPr>
          <w:p>
            <w:r/>
            <w:r>
              <w:rPr>
                <w:b w:val="0"/>
                <w:sz w:val="18"/>
              </w:rPr>
              <w:t>Tenant-scoped authorization on every data path; secrets server-side only</w:t>
            </w:r>
          </w:p>
        </w:tc>
      </w:tr>
      <w:tr>
        <w:tc>
          <w:tcPr>
            <w:tcW w:type="dxa" w:w="5112"/>
          </w:tcPr>
          <w:p>
            <w:r/>
            <w:r>
              <w:rPr>
                <w:b w:val="0"/>
                <w:sz w:val="18"/>
              </w:rPr>
              <w:t>Scalability</w:t>
            </w:r>
          </w:p>
        </w:tc>
        <w:tc>
          <w:tcPr>
            <w:tcW w:type="dxa" w:w="5112"/>
          </w:tcPr>
          <w:p>
            <w:r/>
            <w:r>
              <w:rPr>
                <w:b w:val="0"/>
                <w:sz w:val="18"/>
              </w:rPr>
              <w:t>Stateless API workers; background ingestion; pgvector for MVP</w:t>
            </w:r>
          </w:p>
        </w:tc>
      </w:tr>
      <w:tr>
        <w:tc>
          <w:tcPr>
            <w:tcW w:type="dxa" w:w="5112"/>
          </w:tcPr>
          <w:p>
            <w:r/>
            <w:r>
              <w:rPr>
                <w:b w:val="0"/>
                <w:sz w:val="18"/>
              </w:rPr>
              <w:t>Observability</w:t>
            </w:r>
          </w:p>
        </w:tc>
        <w:tc>
          <w:tcPr>
            <w:tcW w:type="dxa" w:w="5112"/>
          </w:tcPr>
          <w:p>
            <w:r/>
            <w:r>
              <w:rPr>
                <w:b w:val="0"/>
                <w:sz w:val="18"/>
              </w:rPr>
              <w:t>Request IDs, structured logs, agent traces, provider error tracking</w:t>
            </w:r>
          </w:p>
        </w:tc>
      </w:tr>
      <w:tr>
        <w:tc>
          <w:tcPr>
            <w:tcW w:type="dxa" w:w="5112"/>
          </w:tcPr>
          <w:p>
            <w:r/>
            <w:r>
              <w:rPr>
                <w:b w:val="0"/>
                <w:sz w:val="18"/>
              </w:rPr>
              <w:t>Privacy</w:t>
            </w:r>
          </w:p>
        </w:tc>
        <w:tc>
          <w:tcPr>
            <w:tcW w:type="dxa" w:w="5112"/>
          </w:tcPr>
          <w:p>
            <w:r/>
            <w:r>
              <w:rPr>
                <w:b w:val="0"/>
                <w:sz w:val="18"/>
              </w:rPr>
              <w:t>Do not store raw credentials; minimize PII; on-chain data non-sensitive</w:t>
            </w:r>
          </w:p>
        </w:tc>
      </w:tr>
      <w:tr>
        <w:tc>
          <w:tcPr>
            <w:tcW w:type="dxa" w:w="5112"/>
          </w:tcPr>
          <w:p>
            <w:r/>
            <w:r>
              <w:rPr>
                <w:b w:val="0"/>
                <w:sz w:val="18"/>
              </w:rPr>
              <w:t>Accessibility</w:t>
            </w:r>
          </w:p>
        </w:tc>
        <w:tc>
          <w:tcPr>
            <w:tcW w:type="dxa" w:w="5112"/>
          </w:tcPr>
          <w:p>
            <w:r/>
            <w:r>
              <w:rPr>
                <w:b w:val="0"/>
                <w:sz w:val="18"/>
              </w:rPr>
              <w:t>Keyboard navigable dashboard and readable contrast</w:t>
            </w:r>
          </w:p>
        </w:tc>
      </w:tr>
    </w:tbl>
    <w:p/>
    <w:p>
      <w:pPr>
        <w:pStyle w:val="Heading1"/>
      </w:pPr>
      <w:r>
        <w:t>8. Success criteria for judging</w:t>
      </w:r>
    </w:p>
    <w:p>
      <w:pPr>
        <w:pStyle w:val="ListBullet"/>
      </w:pPr>
      <w:r>
        <w:t>A new business can be onboarded live without developer assistance.</w:t>
      </w:r>
    </w:p>
    <w:p>
      <w:pPr>
        <w:pStyle w:val="ListBullet"/>
      </w:pPr>
      <w:r>
        <w:t>Agent demonstrates knowledge grounded in the business website.</w:t>
      </w:r>
    </w:p>
    <w:p>
      <w:pPr>
        <w:pStyle w:val="ListBullet"/>
      </w:pPr>
      <w:r>
        <w:t>Agent takes at least one real action.</w:t>
      </w:r>
    </w:p>
    <w:p>
      <w:pPr>
        <w:pStyle w:val="ListBullet"/>
      </w:pPr>
      <w:r>
        <w:t>Voice demo uses the same business context as chat.</w:t>
      </w:r>
    </w:p>
    <w:p>
      <w:pPr>
        <w:pStyle w:val="ListBullet"/>
      </w:pPr>
      <w:r>
        <w:t>Admin dashboard explains what the agent did.</w:t>
      </w:r>
    </w:p>
    <w:p>
      <w:pPr>
        <w:pStyle w:val="ListBullet"/>
      </w:pPr>
      <w:r>
        <w:t>Web3 component visibly proves agent/business configuration identity without exposing private data.</w:t>
      </w:r>
    </w:p>
    <w:p>
      <w:pPr>
        <w:pStyle w:val="Heading1"/>
      </w:pPr>
      <w:r>
        <w:t>9. Roadmap after hackathon</w:t>
      </w:r>
    </w:p>
    <w:p>
      <w:pPr>
        <w:pStyle w:val="ListBullet"/>
      </w:pPr>
      <w:r>
        <w:t>Database connectors: Postgres/MySQL/Supabase/Sheets.</w:t>
      </w:r>
    </w:p>
    <w:p>
      <w:pPr>
        <w:pStyle w:val="ListBullet"/>
      </w:pPr>
      <w:r>
        <w:t>Calendar/CRM/payment integrations.</w:t>
      </w:r>
    </w:p>
    <w:p>
      <w:pPr>
        <w:pStyle w:val="ListBullet"/>
      </w:pPr>
      <w:r>
        <w:t>WhatsApp and email.</w:t>
      </w:r>
    </w:p>
    <w:p>
      <w:pPr>
        <w:pStyle w:val="ListBullet"/>
      </w:pPr>
      <w:r>
        <w:t>Multi-agent workflows.</w:t>
      </w:r>
    </w:p>
    <w:p>
      <w:pPr>
        <w:pStyle w:val="ListBullet"/>
      </w:pPr>
      <w:r>
        <w:t>Agent marketplace and templates.</w:t>
      </w:r>
    </w:p>
    <w:p>
      <w:pPr>
        <w:pStyle w:val="ListBullet"/>
      </w:pPr>
      <w:r>
        <w:t>Human inbox and team collaboration.</w:t>
      </w:r>
    </w:p>
    <w:p>
      <w:pPr>
        <w:pStyle w:val="ListBullet"/>
      </w:pPr>
      <w:r>
        <w:t>Usage-based billing and quotas.</w:t>
      </w:r>
    </w:p>
    <w:p>
      <w:pPr>
        <w:pStyle w:val="ListBullet"/>
      </w:pPr>
      <w:r>
        <w:t>More rigorous evaluations and enterprise controls.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AgentForge • Internal Build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