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F46E5"/>
          <w:sz w:val="40"/>
        </w:rPr>
        <w:t>Predicta · Roteiro do Pitch — 5 minutos</w:t>
      </w:r>
    </w:p>
    <w:p>
      <w:pPr>
        <w:jc w:val="center"/>
      </w:pPr>
      <w:r>
        <w:rPr>
          <w:color w:val="64748B"/>
          <w:sz w:val="22"/>
        </w:rPr>
        <w:t>Demanda energética, clima e operação do sistema · Hackathon 2026</w:t>
      </w:r>
    </w:p>
    <w:p>
      <w:r>
        <w:rPr>
          <w:b/>
          <w:color w:val="4F46E5"/>
          <w:sz w:val="28"/>
        </w:rPr>
        <w:t xml:space="preserve">Slide 1 · Problema  </w:t>
      </w:r>
      <w:r>
        <w:rPr>
          <w:b/>
          <w:color w:val="DC6B18"/>
          <w:sz w:val="22"/>
        </w:rPr>
        <w:t>[0:00 – 0:40]</w:t>
      </w:r>
    </w:p>
    <w:p>
      <w:pPr>
        <w:spacing w:after="120"/>
      </w:pPr>
      <w:r>
        <w:t>Consumo e demanda não são sinônimos. Consumo é a energia acumulada em kWh; demanda é a potência exigida em cada instante. Dois clientes podem consumir o mesmo no mês e produzir impactos muito diferentes na rede se um deles concentrar o uso em poucas horas.</w:t>
      </w:r>
    </w:p>
    <w:p>
      <w:pPr>
        <w:spacing w:after="120"/>
      </w:pPr>
      <w:r>
        <w:t>E essa curva não depende apenas de calor. Temperatura, umidade, nebulosidade, calendário, hábitos locais e geração distribuída podem coincidir e amplificar rampas ou picos de forma diferente em cada região.</w:t>
      </w:r>
    </w:p>
    <w:p>
      <w:pPr>
        <w:spacing w:after="120"/>
      </w:pPr>
      <w:r>
        <w:t>Hoje a tarifa plana não mostra ao consumidor quando deslocar sua carga flexível. A oportunidade é antecipar a forma da curva, não apenas o volume total.</w:t>
      </w:r>
    </w:p>
    <w:p>
      <w:r>
        <w:rPr>
          <w:b/>
          <w:color w:val="4F46E5"/>
          <w:sz w:val="28"/>
        </w:rPr>
        <w:t xml:space="preserve">Slide 2 · Solução: os dois motores  </w:t>
      </w:r>
      <w:r>
        <w:rPr>
          <w:b/>
          <w:color w:val="DC6B18"/>
          <w:sz w:val="22"/>
        </w:rPr>
        <w:t>[0:40 – 1:45]</w:t>
      </w:r>
    </w:p>
    <w:p>
      <w:pPr>
        <w:spacing w:after="120"/>
      </w:pPr>
      <w:r>
        <w:t>Este é o núcleo da solução. Entram carga, geração e DESSEM do ONS, tarifas da ANEEL, ativos geoespaciais e previsão meteorológica.</w:t>
      </w:r>
    </w:p>
    <w:p>
      <w:pPr>
        <w:spacing w:after="120"/>
      </w:pPr>
      <w:r>
        <w:t>O clima não entra como valor isolado. Temperatura, chuva, vento e radiação são comparados a uma referência mensal de dez anos por subsistema. Anomalias e eventos persistentes ajudam o XGBoost a reconhecer quando o contexto local pode alterar a curva.</w:t>
      </w:r>
    </w:p>
    <w:p>
      <w:pPr>
        <w:spacing w:after="120"/>
      </w:pPr>
      <w:r>
        <w:t>O Motor 1 gera vinte e quatro previsões diretas, de H01 a H24, com P10, P50 e P90. Só publica com carga recente, clima completo, horas sem duplicidade e intervalos coerentes.</w:t>
      </w:r>
    </w:p>
    <w:p>
      <w:pPr>
        <w:spacing w:after="120"/>
      </w:pPr>
      <w:r>
        <w:t>O contrato auditável leva previsão, drivers, origem e qualidade ao Motor 2. A tarifa fica entre 85% e 130% da base, varia no máximo 10% por hora, mantém neutralidade com tolerância de 1%, limita a fatura a mais 20% e volta a 1,0 se o dado falhar.</w:t>
      </w:r>
    </w:p>
    <w:p>
      <w:r>
        <w:rPr>
          <w:b/>
          <w:color w:val="4F46E5"/>
          <w:sz w:val="28"/>
        </w:rPr>
        <w:t xml:space="preserve">Slide 3 · Demo ao vivo  </w:t>
      </w:r>
      <w:r>
        <w:rPr>
          <w:b/>
          <w:color w:val="DC6B18"/>
          <w:sz w:val="22"/>
        </w:rPr>
        <w:t>[1:45 – 2:25]</w:t>
      </w:r>
    </w:p>
    <w:p>
      <w:pPr>
        <w:spacing w:after="120"/>
      </w:pPr>
      <w:r>
        <w:t>Deixa eu mostrar isso funcionando. [ABRIR /produto/]</w:t>
      </w:r>
    </w:p>
    <w:p>
      <w:pPr>
        <w:spacing w:after="120"/>
      </w:pPr>
      <w:r>
        <w:t>No mapa real da ANEEL, escolho a [DISTRIBUIDORA], um perfil tarifário e uma janela histórica. [SIMULAR]</w:t>
      </w:r>
    </w:p>
    <w:p>
      <w:pPr>
        <w:spacing w:after="120"/>
      </w:pPr>
      <w:r>
        <w:t>Aqui estão as três curvas na mesma hora: programação DESSEM, previsão Predicta e carga realizada. Abaixo, o cliente vê o sinal horário e a economia potencial.</w:t>
      </w:r>
    </w:p>
    <w:p>
      <w:pPr>
        <w:spacing w:after="120"/>
      </w:pPr>
      <w:r>
        <w:t>Na visão da distribuidora, ajusto a adesão da carteira e mostro quanto o pico cai em MW, preservando a energia total do dia.</w:t>
      </w:r>
    </w:p>
    <w:p>
      <w:r>
        <w:rPr>
          <w:b/>
          <w:color w:val="4F46E5"/>
          <w:sz w:val="28"/>
        </w:rPr>
        <w:t xml:space="preserve">Slide 4 · Precisão contra DESSEM  </w:t>
      </w:r>
      <w:r>
        <w:rPr>
          <w:b/>
          <w:color w:val="DC6B18"/>
          <w:sz w:val="22"/>
        </w:rPr>
        <w:t>[2:25 – 3:10]</w:t>
      </w:r>
    </w:p>
    <w:p>
      <w:pPr>
        <w:spacing w:after="120"/>
      </w:pPr>
      <w:r>
        <w:t>A comparação usa uma régua única. Selecionamos as 672 horas em que existem Predicta, DESSEM e carga realizada. Para cada previsão, somamos o erro absoluto horário e dividimos pela carga realizada total. Esse é o WAPE: quanto menor, melhor.</w:t>
      </w:r>
    </w:p>
    <w:p>
      <w:pPr>
        <w:spacing w:after="120"/>
      </w:pPr>
      <w:r>
        <w:t>A Predicta teve 12,5% menos erro no Norte, 47,7% no Nordeste, 19,2% no Sul e 36,4% no Sudeste/Centro-Oeste em relação ao DESSEM.</w:t>
      </w:r>
    </w:p>
    <w:p>
      <w:pPr>
        <w:spacing w:after="120"/>
      </w:pPr>
      <w:r>
        <w:t>Esses percentuais são redução relativa do erro, não diferença de carga. Por exemplo: no Sudeste/Centro-Oeste, o WAPE caiu de 3,62% no DESSEM para 2,30% na Predicta.</w:t>
      </w:r>
    </w:p>
    <w:p>
      <w:pPr>
        <w:spacing w:after="120"/>
      </w:pPr>
      <w:r>
        <w:t>A ressalva metodológica é clara: usamos a programação DESSEM publicada, mas o arquivo foi obtido retrospectivamente. A comparação histórica é válida; o próximo passo é arquivar cada emissão em tempo real para um teste operacional auditável.</w:t>
      </w:r>
    </w:p>
    <w:p>
      <w:r>
        <w:rPr>
          <w:b/>
          <w:color w:val="4F46E5"/>
          <w:sz w:val="28"/>
        </w:rPr>
        <w:t xml:space="preserve">Slide 5 · Modelo de negócio  </w:t>
      </w:r>
      <w:r>
        <w:rPr>
          <w:b/>
          <w:color w:val="DC6B18"/>
          <w:sz w:val="22"/>
        </w:rPr>
        <w:t>[3:10 – 3:50]</w:t>
      </w:r>
    </w:p>
    <w:p>
      <w:pPr>
        <w:spacing w:after="120"/>
      </w:pPr>
      <w:r>
        <w:t>A distribuidora paga implantação e serviço recorrente. Em troca, ganha uma ferramenta para deslocar carga, reduzir coincidência de pico e testar capacidade evitada antes de investir na expansão da rede.</w:t>
      </w:r>
    </w:p>
    <w:p>
      <w:pPr>
        <w:spacing w:after="120"/>
      </w:pPr>
      <w:r>
        <w:t>O consumidor recebe a previsão de 24 horas pela distribuidora e escolhe aderir. Serviços de horizonte estendido e otimização automática podem formar uma camada premium.</w:t>
      </w:r>
    </w:p>
    <w:p>
      <w:pPr>
        <w:spacing w:after="120"/>
      </w:pPr>
      <w:r>
        <w:t>O valor é compartilhado: menor pico para a distribuidora, decisão simples para o consumidor e menos pressão nas horas críticas para o sistema.</w:t>
      </w:r>
    </w:p>
    <w:p>
      <w:r>
        <w:rPr>
          <w:b/>
          <w:color w:val="4F46E5"/>
          <w:sz w:val="28"/>
        </w:rPr>
        <w:t xml:space="preserve">Slide 6 · Viabilidade e roadmap  </w:t>
      </w:r>
      <w:r>
        <w:rPr>
          <w:b/>
          <w:color w:val="DC6B18"/>
          <w:sz w:val="22"/>
        </w:rPr>
        <w:t>[3:50 – 4:25]</w:t>
      </w:r>
    </w:p>
    <w:p>
      <w:pPr>
        <w:spacing w:after="120"/>
      </w:pPr>
      <w:r>
        <w:t>Isso não é um mockup: o pipeline roda de ponta a ponta, cobre os quatro subsistemas com histórico de 2023 a 2026 e expõe uma API para integração ao faturamento.</w:t>
      </w:r>
    </w:p>
    <w:p>
      <w:pPr>
        <w:spacing w:after="120"/>
      </w:pPr>
      <w:r>
        <w:t>Ainda precisamos operar a previsão meteorológica ao vivo e automatizar a execução contínua 24 por 7.</w:t>
      </w:r>
    </w:p>
    <w:p>
      <w:pPr>
        <w:spacing w:after="120"/>
      </w:pPr>
      <w:r>
        <w:t>O caminho natural é um piloto com uma distribuidora em ambiente regulatório experimental: primeiro em modo sombra, com a tarifa simulada rodando em paralelo à real; depois opt-in com clientes voluntários; depois escala.</w:t>
      </w:r>
    </w:p>
    <w:p>
      <w:r>
        <w:rPr>
          <w:b/>
          <w:color w:val="4F46E5"/>
          <w:sz w:val="28"/>
        </w:rPr>
        <w:t xml:space="preserve">Slide 7 · Inovação  </w:t>
      </w:r>
      <w:r>
        <w:rPr>
          <w:b/>
          <w:color w:val="DC6B18"/>
          <w:sz w:val="22"/>
        </w:rPr>
        <w:t>[4:25 – 4:50]</w:t>
      </w:r>
    </w:p>
    <w:p>
      <w:pPr>
        <w:spacing w:after="120"/>
      </w:pPr>
      <w:r>
        <w:t>Bandeiras e tarifa branca são estáticas ou reativas. A Predicta é preditiva, horária, regional e protegida por limites automáticos.</w:t>
      </w:r>
    </w:p>
    <w:p>
      <w:pPr>
        <w:spacing w:after="120"/>
      </w:pPr>
      <w:r>
        <w:t>Como os motores são desacoplados, a distribuidora integra o sinal ao sistema existente sem reconstruir toda a operação.</w:t>
      </w:r>
    </w:p>
    <w:p>
      <w:r>
        <w:rPr>
          <w:b/>
          <w:color w:val="4F46E5"/>
          <w:sz w:val="28"/>
        </w:rPr>
        <w:t xml:space="preserve">Slide 8 · Fechamento  </w:t>
      </w:r>
      <w:r>
        <w:rPr>
          <w:b/>
          <w:color w:val="DC6B18"/>
          <w:sz w:val="22"/>
        </w:rPr>
        <w:t>[4:50 – 5:00]</w:t>
      </w:r>
    </w:p>
    <w:p>
      <w:pPr>
        <w:spacing w:after="120"/>
      </w:pPr>
      <w:r>
        <w:t>A curva de carga responde ao clima, ao calendário e ao comportamento. A tarifa precisa aprender a acompanhar.</w:t>
      </w:r>
    </w:p>
    <w:p>
      <w:pPr>
        <w:spacing w:after="120"/>
      </w:pPr>
      <w:r>
        <w:t>Somos a Predicta — e buscamos uma distribuidora parceira para o piloto. Obrigada.</w:t>
      </w:r>
    </w:p>
    <w:p>
      <w:r>
        <w:rPr>
          <w:b/>
          <w:color w:val="4F46E5"/>
          <w:sz w:val="28"/>
        </w:rPr>
        <w:t>Observações de preparação</w:t>
      </w:r>
    </w:p>
    <w:p>
      <w:pPr>
        <w:pStyle w:val="ListBullet"/>
      </w:pPr>
      <w:r>
        <w:t>Placeholders [R$ X], [Y], [Z], [N] e [DISTRIBUIDORA]: preencher com os valores do cenário de demo congelado (ensaiar a simulação e anotar os números exibidos na tela).</w:t>
      </w:r>
    </w:p>
    <w:p>
      <w:pPr>
        <w:pStyle w:val="ListBullet"/>
      </w:pPr>
      <w:r>
        <w:t>Validação citada: 672 horas comuns entre Predicta, DESSEM e realizado. Ganho relativo: N 12,5%; NE 47,7%; S 19,2%; SE/CO 36,4%.</w:t>
      </w:r>
    </w:p>
    <w:p>
      <w:pPr>
        <w:pStyle w:val="ListBullet"/>
      </w:pPr>
      <w:r>
        <w:t>Modelo apresentado: XGBoost com clima contextualizado por referência mensal de 10 anos, anomalias, percentis e eventos persistentes.</w:t>
      </w:r>
    </w:p>
    <w:p>
      <w:pPr>
        <w:pStyle w:val="ListBullet"/>
      </w:pPr>
      <w:r>
        <w:t>Ritmo alvo: 125–135 palavras/minuto. Ensaiar 3× com cronômetro; a demo de 40s é o maior risco — ter screenshot de backup nos slides.</w:t>
      </w:r>
    </w:p>
    <w:p>
      <w:pPr>
        <w:pStyle w:val="ListBullet"/>
      </w:pPr>
      <w:r>
        <w:t>Se a demo falhar: seguir com o screenshot do slide 3 e citar os números memorizados sem quebrar a narrativa.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