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Five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Five or six Platinum sponsors, five Gold track sponsors, and food covered by Silver sponsors or in kind;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broad, TreeHacks model: Healthcare, Sustainability, Education, Humanity, AI; no problem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each of five track winners gets 2,000,000 MNT from the track sponsorship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track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on the website and social media; organizers share it in their own networks.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Gold track sponsors confirmed so far receive the optional-challenge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optional challenges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track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prizes, five winners × 2,000,000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paid by the five Gold sponsors, 2,000,000 each; an unsold track's prize comes from the general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track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67,500,000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6,750,000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74,250,000 at the prize target; 63,250,000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Platinum sponsors</w:t>
            </w:r>
          </w:p>
        </w:tc>
        <w:tc>
          <w:tcPr/>
          <w:p>
            <w:pPr>
              <w:pStyle w:val="Compact"/>
            </w:pPr>
            <w:r>
              <w:t xml:space="preserve">25,000,000 to 30,000,000</w:t>
            </w:r>
          </w:p>
        </w:tc>
        <w:tc>
          <w:tcPr/>
          <w:p>
            <w:pPr>
              <w:pStyle w:val="Compact"/>
            </w:pPr>
            <w:r>
              <w:t xml:space="preserve">five or six × 5,000,000 or more; covers the venue and the top-three pool; a venue giving the hall in kind counts as Platinum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 track sponsors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five × 2,000,000; each pays its own track's prize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 sponsors</w:t>
            </w:r>
          </w:p>
        </w:tc>
        <w:tc>
          <w:tcPr/>
          <w:p>
            <w:pPr>
              <w:pStyle w:val="Compact"/>
            </w:pPr>
            <w:r>
              <w:t xml:space="preserve">food in kind plus 1,000,000 to 2,000,000 each</w:t>
            </w:r>
          </w:p>
        </w:tc>
        <w:tc>
          <w:tcPr/>
          <w:p>
            <w:pPr>
              <w:pStyle w:val="Compact"/>
            </w:pPr>
            <w:r>
              <w:t xml:space="preserve">catering, shirts, printing, devices, 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Participation fees</w:t>
            </w:r>
          </w:p>
        </w:tc>
        <w:tc>
          <w:tcPr/>
          <w:p>
            <w:pPr>
              <w:pStyle w:val="Compact"/>
            </w:pPr>
            <w:r>
              <w:t xml:space="preserve">about 9,900,000</w:t>
            </w:r>
          </w:p>
        </w:tc>
        <w:tc>
          <w:tcPr/>
          <w:p>
            <w:pPr>
              <w:pStyle w:val="Compact"/>
            </w:pPr>
            <w:r>
              <w:t xml:space="preserve">45,000 × about 220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a Platinum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broad tracks, no problem list, teams bring their own ideas; rubric rewards solving a real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a Platinum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track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2026-10-10T15:52:04Z</dcterms:created>
  <dcterms:modified xsi:type="dcterms:W3CDTF">2026-10-10T15:52:04Z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