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2,000,000 MNT to each of the five track winners; three cross-track awards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Platinum sponsors.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October 28.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Platinum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optional challenge, if you want to set one</w:t>
            </w:r>
          </w:p>
        </w:tc>
      </w:tr>
      <w:tr>
        <w:tc>
          <w:tcPr/>
          <w:p>
            <w:pPr>
              <w:pStyle w:val="Compact"/>
            </w:pPr>
            <w:r>
              <w:t xml:space="preserve">Oct 30</w:t>
            </w:r>
          </w:p>
        </w:tc>
        <w:tc>
          <w:tcPr/>
          <w:p>
            <w:pPr>
              <w:pStyle w:val="Compact"/>
            </w:pPr>
            <w:r>
              <w:t xml:space="preserve">the name and contact of your judge; Platinum sponsors, your opening and workshop speakers</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optional challenges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(Platinum sponsors), your workshop speaker (Platinum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no sponsor's name is in the event's name, and each Gold sponsor's name is on its own track.</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Platinum, then Gold alphabetically, then Silver.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Platinum sponsor can also take a Gold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сонголтот сорилт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