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it is funnier than anything a ministry would pick, which is the point for a youth event. Use it with the straight subtitle so sponsors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Ulaanbaatar: health problems that have an environmental cause and a technical fix within reach of a student team in 24 hours.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city</w:t>
      </w:r>
      <w:r>
        <w:t xml:space="preserve"> </w:t>
      </w:r>
      <w:r>
        <w:t xml:space="preserve">it is timely. Winter starts the week of the event. The air-quality season is the backdrop.</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16 to 24 enrolled in a high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of 15,000,000 MNT for the overall top three, split 50 / 30 / 20: first 7,500,000, second 4,500,000, third 3,000,000, paid to the team by the NGO with 5 percent personal income tax withheld. Six track awards: certificates plus whatever the track sponsor puts up, products or cash. Best beginner team and best design: product prizes from prize sponsors. A team can win one placed prize and one category or track award. If the pool ends at 10,000,000 or 20,000,000 the split stays 50 / 30 / 20.</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[NGO]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Half from high schools, half from universities, 25+ institutions.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2026-10-07T16:18:11Z</dcterms:created>
  <dcterms:modified xsi:type="dcterms:W3CDTF">2026-10-07T16:18:11Z</dcterms:modified>
</cp:coreProperties>
</file>

<file path=docProps/custom.xml><?xml version="1.0" encoding="utf-8"?>
<Properties xmlns="http://schemas.openxmlformats.org/officeDocument/2006/custom-properties" xmlns:vt="http://schemas.openxmlformats.org/officeDocument/2006/docPropsVTypes"/>
</file>