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870D640" w:rsidR="00251F76" w:rsidRPr="008E5574" w:rsidRDefault="00155D92" w:rsidP="008E5574">
      <w:pPr>
        <w:spacing w:line="240" w:lineRule="auto"/>
        <w:jc w:val="center"/>
        <w:rPr>
          <w:rFonts w:ascii="Source Sans Pro" w:eastAsia="Source Sans Pro" w:hAnsi="Source Sans Pro" w:cs="Source Sans Pro"/>
          <w:b/>
          <w:color w:val="657AE7"/>
          <w:sz w:val="30"/>
          <w:szCs w:val="30"/>
        </w:rPr>
      </w:pPr>
      <w:r>
        <w:rPr>
          <w:rFonts w:ascii="Source Sans Pro" w:eastAsia="Source Sans Pro" w:hAnsi="Source Sans Pro" w:cs="Source Sans Pro"/>
          <w:b/>
          <w:color w:val="657AE7"/>
          <w:sz w:val="30"/>
          <w:szCs w:val="30"/>
        </w:rPr>
        <w:t>RESUME REVIEW CHECKLIST</w:t>
      </w:r>
    </w:p>
    <w:p w14:paraId="00000004" w14:textId="77777777" w:rsidR="00251F76" w:rsidRDefault="00155D92">
      <w:pPr>
        <w:spacing w:line="240" w:lineRule="auto"/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>Formatting</w:t>
      </w:r>
    </w:p>
    <w:p w14:paraId="00000005" w14:textId="77777777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Margins are consistent throughout the resume (.5” to 1”).</w:t>
      </w:r>
    </w:p>
    <w:p w14:paraId="00000006" w14:textId="77777777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Font size is between 10 and 11 points for the resume body; font is easy to read (Calibri or Arial).</w:t>
      </w:r>
    </w:p>
    <w:p w14:paraId="00000007" w14:textId="6ACDC7D2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Bullet points are aligned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>,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and bullet point punctuation (periods vs. no periods) is consistent throughout the resume.</w:t>
      </w:r>
    </w:p>
    <w:p w14:paraId="00000008" w14:textId="1C769CFD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Locations are written consistently throughout resume: City, State</w:t>
      </w:r>
      <w:r w:rsidR="008E5574">
        <w:rPr>
          <w:rFonts w:ascii="Source Sans Pro" w:eastAsia="Source Sans Pro" w:hAnsi="Source Sans Pro" w:cs="Source Sans Pro"/>
          <w:color w:val="434343"/>
          <w:sz w:val="21"/>
          <w:szCs w:val="21"/>
        </w:rPr>
        <w:t>.</w:t>
      </w:r>
    </w:p>
    <w:p w14:paraId="00000009" w14:textId="4B3882B1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Dates are written consistently throughout the resume (9/19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>–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9/20) or (September 2019–September 2020).</w:t>
      </w:r>
    </w:p>
    <w:p w14:paraId="0000000A" w14:textId="77777777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Section headers are listed in order of relevance/importance (Education, Skills, Projects, etc.).</w:t>
      </w:r>
    </w:p>
    <w:p w14:paraId="0000000B" w14:textId="77777777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Information within each section is listed in reverse chronological order.</w:t>
      </w:r>
    </w:p>
    <w:p w14:paraId="0000000C" w14:textId="77777777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Resume should not contain first-person pronouns (I, me, or my).</w:t>
      </w:r>
    </w:p>
    <w:p w14:paraId="0000000D" w14:textId="2B95866A" w:rsidR="00251F76" w:rsidRDefault="00155D92">
      <w:pPr>
        <w:numPr>
          <w:ilvl w:val="0"/>
          <w:numId w:val="4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ATS friendly: </w:t>
      </w:r>
      <w:r w:rsidR="008E5574">
        <w:rPr>
          <w:rFonts w:ascii="Source Sans Pro" w:eastAsia="Source Sans Pro" w:hAnsi="Source Sans Pro" w:cs="Source Sans Pro"/>
          <w:color w:val="434343"/>
          <w:sz w:val="21"/>
          <w:szCs w:val="21"/>
        </w:rPr>
        <w:t>no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>i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cons, images, graphics, tables, columns, headers, footers, 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or 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stylized or tiered bullet points.</w:t>
      </w:r>
    </w:p>
    <w:p w14:paraId="0000000E" w14:textId="77777777" w:rsidR="00251F76" w:rsidRDefault="00251F76">
      <w:p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</w:p>
    <w:p w14:paraId="0000000F" w14:textId="77777777" w:rsidR="00251F76" w:rsidRDefault="00155D92">
      <w:pPr>
        <w:spacing w:line="240" w:lineRule="auto"/>
        <w:rPr>
          <w:rFonts w:ascii="Source Sans Pro" w:eastAsia="Source Sans Pro" w:hAnsi="Source Sans Pro" w:cs="Source Sans Pro"/>
          <w:b/>
          <w:color w:val="4A299D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>Contact Information</w:t>
      </w:r>
    </w:p>
    <w:p w14:paraId="00000010" w14:textId="37BC239D" w:rsidR="00251F76" w:rsidRDefault="00155D92">
      <w:pPr>
        <w:numPr>
          <w:ilvl w:val="0"/>
          <w:numId w:val="7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First </w:t>
      </w:r>
      <w:r w:rsidR="008E5574"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and 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last name, cell phone number, email, LinkedIn profile, and personal website (if applicable) are located at the top of the resume.</w:t>
      </w:r>
    </w:p>
    <w:p w14:paraId="00000011" w14:textId="77777777" w:rsidR="00251F76" w:rsidRDefault="00155D92">
      <w:pPr>
        <w:numPr>
          <w:ilvl w:val="0"/>
          <w:numId w:val="7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LinkedIn profile and personal website include hyperlinks.</w:t>
      </w:r>
    </w:p>
    <w:p w14:paraId="00000012" w14:textId="77777777" w:rsidR="00251F76" w:rsidRDefault="00251F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</w:pPr>
    </w:p>
    <w:p w14:paraId="00000013" w14:textId="77777777" w:rsidR="00251F76" w:rsidRDefault="00155D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b/>
          <w:color w:val="4A299D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 xml:space="preserve"> Professional Summary</w:t>
      </w:r>
    </w:p>
    <w:p w14:paraId="00000014" w14:textId="4B2353E8" w:rsidR="00251F76" w:rsidRDefault="008E5574">
      <w:pPr>
        <w:numPr>
          <w:ilvl w:val="0"/>
          <w:numId w:val="5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3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>–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5 sentences communicating </w:t>
      </w:r>
      <w:r w:rsidR="00155D92">
        <w:rPr>
          <w:rFonts w:ascii="Source Sans Pro" w:eastAsia="Source Sans Pro" w:hAnsi="Source Sans Pro" w:cs="Source Sans Pro"/>
          <w:color w:val="434343"/>
          <w:sz w:val="21"/>
          <w:szCs w:val="21"/>
        </w:rPr>
        <w:t>relevant or translatable skills/experience to help the employer/audience understand what is valuable about your background.</w:t>
      </w:r>
    </w:p>
    <w:p w14:paraId="00000015" w14:textId="77777777" w:rsidR="00251F76" w:rsidRDefault="00251F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</w:pPr>
    </w:p>
    <w:p w14:paraId="00000016" w14:textId="77777777" w:rsidR="00251F76" w:rsidRDefault="00155D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b/>
          <w:color w:val="4A299D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>Education</w:t>
      </w:r>
    </w:p>
    <w:p w14:paraId="00000017" w14:textId="77777777" w:rsidR="00251F76" w:rsidRDefault="00155D92">
      <w:pPr>
        <w:numPr>
          <w:ilvl w:val="0"/>
          <w:numId w:val="2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Institution name(s) is/are included.</w:t>
      </w:r>
    </w:p>
    <w:p w14:paraId="00000018" w14:textId="13DF7CD6" w:rsidR="00251F76" w:rsidRDefault="00155D92">
      <w:pPr>
        <w:numPr>
          <w:ilvl w:val="0"/>
          <w:numId w:val="2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Name of certificate and expected 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>completion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date (Month Year) are included.</w:t>
      </w:r>
    </w:p>
    <w:p w14:paraId="00000019" w14:textId="77777777" w:rsidR="00251F76" w:rsidRDefault="00155D92">
      <w:pPr>
        <w:numPr>
          <w:ilvl w:val="0"/>
          <w:numId w:val="2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Additional educational experiences, such as degrees or coursework toward degrees, are included. </w:t>
      </w:r>
    </w:p>
    <w:p w14:paraId="0000001A" w14:textId="77777777" w:rsidR="00251F76" w:rsidRDefault="00155D92">
      <w:pPr>
        <w:numPr>
          <w:ilvl w:val="0"/>
          <w:numId w:val="2"/>
        </w:numPr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Coursework included is relevant to the job or position being pursued.</w:t>
      </w:r>
    </w:p>
    <w:p w14:paraId="0000001B" w14:textId="77777777" w:rsidR="00251F76" w:rsidRDefault="00251F76">
      <w:pPr>
        <w:rPr>
          <w:rFonts w:ascii="Source Sans Pro" w:eastAsia="Source Sans Pro" w:hAnsi="Source Sans Pro" w:cs="Source Sans Pro"/>
          <w:sz w:val="16"/>
          <w:szCs w:val="16"/>
        </w:rPr>
      </w:pPr>
    </w:p>
    <w:p w14:paraId="0000001C" w14:textId="77777777" w:rsidR="00251F76" w:rsidRDefault="00155D92">
      <w:pPr>
        <w:rPr>
          <w:rFonts w:ascii="Source Sans Pro" w:eastAsia="Source Sans Pro" w:hAnsi="Source Sans Pro" w:cs="Source Sans Pro"/>
          <w:b/>
          <w:color w:val="4A299D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 xml:space="preserve">Skills </w:t>
      </w:r>
    </w:p>
    <w:p w14:paraId="0000001D" w14:textId="77777777" w:rsidR="00251F76" w:rsidRDefault="00155D92">
      <w:pPr>
        <w:numPr>
          <w:ilvl w:val="0"/>
          <w:numId w:val="6"/>
        </w:numPr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Skills are categorized, qualified based on skill level (if necessary), and technical in nature.</w:t>
      </w:r>
    </w:p>
    <w:p w14:paraId="0000001E" w14:textId="77777777" w:rsidR="00251F76" w:rsidRDefault="00251F76">
      <w:pPr>
        <w:rPr>
          <w:rFonts w:ascii="Source Sans Pro" w:eastAsia="Source Sans Pro" w:hAnsi="Source Sans Pro" w:cs="Source Sans Pro"/>
          <w:sz w:val="16"/>
          <w:szCs w:val="16"/>
        </w:rPr>
      </w:pPr>
    </w:p>
    <w:p w14:paraId="0000001F" w14:textId="77777777" w:rsidR="00251F76" w:rsidRDefault="00155D92">
      <w:pPr>
        <w:rPr>
          <w:rFonts w:ascii="Source Sans Pro" w:eastAsia="Source Sans Pro" w:hAnsi="Source Sans Pro" w:cs="Source Sans Pro"/>
          <w:b/>
          <w:color w:val="4A299D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>Certifications</w:t>
      </w:r>
    </w:p>
    <w:p w14:paraId="00000020" w14:textId="3FC708D3" w:rsidR="00251F76" w:rsidRDefault="00155D9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Name of certification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and 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month and year conferred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(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or expected to be conferred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>)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are included.</w:t>
      </w:r>
    </w:p>
    <w:p w14:paraId="00000021" w14:textId="77777777" w:rsidR="00251F76" w:rsidRDefault="00155D92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Certifications are included in the appropriate section (Skill or Education).</w:t>
      </w:r>
    </w:p>
    <w:p w14:paraId="00000022" w14:textId="77777777" w:rsidR="00251F76" w:rsidRDefault="00251F76">
      <w:pPr>
        <w:rPr>
          <w:rFonts w:ascii="Source Sans Pro" w:eastAsia="Source Sans Pro" w:hAnsi="Source Sans Pro" w:cs="Source Sans Pro"/>
          <w:sz w:val="16"/>
          <w:szCs w:val="16"/>
        </w:rPr>
      </w:pPr>
    </w:p>
    <w:p w14:paraId="00000023" w14:textId="77777777" w:rsidR="00251F76" w:rsidRDefault="00155D92">
      <w:pPr>
        <w:rPr>
          <w:rFonts w:ascii="Source Sans Pro" w:eastAsia="Source Sans Pro" w:hAnsi="Source Sans Pro" w:cs="Source Sans Pro"/>
          <w:b/>
          <w:color w:val="4A299D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>Project Experience</w:t>
      </w:r>
    </w:p>
    <w:p w14:paraId="00000024" w14:textId="77777777" w:rsidR="00251F76" w:rsidRDefault="00155D92">
      <w:pPr>
        <w:numPr>
          <w:ilvl w:val="0"/>
          <w:numId w:val="3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Project entries contain titles, name(s) of institution(s) or independent project(s), and associated dates.</w:t>
      </w:r>
    </w:p>
    <w:p w14:paraId="00000025" w14:textId="77777777" w:rsidR="00251F76" w:rsidRDefault="00155D92">
      <w:pPr>
        <w:numPr>
          <w:ilvl w:val="0"/>
          <w:numId w:val="3"/>
        </w:numPr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Bullet points contain the action taken and technical skills utilized to produce an outcome or result.</w:t>
      </w:r>
    </w:p>
    <w:p w14:paraId="00000026" w14:textId="77777777" w:rsidR="00251F76" w:rsidRDefault="00251F76">
      <w:pPr>
        <w:ind w:left="720"/>
        <w:rPr>
          <w:rFonts w:ascii="Source Sans Pro" w:eastAsia="Source Sans Pro" w:hAnsi="Source Sans Pro" w:cs="Source Sans Pro"/>
          <w:sz w:val="16"/>
          <w:szCs w:val="16"/>
        </w:rPr>
      </w:pPr>
    </w:p>
    <w:p w14:paraId="00000027" w14:textId="77777777" w:rsidR="00251F76" w:rsidRDefault="00155D92">
      <w:pPr>
        <w:rPr>
          <w:rFonts w:ascii="Source Sans Pro" w:eastAsia="Source Sans Pro" w:hAnsi="Source Sans Pro" w:cs="Source Sans Pro"/>
          <w:b/>
          <w:color w:val="4A299D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>Professional Experience</w:t>
      </w:r>
    </w:p>
    <w:p w14:paraId="00000028" w14:textId="77777777" w:rsidR="00251F76" w:rsidRDefault="00155D92">
      <w:pPr>
        <w:numPr>
          <w:ilvl w:val="0"/>
          <w:numId w:val="3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Professional experience entries contain the names of employers, job titles, locations of employment, and duration of employment (if applicable).</w:t>
      </w:r>
    </w:p>
    <w:p w14:paraId="00000029" w14:textId="77777777" w:rsidR="00251F76" w:rsidRDefault="00155D92">
      <w:pPr>
        <w:numPr>
          <w:ilvl w:val="0"/>
          <w:numId w:val="3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Bullet points are written to reflect the action taken, skills utilized, and associated result, outcome, or impact.</w:t>
      </w:r>
    </w:p>
    <w:p w14:paraId="0000002A" w14:textId="77777777" w:rsidR="00251F76" w:rsidRDefault="00155D92">
      <w:pPr>
        <w:numPr>
          <w:ilvl w:val="0"/>
          <w:numId w:val="3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Bullet points reflect correct verb tense: past tense for previous experiences and present tense for current work.</w:t>
      </w:r>
    </w:p>
    <w:p w14:paraId="0000002B" w14:textId="77777777" w:rsidR="00251F76" w:rsidRDefault="00155D92">
      <w:pPr>
        <w:numPr>
          <w:ilvl w:val="0"/>
          <w:numId w:val="3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Bullet points highlight transferable skills that can be applied in a new position.</w:t>
      </w:r>
    </w:p>
    <w:p w14:paraId="0000002C" w14:textId="767B72DA" w:rsidR="00251F76" w:rsidRDefault="00155D92">
      <w:pPr>
        <w:numPr>
          <w:ilvl w:val="0"/>
          <w:numId w:val="3"/>
        </w:numPr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Bullet points highlight work with technology,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technology projects, or initiatives (if applicable).</w:t>
      </w:r>
    </w:p>
    <w:p w14:paraId="0000002D" w14:textId="77777777" w:rsidR="00251F76" w:rsidRDefault="00155D92">
      <w:pPr>
        <w:numPr>
          <w:ilvl w:val="0"/>
          <w:numId w:val="3"/>
        </w:numPr>
        <w:shd w:val="clear" w:color="auto" w:fill="FFFFFF"/>
        <w:spacing w:line="240" w:lineRule="auto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Bullet points are written to highlight key accomplishments from industry-related tasks.</w:t>
      </w:r>
    </w:p>
    <w:p w14:paraId="0000002E" w14:textId="77777777" w:rsidR="00251F76" w:rsidRDefault="00155D92">
      <w:pPr>
        <w:numPr>
          <w:ilvl w:val="0"/>
          <w:numId w:val="3"/>
        </w:numPr>
        <w:shd w:val="clear" w:color="auto" w:fill="FFFFFF"/>
        <w:rPr>
          <w:rFonts w:ascii="Source Sans Pro" w:eastAsia="Source Sans Pro" w:hAnsi="Source Sans Pro" w:cs="Source Sans Pro"/>
          <w:color w:val="434343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Maximum of 6 bullets per position.</w:t>
      </w:r>
    </w:p>
    <w:p w14:paraId="0000002F" w14:textId="77777777" w:rsidR="00251F76" w:rsidRDefault="00251F76">
      <w:pPr>
        <w:rPr>
          <w:rFonts w:ascii="Source Sans Pro" w:eastAsia="Source Sans Pro" w:hAnsi="Source Sans Pro" w:cs="Source Sans Pro"/>
          <w:sz w:val="16"/>
          <w:szCs w:val="16"/>
        </w:rPr>
      </w:pPr>
    </w:p>
    <w:p w14:paraId="00000030" w14:textId="77777777" w:rsidR="00251F76" w:rsidRDefault="00155D92">
      <w:pPr>
        <w:rPr>
          <w:rFonts w:ascii="Source Sans Pro" w:eastAsia="Source Sans Pro" w:hAnsi="Source Sans Pro" w:cs="Source Sans Pro"/>
          <w:b/>
          <w:color w:val="4A299D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color w:val="B70344"/>
          <w:sz w:val="21"/>
          <w:szCs w:val="21"/>
        </w:rPr>
        <w:t>Additional Experience Sections</w:t>
      </w:r>
    </w:p>
    <w:p w14:paraId="00000031" w14:textId="11DC834C" w:rsidR="00251F76" w:rsidRDefault="00155D92">
      <w:pPr>
        <w:numPr>
          <w:ilvl w:val="0"/>
          <w:numId w:val="8"/>
        </w:numPr>
        <w:spacing w:line="240" w:lineRule="auto"/>
        <w:rPr>
          <w:rFonts w:ascii="Source Sans Pro" w:eastAsia="Source Sans Pro" w:hAnsi="Source Sans Pro" w:cs="Source Sans Pro"/>
          <w:sz w:val="21"/>
          <w:szCs w:val="21"/>
        </w:rPr>
      </w:pP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>Additional experience sections, such as Awards, Conferences, Volunteering, Publications, etc., are relevant</w:t>
      </w:r>
      <w:r w:rsidR="009A6E2C"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and</w:t>
      </w:r>
      <w:r>
        <w:rPr>
          <w:rFonts w:ascii="Source Sans Pro" w:eastAsia="Source Sans Pro" w:hAnsi="Source Sans Pro" w:cs="Source Sans Pro"/>
          <w:color w:val="434343"/>
          <w:sz w:val="21"/>
          <w:szCs w:val="21"/>
        </w:rPr>
        <w:t xml:space="preserve"> timely and align with intended career goals</w:t>
      </w:r>
      <w:r>
        <w:rPr>
          <w:rFonts w:ascii="Source Sans Pro" w:eastAsia="Source Sans Pro" w:hAnsi="Source Sans Pro" w:cs="Source Sans Pro"/>
          <w:sz w:val="21"/>
          <w:szCs w:val="21"/>
        </w:rPr>
        <w:t>.</w:t>
      </w:r>
    </w:p>
    <w:sectPr w:rsidR="00251F76"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61C9"/>
    <w:multiLevelType w:val="multilevel"/>
    <w:tmpl w:val="2A56A3B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C6335"/>
    <w:multiLevelType w:val="multilevel"/>
    <w:tmpl w:val="72302F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396A25"/>
    <w:multiLevelType w:val="multilevel"/>
    <w:tmpl w:val="97089F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D65AE5"/>
    <w:multiLevelType w:val="multilevel"/>
    <w:tmpl w:val="9DB474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A4320B"/>
    <w:multiLevelType w:val="multilevel"/>
    <w:tmpl w:val="F9A6DB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A604DB"/>
    <w:multiLevelType w:val="multilevel"/>
    <w:tmpl w:val="E8BE7D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3177C8"/>
    <w:multiLevelType w:val="multilevel"/>
    <w:tmpl w:val="23921F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275088"/>
    <w:multiLevelType w:val="multilevel"/>
    <w:tmpl w:val="5EA2C09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76"/>
    <w:rsid w:val="00155D92"/>
    <w:rsid w:val="00251F76"/>
    <w:rsid w:val="008E5574"/>
    <w:rsid w:val="009A6E2C"/>
    <w:rsid w:val="00A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92F5"/>
  <w15:docId w15:val="{930DD9F2-6ABD-4006-BAB1-A9C584C7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2</cp:revision>
  <dcterms:created xsi:type="dcterms:W3CDTF">2021-11-13T00:17:00Z</dcterms:created>
  <dcterms:modified xsi:type="dcterms:W3CDTF">2021-11-13T00:17:00Z</dcterms:modified>
</cp:coreProperties>
</file>