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2B27" w14:textId="77777777" w:rsidR="00D174C6" w:rsidRDefault="00D174C6" w:rsidP="00F7147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Resource Allocation challenge</w:t>
      </w:r>
    </w:p>
    <w:p w14:paraId="424841A6" w14:textId="77777777" w:rsidR="00D174C6" w:rsidRDefault="00D174C6" w:rsidP="00F7147F">
      <w:pPr>
        <w:jc w:val="both"/>
      </w:pPr>
    </w:p>
    <w:p w14:paraId="06D27EF1" w14:textId="77777777" w:rsidR="0036406D" w:rsidRDefault="0036406D" w:rsidP="0036406D">
      <w:pPr>
        <w:jc w:val="both"/>
      </w:pPr>
      <w:r>
        <w:t xml:space="preserve">There are 4 suspects identified. Upon knowing the locations of the suspects, MHQ is preparing to deploy 4 teams of investigation officers to apprehend the suspects. </w:t>
      </w:r>
    </w:p>
    <w:p w14:paraId="545CA1D1" w14:textId="77777777" w:rsidR="0036406D" w:rsidRDefault="0036406D" w:rsidP="0036406D">
      <w:pPr>
        <w:jc w:val="both"/>
      </w:pPr>
    </w:p>
    <w:p w14:paraId="00B8A699" w14:textId="6D0C3DFD" w:rsidR="0036406D" w:rsidRDefault="0036406D" w:rsidP="0036406D">
      <w:pPr>
        <w:jc w:val="both"/>
      </w:pPr>
      <w:r>
        <w:t xml:space="preserve">Using </w:t>
      </w:r>
      <w:r w:rsidR="008B70CF">
        <w:t>Mixed Integer programming</w:t>
      </w:r>
      <w:r>
        <w:t xml:space="preserve">, you are to work out a resource allocation plan (assign 1 team to each suspect), based on the information given to maximise overall reward. </w:t>
      </w:r>
    </w:p>
    <w:p w14:paraId="1EFC593A" w14:textId="77777777" w:rsidR="0036406D" w:rsidRDefault="0036406D" w:rsidP="00F7147F">
      <w:pPr>
        <w:jc w:val="both"/>
        <w:rPr>
          <w:u w:val="single"/>
        </w:rPr>
      </w:pPr>
    </w:p>
    <w:p w14:paraId="6D47B7E7" w14:textId="07889D04" w:rsidR="00D174C6" w:rsidRPr="00E70592" w:rsidRDefault="00562BA4" w:rsidP="00F7147F">
      <w:pPr>
        <w:jc w:val="both"/>
        <w:rPr>
          <w:u w:val="single"/>
        </w:rPr>
      </w:pPr>
      <w:r w:rsidRPr="00E70592">
        <w:rPr>
          <w:u w:val="single"/>
        </w:rPr>
        <w:t>Information 1:</w:t>
      </w:r>
    </w:p>
    <w:p w14:paraId="73671BAA" w14:textId="77777777" w:rsidR="00562BA4" w:rsidRDefault="00562BA4" w:rsidP="00F7147F">
      <w:pPr>
        <w:jc w:val="both"/>
      </w:pPr>
    </w:p>
    <w:p w14:paraId="559D479C" w14:textId="77777777" w:rsidR="00AB1028" w:rsidRDefault="00E0324B" w:rsidP="00AB1028">
      <w:pPr>
        <w:jc w:val="both"/>
        <w:rPr>
          <w:color w:val="1F497D"/>
        </w:rPr>
      </w:pPr>
      <w:r>
        <w:t xml:space="preserve">Suspects may hide/run away to avoid being captured. Hence, the team must reach the suspect in at least 30 mins, </w:t>
      </w:r>
      <w:r w:rsidR="00767F87">
        <w:t xml:space="preserve">otherwise </w:t>
      </w:r>
      <w:r>
        <w:t>the suspect</w:t>
      </w:r>
      <w:r w:rsidR="00AB1028">
        <w:t xml:space="preserve"> will</w:t>
      </w:r>
      <w:r>
        <w:t xml:space="preserve"> no longer </w:t>
      </w:r>
      <w:r w:rsidR="00AB1028">
        <w:t xml:space="preserve">be </w:t>
      </w:r>
      <w:r>
        <w:t xml:space="preserve">at that location. </w:t>
      </w:r>
      <w:r w:rsidR="00D174C6">
        <w:t xml:space="preserve">Table below shows the </w:t>
      </w:r>
      <w:r w:rsidR="00562BA4">
        <w:t>probability</w:t>
      </w:r>
      <w:r w:rsidR="00D174C6">
        <w:t xml:space="preserve"> of each team </w:t>
      </w:r>
      <w:r w:rsidR="00562BA4">
        <w:t>reaching</w:t>
      </w:r>
      <w:r w:rsidR="00E70592">
        <w:t xml:space="preserve"> each of the suspect’s location</w:t>
      </w:r>
      <w:r w:rsidR="00562BA4">
        <w:t xml:space="preserve"> within 30 minutes, given the current traffic conditions</w:t>
      </w:r>
      <w:r w:rsidR="00D174C6">
        <w:t>.</w:t>
      </w:r>
      <w:r w:rsidR="00AB1028">
        <w:rPr>
          <w:color w:val="1F497D"/>
        </w:rPr>
        <w:t xml:space="preserve"> </w:t>
      </w:r>
    </w:p>
    <w:p w14:paraId="0DD11972" w14:textId="77777777" w:rsidR="00D174C6" w:rsidRDefault="00D174C6" w:rsidP="00F7147F">
      <w:pPr>
        <w:jc w:val="both"/>
        <w:rPr>
          <w:color w:val="1F497D"/>
        </w:rPr>
      </w:pPr>
    </w:p>
    <w:p w14:paraId="29C9E1DD" w14:textId="77777777" w:rsidR="00562BA4" w:rsidRDefault="00562BA4" w:rsidP="00F7147F">
      <w:pPr>
        <w:jc w:val="bot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661"/>
        <w:gridCol w:w="1825"/>
        <w:gridCol w:w="1825"/>
        <w:gridCol w:w="1825"/>
      </w:tblGrid>
      <w:tr w:rsidR="00D174C6" w14:paraId="3792BBB3" w14:textId="77777777" w:rsidTr="00D174C6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9EA5" w14:textId="77777777" w:rsidR="00D174C6" w:rsidRDefault="00D174C6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50519" w14:textId="77777777" w:rsidR="00D174C6" w:rsidRDefault="00562BA4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  <w:r w:rsidR="00D174C6">
              <w:rPr>
                <w:b/>
                <w:bCs/>
              </w:rPr>
              <w:t xml:space="preserve"> (suspect1)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4BCD" w14:textId="77777777" w:rsidR="00D174C6" w:rsidRDefault="00562BA4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Probability </w:t>
            </w:r>
            <w:r w:rsidR="00D174C6">
              <w:rPr>
                <w:b/>
                <w:bCs/>
              </w:rPr>
              <w:t>(suspect2)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5C865" w14:textId="77777777" w:rsidR="00D174C6" w:rsidRDefault="00562BA4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Probability </w:t>
            </w:r>
            <w:r w:rsidR="00D174C6">
              <w:rPr>
                <w:b/>
                <w:bCs/>
              </w:rPr>
              <w:t>(suspect3)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AB1F" w14:textId="77777777" w:rsidR="00D174C6" w:rsidRDefault="00562BA4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Probability </w:t>
            </w:r>
            <w:r w:rsidR="00D174C6">
              <w:rPr>
                <w:b/>
                <w:bCs/>
              </w:rPr>
              <w:t>(suspect4)</w:t>
            </w:r>
          </w:p>
        </w:tc>
      </w:tr>
      <w:tr w:rsidR="00D174C6" w14:paraId="0EEC9BB0" w14:textId="77777777" w:rsidTr="00D174C6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78A30" w14:textId="77777777" w:rsidR="00D174C6" w:rsidRDefault="00D174C6" w:rsidP="00F7147F">
            <w:pPr>
              <w:jc w:val="both"/>
            </w:pPr>
            <w:r>
              <w:t>Team Agility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D03D7" w14:textId="77777777" w:rsidR="00D174C6" w:rsidRDefault="00562BA4" w:rsidP="00EC3D79">
            <w:pPr>
              <w:jc w:val="both"/>
            </w:pPr>
            <w:r>
              <w:t>0.</w:t>
            </w:r>
            <w:r w:rsidR="00EC3D79"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935FB" w14:textId="77777777" w:rsidR="00D174C6" w:rsidRDefault="00562BA4" w:rsidP="00F7147F">
            <w:pPr>
              <w:jc w:val="both"/>
            </w:pPr>
            <w:r>
              <w:t>0.5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8C714" w14:textId="77777777" w:rsidR="00D174C6" w:rsidRDefault="00562BA4" w:rsidP="00F7147F">
            <w:pPr>
              <w:jc w:val="both"/>
            </w:pPr>
            <w:r>
              <w:t>0.5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A55DB" w14:textId="77777777" w:rsidR="00D174C6" w:rsidRDefault="00562BA4" w:rsidP="005533C6">
            <w:pPr>
              <w:jc w:val="both"/>
            </w:pPr>
            <w:r>
              <w:t>0.</w:t>
            </w:r>
            <w:r w:rsidR="005533C6">
              <w:t>8</w:t>
            </w:r>
          </w:p>
        </w:tc>
      </w:tr>
      <w:tr w:rsidR="00D174C6" w14:paraId="2086BDB8" w14:textId="77777777" w:rsidTr="00D174C6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5C59" w14:textId="77777777" w:rsidR="00D174C6" w:rsidRDefault="00D174C6" w:rsidP="00F7147F">
            <w:pPr>
              <w:jc w:val="both"/>
            </w:pPr>
            <w:r>
              <w:t>Team Bravery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78A8" w14:textId="77777777" w:rsidR="00D174C6" w:rsidRDefault="00562BA4" w:rsidP="00F7147F">
            <w:pPr>
              <w:jc w:val="both"/>
            </w:pPr>
            <w:r>
              <w:t>0.6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D92F6" w14:textId="77777777" w:rsidR="00D174C6" w:rsidRDefault="00562BA4" w:rsidP="00440A18">
            <w:pPr>
              <w:jc w:val="both"/>
            </w:pPr>
            <w:r>
              <w:t>0.</w:t>
            </w:r>
            <w:r w:rsidR="00440A18"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B9740" w14:textId="77777777" w:rsidR="00D174C6" w:rsidRDefault="00562BA4" w:rsidP="00440A18">
            <w:pPr>
              <w:jc w:val="both"/>
            </w:pPr>
            <w:r>
              <w:t>0.</w:t>
            </w:r>
            <w:r w:rsidR="00440A18"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2859" w14:textId="77777777" w:rsidR="00D174C6" w:rsidRDefault="00562BA4" w:rsidP="00F7147F">
            <w:pPr>
              <w:jc w:val="both"/>
            </w:pPr>
            <w:r>
              <w:t>0.</w:t>
            </w:r>
            <w:r w:rsidR="00934DF7">
              <w:t>8</w:t>
            </w:r>
          </w:p>
        </w:tc>
      </w:tr>
      <w:tr w:rsidR="00D174C6" w14:paraId="130D0A12" w14:textId="77777777" w:rsidTr="00D174C6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F815" w14:textId="77777777" w:rsidR="00D174C6" w:rsidRDefault="00D174C6" w:rsidP="00F7147F">
            <w:pPr>
              <w:jc w:val="both"/>
            </w:pPr>
            <w:r>
              <w:t>Team Courage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23F54" w14:textId="77777777" w:rsidR="00D174C6" w:rsidRDefault="00562BA4" w:rsidP="00F7147F">
            <w:pPr>
              <w:jc w:val="both"/>
            </w:pPr>
            <w:r>
              <w:t>0.8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4638B" w14:textId="77777777" w:rsidR="00D174C6" w:rsidRDefault="00562BA4" w:rsidP="00F7147F">
            <w:pPr>
              <w:jc w:val="both"/>
            </w:pPr>
            <w:r>
              <w:t>0.6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7FE0" w14:textId="77777777" w:rsidR="00D174C6" w:rsidRDefault="00562BA4" w:rsidP="00F7147F">
            <w:pPr>
              <w:jc w:val="both"/>
            </w:pPr>
            <w:r>
              <w:t>0.7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56694" w14:textId="77777777" w:rsidR="00D174C6" w:rsidRDefault="00562BA4" w:rsidP="00F7147F">
            <w:pPr>
              <w:jc w:val="both"/>
            </w:pPr>
            <w:r>
              <w:t>0.6</w:t>
            </w:r>
          </w:p>
        </w:tc>
      </w:tr>
      <w:tr w:rsidR="00D174C6" w14:paraId="5FFFCCDF" w14:textId="77777777" w:rsidTr="00D174C6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800E5" w14:textId="77777777" w:rsidR="00D174C6" w:rsidRDefault="00D174C6" w:rsidP="00F7147F">
            <w:pPr>
              <w:jc w:val="both"/>
            </w:pPr>
            <w:r>
              <w:t>Team Determination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73F69" w14:textId="77777777" w:rsidR="00D174C6" w:rsidRDefault="00562BA4" w:rsidP="00F7147F">
            <w:pPr>
              <w:jc w:val="both"/>
            </w:pPr>
            <w:r>
              <w:t>0.8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8807B" w14:textId="77777777" w:rsidR="00D174C6" w:rsidRDefault="00562BA4" w:rsidP="00F7147F">
            <w:pPr>
              <w:jc w:val="both"/>
            </w:pPr>
            <w:r>
              <w:t>0.8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5A048" w14:textId="77777777" w:rsidR="00D174C6" w:rsidRDefault="00562BA4" w:rsidP="00F7147F">
            <w:pPr>
              <w:jc w:val="both"/>
            </w:pPr>
            <w:r>
              <w:t>0.6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2F3CE" w14:textId="77777777" w:rsidR="00D174C6" w:rsidRDefault="00562BA4" w:rsidP="00F7147F">
            <w:pPr>
              <w:jc w:val="both"/>
            </w:pPr>
            <w:r>
              <w:t>0.4</w:t>
            </w:r>
          </w:p>
        </w:tc>
      </w:tr>
    </w:tbl>
    <w:p w14:paraId="73637933" w14:textId="77777777" w:rsidR="00D174C6" w:rsidRDefault="00D174C6" w:rsidP="00F7147F">
      <w:pPr>
        <w:jc w:val="both"/>
      </w:pPr>
    </w:p>
    <w:p w14:paraId="4A2D92D6" w14:textId="77777777" w:rsidR="00D174C6" w:rsidRDefault="002950FA" w:rsidP="00F7147F">
      <w:pPr>
        <w:jc w:val="both"/>
        <w:rPr>
          <w:u w:val="single"/>
        </w:rPr>
      </w:pPr>
      <w:r w:rsidRPr="00E0324B">
        <w:rPr>
          <w:u w:val="single"/>
        </w:rPr>
        <w:t>Information</w:t>
      </w:r>
      <w:r w:rsidR="00D174C6" w:rsidRPr="00E0324B">
        <w:rPr>
          <w:u w:val="single"/>
        </w:rPr>
        <w:t xml:space="preserve"> 2:</w:t>
      </w:r>
    </w:p>
    <w:p w14:paraId="5166F894" w14:textId="77777777" w:rsidR="00E0324B" w:rsidRPr="00E0324B" w:rsidRDefault="00E0324B" w:rsidP="00F7147F">
      <w:pPr>
        <w:jc w:val="both"/>
        <w:rPr>
          <w:u w:val="single"/>
        </w:rPr>
      </w:pPr>
    </w:p>
    <w:p w14:paraId="765B21A0" w14:textId="77777777" w:rsidR="00D174C6" w:rsidRDefault="00D174C6" w:rsidP="00F7147F">
      <w:pPr>
        <w:jc w:val="both"/>
      </w:pPr>
      <w:r>
        <w:t>Each team of investigation officers have different success rate of apprehending the suspect + finding evidence</w:t>
      </w:r>
      <w:r w:rsidR="002950FA">
        <w:t xml:space="preserve">. This is </w:t>
      </w:r>
      <w:r>
        <w:t>determined based on their track records. The table below shows the</w:t>
      </w:r>
      <w:r w:rsidR="002950FA">
        <w:t xml:space="preserve">ir </w:t>
      </w:r>
      <w:r>
        <w:t>success rate.</w:t>
      </w:r>
    </w:p>
    <w:p w14:paraId="2125EB7E" w14:textId="77777777" w:rsidR="00D174C6" w:rsidRDefault="00D174C6" w:rsidP="00F7147F">
      <w:pPr>
        <w:jc w:val="bot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1412"/>
      </w:tblGrid>
      <w:tr w:rsidR="00D174C6" w14:paraId="548D9A18" w14:textId="77777777" w:rsidTr="002950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7F7B2" w14:textId="77777777" w:rsidR="00D174C6" w:rsidRDefault="00D174C6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46FA" w14:textId="77777777" w:rsidR="00D174C6" w:rsidRDefault="00D174C6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Success rate </w:t>
            </w:r>
          </w:p>
        </w:tc>
      </w:tr>
      <w:tr w:rsidR="00D174C6" w14:paraId="036FE62B" w14:textId="77777777" w:rsidTr="002950FA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D6A2D" w14:textId="77777777" w:rsidR="00D174C6" w:rsidRDefault="00D174C6" w:rsidP="00F7147F">
            <w:pPr>
              <w:jc w:val="both"/>
            </w:pPr>
            <w:r>
              <w:t>Team Agility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3563" w14:textId="77777777" w:rsidR="00D174C6" w:rsidRDefault="00D174C6" w:rsidP="004137F7">
            <w:pPr>
              <w:jc w:val="both"/>
            </w:pPr>
            <w:r>
              <w:t>8</w:t>
            </w:r>
            <w:r w:rsidR="004137F7">
              <w:t>5</w:t>
            </w:r>
            <w:r>
              <w:t>%</w:t>
            </w:r>
          </w:p>
        </w:tc>
      </w:tr>
      <w:tr w:rsidR="00D174C6" w14:paraId="28F362E8" w14:textId="77777777" w:rsidTr="002950FA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DB2DE" w14:textId="77777777" w:rsidR="00D174C6" w:rsidRDefault="00D174C6" w:rsidP="00F7147F">
            <w:pPr>
              <w:jc w:val="both"/>
            </w:pPr>
            <w:r>
              <w:t>Team Bravery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F825" w14:textId="77777777" w:rsidR="00D174C6" w:rsidRDefault="004137F7" w:rsidP="00F7147F">
            <w:pPr>
              <w:jc w:val="both"/>
            </w:pPr>
            <w:r>
              <w:t>8</w:t>
            </w:r>
            <w:r w:rsidR="00D174C6">
              <w:t>0%</w:t>
            </w:r>
          </w:p>
        </w:tc>
      </w:tr>
      <w:tr w:rsidR="00D174C6" w14:paraId="7638A6A1" w14:textId="77777777" w:rsidTr="002950FA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6325A" w14:textId="77777777" w:rsidR="00D174C6" w:rsidRDefault="00D174C6" w:rsidP="00F7147F">
            <w:pPr>
              <w:jc w:val="both"/>
            </w:pPr>
            <w:r>
              <w:t>Team Courage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78E5" w14:textId="77777777" w:rsidR="00D174C6" w:rsidRDefault="00D174C6" w:rsidP="0042461A">
            <w:pPr>
              <w:jc w:val="both"/>
            </w:pPr>
            <w:r>
              <w:t>7</w:t>
            </w:r>
            <w:r w:rsidR="0042461A">
              <w:t>0</w:t>
            </w:r>
            <w:r>
              <w:t>%</w:t>
            </w:r>
          </w:p>
        </w:tc>
      </w:tr>
      <w:tr w:rsidR="00D174C6" w14:paraId="3D6F5506" w14:textId="77777777" w:rsidTr="002950FA"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6C97" w14:textId="77777777" w:rsidR="00D174C6" w:rsidRDefault="00D174C6" w:rsidP="00F7147F">
            <w:pPr>
              <w:jc w:val="both"/>
            </w:pPr>
            <w:r>
              <w:t>Team Determination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BE00D" w14:textId="77777777" w:rsidR="00D174C6" w:rsidRDefault="00D174C6" w:rsidP="00F7147F">
            <w:pPr>
              <w:jc w:val="both"/>
            </w:pPr>
            <w:r>
              <w:t>60%</w:t>
            </w:r>
          </w:p>
        </w:tc>
      </w:tr>
    </w:tbl>
    <w:p w14:paraId="731D9C38" w14:textId="77777777" w:rsidR="00D174C6" w:rsidRDefault="00D174C6" w:rsidP="00F7147F">
      <w:pPr>
        <w:jc w:val="both"/>
      </w:pPr>
    </w:p>
    <w:p w14:paraId="51FF16C4" w14:textId="77777777" w:rsidR="002950FA" w:rsidRDefault="002950FA" w:rsidP="00F7147F">
      <w:pPr>
        <w:jc w:val="both"/>
        <w:rPr>
          <w:u w:val="single"/>
        </w:rPr>
      </w:pPr>
      <w:r w:rsidRPr="00113287">
        <w:rPr>
          <w:u w:val="single"/>
        </w:rPr>
        <w:t>Information 3:</w:t>
      </w:r>
    </w:p>
    <w:p w14:paraId="421931F2" w14:textId="77777777" w:rsidR="00113287" w:rsidRPr="00113287" w:rsidRDefault="00113287" w:rsidP="00F7147F">
      <w:pPr>
        <w:jc w:val="both"/>
        <w:rPr>
          <w:u w:val="single"/>
        </w:rPr>
      </w:pPr>
    </w:p>
    <w:p w14:paraId="5B9DFB76" w14:textId="77777777" w:rsidR="00D174C6" w:rsidRDefault="00D174C6" w:rsidP="00F7147F">
      <w:pPr>
        <w:jc w:val="both"/>
      </w:pPr>
      <w:r>
        <w:t xml:space="preserve">Table below </w:t>
      </w:r>
      <w:r w:rsidR="00144153">
        <w:t xml:space="preserve">shows </w:t>
      </w:r>
      <w:r w:rsidR="00AB1028">
        <w:t xml:space="preserve">the </w:t>
      </w:r>
      <w:r w:rsidR="002950FA">
        <w:t>penalties for not apprehending the suspects, worked out based on the possible damages caused.</w:t>
      </w:r>
    </w:p>
    <w:p w14:paraId="56C4C2F2" w14:textId="77777777" w:rsidR="00D174C6" w:rsidRDefault="00D174C6" w:rsidP="00F7147F">
      <w:pPr>
        <w:jc w:val="bot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1276"/>
      </w:tblGrid>
      <w:tr w:rsidR="00AB1028" w14:paraId="0C70388E" w14:textId="77777777" w:rsidTr="002950FA"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9907" w14:textId="77777777" w:rsidR="00AB1028" w:rsidRDefault="00AB1028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</w:tcPr>
          <w:p w14:paraId="68367696" w14:textId="77777777" w:rsidR="00AB1028" w:rsidRDefault="00AB1028" w:rsidP="00F7147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</w:tr>
      <w:tr w:rsidR="00AB1028" w14:paraId="457DA017" w14:textId="77777777" w:rsidTr="002950F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4DD1" w14:textId="77777777" w:rsidR="00AB1028" w:rsidRDefault="00AB1028" w:rsidP="00F7147F">
            <w:pPr>
              <w:jc w:val="both"/>
            </w:pPr>
            <w:r>
              <w:t>Suspect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542789" w14:textId="77777777" w:rsidR="00AB1028" w:rsidRDefault="00AB1028" w:rsidP="00F7147F">
            <w:pPr>
              <w:jc w:val="both"/>
            </w:pPr>
            <w:r>
              <w:t xml:space="preserve"> 900</w:t>
            </w:r>
          </w:p>
        </w:tc>
      </w:tr>
      <w:tr w:rsidR="00AB1028" w14:paraId="55904F71" w14:textId="77777777" w:rsidTr="002950F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36CB7" w14:textId="77777777" w:rsidR="00AB1028" w:rsidRDefault="00AB1028" w:rsidP="00F7147F">
            <w:pPr>
              <w:jc w:val="both"/>
            </w:pPr>
            <w:r>
              <w:t>Suspect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1EAAEF" w14:textId="77777777" w:rsidR="00AB1028" w:rsidRDefault="00AB1028" w:rsidP="00F7147F">
            <w:pPr>
              <w:jc w:val="both"/>
            </w:pPr>
            <w:r>
              <w:t>1000</w:t>
            </w:r>
          </w:p>
        </w:tc>
      </w:tr>
      <w:tr w:rsidR="00AB1028" w14:paraId="58BFFBD7" w14:textId="77777777" w:rsidTr="002950F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479DF" w14:textId="77777777" w:rsidR="00AB1028" w:rsidRDefault="00AB1028" w:rsidP="00F7147F">
            <w:pPr>
              <w:jc w:val="both"/>
            </w:pPr>
            <w:r>
              <w:t>Suspect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40EFF" w14:textId="77777777" w:rsidR="00AB1028" w:rsidRDefault="00AB1028" w:rsidP="00F7147F">
            <w:pPr>
              <w:jc w:val="both"/>
            </w:pPr>
            <w:r>
              <w:t>1100</w:t>
            </w:r>
          </w:p>
        </w:tc>
      </w:tr>
      <w:tr w:rsidR="00AB1028" w14:paraId="49ED089C" w14:textId="77777777" w:rsidTr="002950FA">
        <w:tc>
          <w:tcPr>
            <w:tcW w:w="2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5194" w14:textId="77777777" w:rsidR="00AB1028" w:rsidRDefault="00AB1028" w:rsidP="00F7147F">
            <w:pPr>
              <w:jc w:val="both"/>
            </w:pPr>
            <w:r>
              <w:t>Suspect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9F78E0" w14:textId="77777777" w:rsidR="00AB1028" w:rsidRDefault="00AB1028" w:rsidP="0074760A">
            <w:pPr>
              <w:jc w:val="both"/>
            </w:pPr>
            <w:r>
              <w:t>800</w:t>
            </w:r>
          </w:p>
        </w:tc>
      </w:tr>
    </w:tbl>
    <w:p w14:paraId="25701D58" w14:textId="77777777" w:rsidR="00D174C6" w:rsidRDefault="00D174C6" w:rsidP="00F7147F">
      <w:pPr>
        <w:jc w:val="both"/>
      </w:pPr>
    </w:p>
    <w:p w14:paraId="5922762F" w14:textId="77777777" w:rsidR="00D174C6" w:rsidRDefault="00D174C6" w:rsidP="00F7147F">
      <w:pPr>
        <w:jc w:val="both"/>
      </w:pPr>
    </w:p>
    <w:p w14:paraId="1A1CD247" w14:textId="77777777" w:rsidR="007E3BE0" w:rsidRDefault="0048368C"/>
    <w:p w14:paraId="5F85597C" w14:textId="77777777" w:rsidR="00252397" w:rsidRPr="000C20D1" w:rsidRDefault="00252397" w:rsidP="000C20D1">
      <w:pPr>
        <w:rPr>
          <w:color w:val="0000FF"/>
        </w:rPr>
      </w:pPr>
    </w:p>
    <w:sectPr w:rsidR="00252397" w:rsidRPr="000C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20A1" w14:textId="77777777" w:rsidR="0048368C" w:rsidRDefault="0048368C" w:rsidP="00D174C6">
      <w:r>
        <w:separator/>
      </w:r>
    </w:p>
  </w:endnote>
  <w:endnote w:type="continuationSeparator" w:id="0">
    <w:p w14:paraId="15A7B98B" w14:textId="77777777" w:rsidR="0048368C" w:rsidRDefault="0048368C" w:rsidP="00D1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3A80" w14:textId="77777777" w:rsidR="0048368C" w:rsidRDefault="0048368C" w:rsidP="00D174C6">
      <w:r>
        <w:separator/>
      </w:r>
    </w:p>
  </w:footnote>
  <w:footnote w:type="continuationSeparator" w:id="0">
    <w:p w14:paraId="02BA8755" w14:textId="77777777" w:rsidR="0048368C" w:rsidRDefault="0048368C" w:rsidP="00D17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C6"/>
    <w:rsid w:val="00085F5F"/>
    <w:rsid w:val="000C20D1"/>
    <w:rsid w:val="00100A41"/>
    <w:rsid w:val="00113287"/>
    <w:rsid w:val="00144153"/>
    <w:rsid w:val="00166CBD"/>
    <w:rsid w:val="00252397"/>
    <w:rsid w:val="002950FA"/>
    <w:rsid w:val="002A3F88"/>
    <w:rsid w:val="003249E7"/>
    <w:rsid w:val="00334842"/>
    <w:rsid w:val="0036406D"/>
    <w:rsid w:val="003832B6"/>
    <w:rsid w:val="004137F7"/>
    <w:rsid w:val="0042461A"/>
    <w:rsid w:val="00440A18"/>
    <w:rsid w:val="0048368C"/>
    <w:rsid w:val="004F0D2D"/>
    <w:rsid w:val="005533C6"/>
    <w:rsid w:val="00562BA4"/>
    <w:rsid w:val="006055AE"/>
    <w:rsid w:val="00623701"/>
    <w:rsid w:val="0063053E"/>
    <w:rsid w:val="00692C7F"/>
    <w:rsid w:val="0074760A"/>
    <w:rsid w:val="00757FBB"/>
    <w:rsid w:val="00767F87"/>
    <w:rsid w:val="00773E09"/>
    <w:rsid w:val="007E6081"/>
    <w:rsid w:val="0089792A"/>
    <w:rsid w:val="008B70CF"/>
    <w:rsid w:val="00934DF7"/>
    <w:rsid w:val="009D2DA9"/>
    <w:rsid w:val="00A82122"/>
    <w:rsid w:val="00AB1028"/>
    <w:rsid w:val="00BC69D1"/>
    <w:rsid w:val="00BF576A"/>
    <w:rsid w:val="00BF5C17"/>
    <w:rsid w:val="00CA7219"/>
    <w:rsid w:val="00D174C6"/>
    <w:rsid w:val="00D33E59"/>
    <w:rsid w:val="00DB0C38"/>
    <w:rsid w:val="00DB3BCB"/>
    <w:rsid w:val="00DC2E5D"/>
    <w:rsid w:val="00DD5E53"/>
    <w:rsid w:val="00DF0AE5"/>
    <w:rsid w:val="00E0324B"/>
    <w:rsid w:val="00E11A79"/>
    <w:rsid w:val="00E70592"/>
    <w:rsid w:val="00EC3D79"/>
    <w:rsid w:val="00F03557"/>
    <w:rsid w:val="00F16209"/>
    <w:rsid w:val="00F677B1"/>
    <w:rsid w:val="00F7147F"/>
    <w:rsid w:val="00F8775A"/>
    <w:rsid w:val="00F97007"/>
    <w:rsid w:val="00FA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0B2AF"/>
  <w15:chartTrackingRefBased/>
  <w15:docId w15:val="{083B1B10-851E-41D3-9585-340649D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C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B03F7-7D51-4FEB-9650-F8FCE8E6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TUNG (MHA)</dc:creator>
  <cp:keywords/>
  <dc:description/>
  <cp:lastModifiedBy>Low Hsien Meng</cp:lastModifiedBy>
  <cp:revision>4</cp:revision>
  <dcterms:created xsi:type="dcterms:W3CDTF">2021-08-16T03:23:00Z</dcterms:created>
  <dcterms:modified xsi:type="dcterms:W3CDTF">2021-12-14T16:06:00Z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Angeline_TUNG@htx.gov.sg</vt:lpwstr>
  </property>
  <property fmtid="{D5CDD505-2E9C-101B-9397-08002B2CF9AE}" pid="5" name="MSIP_Label_3f9331f7-95a2-472a-92bc-d73219eb516b_SetDate">
    <vt:lpwstr>2020-03-11T03:45:50.5344760Z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8fcafeac-bda0-4a42-8c9c-6e9d0e43edd3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Angeline_TUNG@htx.gov.sg</vt:lpwstr>
  </property>
  <property fmtid="{D5CDD505-2E9C-101B-9397-08002B2CF9AE}" pid="13" name="MSIP_Label_4f288355-fb4c-44cd-b9ca-40cfc2aee5f8_SetDate">
    <vt:lpwstr>2020-03-11T03:45:50.5344760Z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8fcafeac-bda0-4a42-8c9c-6e9d0e43edd3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